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AFC18" w14:textId="176A955E" w:rsidR="00506E5C" w:rsidRPr="008D20BE" w:rsidRDefault="00BF00DC" w:rsidP="008D20BE">
      <w:pPr>
        <w:rPr>
          <w:rFonts w:cstheme="minorHAnsi"/>
          <w:color w:val="FF0000"/>
          <w:sz w:val="22"/>
        </w:rPr>
      </w:pPr>
      <w:r>
        <w:rPr>
          <w:rFonts w:ascii="Calibri" w:hAnsi="Calibri" w:cs="Calibri"/>
          <w:color w:val="FF0000"/>
          <w:szCs w:val="24"/>
        </w:rPr>
        <w:t xml:space="preserve"> </w:t>
      </w:r>
      <w:r w:rsidR="003A0BAA">
        <w:rPr>
          <w:rFonts w:cstheme="minorHAnsi"/>
          <w:noProof/>
          <w:color w:val="FF0000"/>
          <w:sz w:val="22"/>
          <w:lang w:eastAsia="en-GB"/>
        </w:rPr>
        <w:drawing>
          <wp:inline distT="0" distB="0" distL="0" distR="0" wp14:anchorId="48C815CC" wp14:editId="49193C9C">
            <wp:extent cx="1024748" cy="860612"/>
            <wp:effectExtent l="0" t="0" r="444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028282" cy="863580"/>
                    </a:xfrm>
                    <a:prstGeom prst="rect">
                      <a:avLst/>
                    </a:prstGeom>
                  </pic:spPr>
                </pic:pic>
              </a:graphicData>
            </a:graphic>
          </wp:inline>
        </w:drawing>
      </w:r>
      <w:r w:rsidR="005D0E4E" w:rsidRPr="00C04412">
        <w:rPr>
          <w:rFonts w:ascii="Calibri" w:hAnsi="Calibri" w:cs="Calibri"/>
          <w:color w:val="FF0000"/>
          <w:szCs w:val="24"/>
        </w:rPr>
        <w:t xml:space="preserve"> </w:t>
      </w:r>
    </w:p>
    <w:p w14:paraId="169DCCEC" w14:textId="3643983F"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297EF0">
        <w:rPr>
          <w:rFonts w:ascii="Calibri" w:hAnsi="Calibri" w:cs="Calibri"/>
          <w:sz w:val="24"/>
          <w:szCs w:val="24"/>
        </w:rPr>
        <w:t>Q</w:t>
      </w:r>
      <w:r w:rsidR="00352305">
        <w:rPr>
          <w:rFonts w:ascii="Calibri" w:hAnsi="Calibri" w:cs="Calibri"/>
          <w:sz w:val="24"/>
          <w:szCs w:val="24"/>
        </w:rPr>
        <w:t>3</w:t>
      </w:r>
      <w:r w:rsidR="00297EF0">
        <w:rPr>
          <w:rFonts w:ascii="Calibri" w:hAnsi="Calibri" w:cs="Calibri"/>
          <w:sz w:val="24"/>
          <w:szCs w:val="24"/>
        </w:rPr>
        <w:t xml:space="preserve"> </w:t>
      </w:r>
      <w:r w:rsidR="008D20BE">
        <w:rPr>
          <w:rFonts w:ascii="Calibri" w:hAnsi="Calibri" w:cs="Calibri"/>
          <w:sz w:val="24"/>
          <w:szCs w:val="24"/>
        </w:rPr>
        <w:t>Performance Report 2024</w:t>
      </w:r>
      <w:r w:rsidR="001C0D45">
        <w:rPr>
          <w:rFonts w:ascii="Calibri" w:hAnsi="Calibri" w:cs="Calibri"/>
          <w:sz w:val="24"/>
          <w:szCs w:val="24"/>
        </w:rPr>
        <w:t>/25</w:t>
      </w:r>
      <w:r w:rsidRPr="003E22BB">
        <w:rPr>
          <w:rFonts w:ascii="Calibri" w:hAnsi="Calibri" w:cs="Calibri"/>
          <w:sz w:val="24"/>
          <w:szCs w:val="24"/>
        </w:rPr>
        <w:tab/>
      </w:r>
    </w:p>
    <w:p w14:paraId="4974125B" w14:textId="0378CA45" w:rsidR="003A0BAA" w:rsidRDefault="003E22BB" w:rsidP="003A0BAA">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596B21">
        <w:rPr>
          <w:rFonts w:cstheme="minorHAnsi"/>
          <w:b/>
          <w:color w:val="000000" w:themeColor="text1"/>
        </w:rPr>
        <w:t>12</w:t>
      </w:r>
      <w:r w:rsidR="00596B21" w:rsidRPr="00596B21">
        <w:rPr>
          <w:rFonts w:cstheme="minorHAnsi"/>
          <w:b/>
          <w:color w:val="000000" w:themeColor="text1"/>
          <w:vertAlign w:val="superscript"/>
        </w:rPr>
        <w:t>th</w:t>
      </w:r>
      <w:r w:rsidR="00596B21">
        <w:rPr>
          <w:rFonts w:cstheme="minorHAnsi"/>
          <w:b/>
          <w:color w:val="000000" w:themeColor="text1"/>
        </w:rPr>
        <w:t xml:space="preserve"> February</w:t>
      </w:r>
      <w:r w:rsidR="00352305">
        <w:rPr>
          <w:rFonts w:cstheme="minorHAnsi"/>
          <w:b/>
          <w:color w:val="000000" w:themeColor="text1"/>
        </w:rPr>
        <w:t xml:space="preserve"> 2025</w:t>
      </w:r>
    </w:p>
    <w:p w14:paraId="698AF0E3" w14:textId="77777777" w:rsidR="00C05796" w:rsidRPr="003A0BAA" w:rsidRDefault="00C05796" w:rsidP="003A0BAA">
      <w:pPr>
        <w:spacing w:after="0" w:line="240" w:lineRule="auto"/>
        <w:rPr>
          <w:rFonts w:cstheme="minorHAnsi"/>
          <w:b/>
          <w:color w:val="000000" w:themeColor="text1"/>
        </w:rPr>
      </w:pPr>
    </w:p>
    <w:tbl>
      <w:tblPr>
        <w:tblpPr w:leftFromText="180" w:rightFromText="180"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5D0E4E" w:rsidRPr="005D0E4E" w14:paraId="20BAAF19" w14:textId="77777777" w:rsidTr="00706C4E">
        <w:trPr>
          <w:tblHeader/>
        </w:trPr>
        <w:tc>
          <w:tcPr>
            <w:tcW w:w="2830" w:type="dxa"/>
          </w:tcPr>
          <w:p w14:paraId="36567900" w14:textId="00970370" w:rsidR="005D0E4E" w:rsidRPr="00706C4E" w:rsidRDefault="00706C4E" w:rsidP="00706C4E">
            <w:pPr>
              <w:spacing w:after="0" w:line="240" w:lineRule="auto"/>
              <w:rPr>
                <w:b/>
                <w:bCs/>
                <w:szCs w:val="24"/>
              </w:rPr>
            </w:pPr>
            <w:r w:rsidRPr="00706C4E">
              <w:rPr>
                <w:b/>
                <w:bCs/>
                <w:szCs w:val="24"/>
              </w:rPr>
              <w:t>Purpose</w:t>
            </w:r>
          </w:p>
        </w:tc>
        <w:tc>
          <w:tcPr>
            <w:tcW w:w="6186" w:type="dxa"/>
          </w:tcPr>
          <w:p w14:paraId="2E6CD882" w14:textId="352CF8FF" w:rsidR="005D0E4E" w:rsidRPr="00C04412" w:rsidRDefault="0032429D" w:rsidP="00706C4E">
            <w:pPr>
              <w:spacing w:after="0" w:line="240" w:lineRule="auto"/>
              <w:contextualSpacing/>
              <w:rPr>
                <w:rFonts w:ascii="Calibri" w:eastAsia="Arial" w:hAnsi="Calibri" w:cs="Times New Roman"/>
                <w:szCs w:val="24"/>
              </w:rPr>
            </w:pPr>
            <w:r w:rsidRPr="00C04412">
              <w:rPr>
                <w:rFonts w:ascii="Calibri" w:eastAsia="Arial" w:hAnsi="Calibri" w:cs="Times New Roman"/>
                <w:szCs w:val="24"/>
              </w:rPr>
              <w:t>Decision</w:t>
            </w:r>
          </w:p>
        </w:tc>
      </w:tr>
      <w:tr w:rsidR="005D0E4E" w:rsidRPr="005D0E4E" w14:paraId="13CE33D4" w14:textId="77777777" w:rsidTr="00706C4E">
        <w:tc>
          <w:tcPr>
            <w:tcW w:w="2830" w:type="dxa"/>
          </w:tcPr>
          <w:p w14:paraId="34DC0A94" w14:textId="2B66FB3B" w:rsidR="005D0E4E" w:rsidRPr="005D0E4E" w:rsidRDefault="00D44934" w:rsidP="00706C4E">
            <w:pPr>
              <w:spacing w:after="0" w:line="240" w:lineRule="auto"/>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186" w:type="dxa"/>
          </w:tcPr>
          <w:p w14:paraId="788EA7F4" w14:textId="059FA667" w:rsidR="005D0E4E" w:rsidRPr="00C04412" w:rsidRDefault="008D20BE" w:rsidP="00706C4E">
            <w:pPr>
              <w:spacing w:after="0" w:line="240" w:lineRule="auto"/>
              <w:contextualSpacing/>
              <w:rPr>
                <w:rFonts w:ascii="Calibri" w:eastAsia="Arial" w:hAnsi="Calibri" w:cs="Times New Roman"/>
                <w:szCs w:val="24"/>
              </w:rPr>
            </w:pPr>
            <w:r>
              <w:rPr>
                <w:rFonts w:ascii="Calibri" w:eastAsia="Arial" w:hAnsi="Calibri" w:cs="Times New Roman"/>
                <w:szCs w:val="24"/>
              </w:rPr>
              <w:t>This paper presents Q</w:t>
            </w:r>
            <w:r w:rsidR="00352305">
              <w:rPr>
                <w:rFonts w:ascii="Calibri" w:eastAsia="Arial" w:hAnsi="Calibri" w:cs="Times New Roman"/>
                <w:szCs w:val="24"/>
              </w:rPr>
              <w:t>3</w:t>
            </w:r>
            <w:r w:rsidRPr="008D20BE">
              <w:rPr>
                <w:rFonts w:ascii="Calibri" w:eastAsia="Arial" w:hAnsi="Calibri" w:cs="Times New Roman"/>
                <w:szCs w:val="24"/>
              </w:rPr>
              <w:t xml:space="preserve"> progress towards delivery of our corporate priorities as laid out in our Business Plan, A Nature-</w:t>
            </w:r>
            <w:r w:rsidR="00297EF0">
              <w:rPr>
                <w:rFonts w:ascii="Calibri" w:eastAsia="Arial" w:hAnsi="Calibri" w:cs="Times New Roman"/>
                <w:szCs w:val="24"/>
              </w:rPr>
              <w:t>R</w:t>
            </w:r>
            <w:r w:rsidR="00297EF0" w:rsidRPr="008D20BE">
              <w:rPr>
                <w:rFonts w:ascii="Calibri" w:eastAsia="Arial" w:hAnsi="Calibri" w:cs="Times New Roman"/>
                <w:szCs w:val="24"/>
              </w:rPr>
              <w:t xml:space="preserve">ich </w:t>
            </w:r>
            <w:r w:rsidR="00297EF0">
              <w:rPr>
                <w:rFonts w:ascii="Calibri" w:eastAsia="Arial" w:hAnsi="Calibri" w:cs="Times New Roman"/>
                <w:szCs w:val="24"/>
              </w:rPr>
              <w:t>F</w:t>
            </w:r>
            <w:r w:rsidR="00297EF0" w:rsidRPr="008D20BE">
              <w:rPr>
                <w:rFonts w:ascii="Calibri" w:eastAsia="Arial" w:hAnsi="Calibri" w:cs="Times New Roman"/>
                <w:szCs w:val="24"/>
              </w:rPr>
              <w:t xml:space="preserve">uture </w:t>
            </w:r>
            <w:r w:rsidRPr="008D20BE">
              <w:rPr>
                <w:rFonts w:ascii="Calibri" w:eastAsia="Arial" w:hAnsi="Calibri" w:cs="Times New Roman"/>
                <w:szCs w:val="24"/>
              </w:rPr>
              <w:t xml:space="preserve">for </w:t>
            </w:r>
            <w:r w:rsidR="00297EF0">
              <w:rPr>
                <w:rFonts w:ascii="Calibri" w:eastAsia="Arial" w:hAnsi="Calibri" w:cs="Times New Roman"/>
                <w:szCs w:val="24"/>
              </w:rPr>
              <w:t>A</w:t>
            </w:r>
            <w:r w:rsidRPr="008D20BE">
              <w:rPr>
                <w:rFonts w:ascii="Calibri" w:eastAsia="Arial" w:hAnsi="Calibri" w:cs="Times New Roman"/>
                <w:szCs w:val="24"/>
              </w:rPr>
              <w:t xml:space="preserve">ll: Year </w:t>
            </w:r>
            <w:r w:rsidR="001C0D45">
              <w:rPr>
                <w:rFonts w:ascii="Calibri" w:eastAsia="Arial" w:hAnsi="Calibri" w:cs="Times New Roman"/>
                <w:szCs w:val="24"/>
              </w:rPr>
              <w:t>3.</w:t>
            </w:r>
          </w:p>
        </w:tc>
      </w:tr>
      <w:tr w:rsidR="005D0E4E" w:rsidRPr="005D0E4E" w14:paraId="5F6879B4" w14:textId="77777777" w:rsidTr="00145331">
        <w:trPr>
          <w:trHeight w:val="3731"/>
        </w:trPr>
        <w:tc>
          <w:tcPr>
            <w:tcW w:w="2830" w:type="dxa"/>
          </w:tcPr>
          <w:p w14:paraId="278D0DA3" w14:textId="6400EDC4" w:rsidR="005D0E4E" w:rsidRPr="00D44934" w:rsidRDefault="00D44934" w:rsidP="00706C4E">
            <w:pPr>
              <w:spacing w:after="0" w:line="240" w:lineRule="auto"/>
              <w:rPr>
                <w:rFonts w:ascii="Calibri" w:eastAsia="Arial" w:hAnsi="Calibri" w:cs="Times New Roman"/>
                <w:b/>
                <w:bCs/>
                <w:szCs w:val="24"/>
              </w:rPr>
            </w:pPr>
            <w:r w:rsidRPr="00D44934">
              <w:rPr>
                <w:rFonts w:ascii="Calibri" w:eastAsia="Arial" w:hAnsi="Calibri" w:cs="Times New Roman"/>
                <w:b/>
                <w:bCs/>
                <w:szCs w:val="24"/>
              </w:rPr>
              <w:t>Summary:</w:t>
            </w:r>
          </w:p>
        </w:tc>
        <w:tc>
          <w:tcPr>
            <w:tcW w:w="6186" w:type="dxa"/>
          </w:tcPr>
          <w:p w14:paraId="6950E4DA" w14:textId="2B216D7C" w:rsidR="00995C7A" w:rsidRPr="00042CC9" w:rsidRDefault="008D20BE" w:rsidP="00706C4E">
            <w:pPr>
              <w:rPr>
                <w:rFonts w:ascii="Calibri" w:eastAsia="Arial" w:hAnsi="Calibri" w:cs="Times New Roman"/>
                <w:szCs w:val="24"/>
              </w:rPr>
            </w:pPr>
            <w:r w:rsidRPr="00042CC9">
              <w:rPr>
                <w:rFonts w:ascii="Calibri" w:eastAsia="Arial" w:hAnsi="Calibri" w:cs="Times New Roman"/>
                <w:szCs w:val="24"/>
              </w:rPr>
              <w:t>At the end of Q</w:t>
            </w:r>
            <w:r w:rsidR="00352305" w:rsidRPr="00042CC9">
              <w:rPr>
                <w:rFonts w:ascii="Calibri" w:eastAsia="Arial" w:hAnsi="Calibri" w:cs="Times New Roman"/>
                <w:szCs w:val="24"/>
              </w:rPr>
              <w:t>3</w:t>
            </w:r>
            <w:r w:rsidRPr="00042CC9">
              <w:rPr>
                <w:rFonts w:ascii="Calibri" w:eastAsia="Arial" w:hAnsi="Calibri" w:cs="Times New Roman"/>
                <w:szCs w:val="24"/>
              </w:rPr>
              <w:t xml:space="preserve">, performance for </w:t>
            </w:r>
            <w:r w:rsidR="0040189B" w:rsidRPr="00042CC9">
              <w:rPr>
                <w:rFonts w:ascii="Calibri" w:eastAsia="Arial" w:hAnsi="Calibri" w:cs="Times New Roman"/>
                <w:szCs w:val="24"/>
              </w:rPr>
              <w:t>12</w:t>
            </w:r>
            <w:r w:rsidR="007E3F94" w:rsidRPr="00042CC9">
              <w:rPr>
                <w:rFonts w:ascii="Calibri" w:eastAsia="Arial" w:hAnsi="Calibri" w:cs="Times New Roman"/>
                <w:szCs w:val="24"/>
              </w:rPr>
              <w:t xml:space="preserve"> of our</w:t>
            </w:r>
            <w:r w:rsidRPr="00042CC9">
              <w:rPr>
                <w:rFonts w:ascii="Calibri" w:eastAsia="Arial" w:hAnsi="Calibri" w:cs="Times New Roman"/>
                <w:szCs w:val="24"/>
              </w:rPr>
              <w:t xml:space="preserve"> Corporate </w:t>
            </w:r>
            <w:r w:rsidR="00042CC9">
              <w:rPr>
                <w:rFonts w:ascii="Calibri" w:eastAsia="Arial" w:hAnsi="Calibri" w:cs="Times New Roman"/>
                <w:szCs w:val="24"/>
              </w:rPr>
              <w:t>P</w:t>
            </w:r>
            <w:r w:rsidRPr="00042CC9">
              <w:rPr>
                <w:rFonts w:ascii="Calibri" w:eastAsia="Arial" w:hAnsi="Calibri" w:cs="Times New Roman"/>
                <w:szCs w:val="24"/>
              </w:rPr>
              <w:t xml:space="preserve">lan objectives </w:t>
            </w:r>
            <w:r w:rsidR="001E2A49">
              <w:rPr>
                <w:rFonts w:ascii="Calibri" w:eastAsia="Arial" w:hAnsi="Calibri" w:cs="Times New Roman"/>
                <w:szCs w:val="24"/>
              </w:rPr>
              <w:t>is</w:t>
            </w:r>
            <w:r w:rsidR="001E2A49" w:rsidRPr="00042CC9">
              <w:rPr>
                <w:rFonts w:ascii="Calibri" w:eastAsia="Arial" w:hAnsi="Calibri" w:cs="Times New Roman"/>
                <w:szCs w:val="24"/>
              </w:rPr>
              <w:t xml:space="preserve"> </w:t>
            </w:r>
            <w:r w:rsidRPr="00042CC9">
              <w:rPr>
                <w:rFonts w:ascii="Calibri" w:eastAsia="Arial" w:hAnsi="Calibri" w:cs="Times New Roman"/>
                <w:szCs w:val="24"/>
              </w:rPr>
              <w:t>rated as</w:t>
            </w:r>
            <w:r w:rsidR="00133656" w:rsidRPr="00042CC9">
              <w:rPr>
                <w:rFonts w:ascii="Calibri" w:eastAsia="Arial" w:hAnsi="Calibri" w:cs="Times New Roman"/>
                <w:szCs w:val="24"/>
              </w:rPr>
              <w:t xml:space="preserve"> green</w:t>
            </w:r>
            <w:r w:rsidR="0040189B" w:rsidRPr="00042CC9">
              <w:rPr>
                <w:rFonts w:ascii="Calibri" w:eastAsia="Arial" w:hAnsi="Calibri" w:cs="Times New Roman"/>
                <w:szCs w:val="24"/>
              </w:rPr>
              <w:t xml:space="preserve"> with 3 rated as amber</w:t>
            </w:r>
            <w:r w:rsidRPr="00042CC9">
              <w:rPr>
                <w:rFonts w:ascii="Calibri" w:eastAsia="Arial" w:hAnsi="Calibri" w:cs="Times New Roman"/>
                <w:szCs w:val="24"/>
              </w:rPr>
              <w:t>.</w:t>
            </w:r>
            <w:r w:rsidR="00B10368">
              <w:rPr>
                <w:rStyle w:val="ui-provider"/>
              </w:rPr>
              <w:t xml:space="preserve">  </w:t>
            </w:r>
            <w:r w:rsidR="00145331" w:rsidRPr="00042CC9">
              <w:rPr>
                <w:rStyle w:val="ui-provider"/>
              </w:rPr>
              <w:t>There is a small overspend forecast on the Resource and Paybill budgets reflecting in year surrenders to be made and</w:t>
            </w:r>
            <w:r w:rsidR="000D555D">
              <w:rPr>
                <w:rStyle w:val="ui-provider"/>
              </w:rPr>
              <w:t xml:space="preserve"> an</w:t>
            </w:r>
            <w:r w:rsidR="00145331" w:rsidRPr="00042CC9">
              <w:rPr>
                <w:rStyle w:val="ui-provider"/>
              </w:rPr>
              <w:t xml:space="preserve"> increase to the </w:t>
            </w:r>
            <w:r w:rsidR="00B10368">
              <w:rPr>
                <w:rStyle w:val="ui-provider"/>
              </w:rPr>
              <w:t>P</w:t>
            </w:r>
            <w:r w:rsidR="00145331" w:rsidRPr="00042CC9">
              <w:rPr>
                <w:rStyle w:val="ui-provider"/>
              </w:rPr>
              <w:t xml:space="preserve">aybill </w:t>
            </w:r>
            <w:r w:rsidR="00042CC9">
              <w:rPr>
                <w:rStyle w:val="ui-provider"/>
              </w:rPr>
              <w:t>f</w:t>
            </w:r>
            <w:r w:rsidR="00145331" w:rsidRPr="00042CC9">
              <w:rPr>
                <w:rStyle w:val="ui-provider"/>
              </w:rPr>
              <w:t xml:space="preserve">orecast. </w:t>
            </w:r>
            <w:r w:rsidR="00C47B1F">
              <w:rPr>
                <w:rStyle w:val="ui-provider"/>
              </w:rPr>
              <w:t xml:space="preserve">Both </w:t>
            </w:r>
            <w:r w:rsidR="00D86C60" w:rsidRPr="00042CC9">
              <w:rPr>
                <w:rStyle w:val="ui-provider"/>
              </w:rPr>
              <w:t>Capital</w:t>
            </w:r>
            <w:r w:rsidR="00C47B1F">
              <w:rPr>
                <w:rStyle w:val="ui-provider"/>
              </w:rPr>
              <w:t xml:space="preserve"> and Indirect Capital</w:t>
            </w:r>
            <w:r w:rsidR="00D86C60" w:rsidRPr="00042CC9">
              <w:rPr>
                <w:rStyle w:val="ui-provider"/>
              </w:rPr>
              <w:t xml:space="preserve"> </w:t>
            </w:r>
            <w:r w:rsidR="00C47B1F">
              <w:rPr>
                <w:rStyle w:val="ui-provider"/>
              </w:rPr>
              <w:t>are</w:t>
            </w:r>
            <w:r w:rsidR="00A0142A" w:rsidRPr="00042CC9">
              <w:rPr>
                <w:rStyle w:val="ui-provider"/>
              </w:rPr>
              <w:t xml:space="preserve"> currently on track</w:t>
            </w:r>
            <w:r w:rsidR="00C47B1F">
              <w:rPr>
                <w:rStyle w:val="ui-provider"/>
              </w:rPr>
              <w:t xml:space="preserve">. </w:t>
            </w:r>
            <w:r w:rsidR="000D555D">
              <w:rPr>
                <w:rStyle w:val="ui-provider"/>
              </w:rPr>
              <w:t xml:space="preserve">Action is being taken </w:t>
            </w:r>
            <w:r w:rsidR="002C09F5">
              <w:rPr>
                <w:rStyle w:val="ui-provider"/>
              </w:rPr>
              <w:t xml:space="preserve">to </w:t>
            </w:r>
            <w:r w:rsidR="002C09F5" w:rsidRPr="00042CC9">
              <w:rPr>
                <w:rStyle w:val="ui-provider"/>
              </w:rPr>
              <w:t>achieve</w:t>
            </w:r>
            <w:r w:rsidR="000D555D">
              <w:rPr>
                <w:rStyle w:val="ui-provider"/>
              </w:rPr>
              <w:t xml:space="preserve"> </w:t>
            </w:r>
            <w:r w:rsidR="00145331" w:rsidRPr="00042CC9">
              <w:rPr>
                <w:rStyle w:val="ui-provider"/>
              </w:rPr>
              <w:t xml:space="preserve">full spend on funding programmes. </w:t>
            </w:r>
            <w:r w:rsidR="00D533D1" w:rsidRPr="00042CC9">
              <w:rPr>
                <w:rFonts w:ascii="Calibri" w:eastAsia="Arial" w:hAnsi="Calibri" w:cs="Times New Roman"/>
                <w:szCs w:val="24"/>
              </w:rPr>
              <w:t xml:space="preserve">There </w:t>
            </w:r>
            <w:r w:rsidR="004F59FA" w:rsidRPr="00042CC9">
              <w:rPr>
                <w:rFonts w:ascii="Calibri" w:eastAsia="Arial" w:hAnsi="Calibri" w:cs="Times New Roman"/>
                <w:szCs w:val="24"/>
              </w:rPr>
              <w:t xml:space="preserve">have been </w:t>
            </w:r>
            <w:r w:rsidR="00CB12CC">
              <w:rPr>
                <w:rFonts w:ascii="Calibri" w:eastAsia="Arial" w:hAnsi="Calibri" w:cs="Times New Roman"/>
                <w:szCs w:val="24"/>
              </w:rPr>
              <w:t xml:space="preserve">several changes to </w:t>
            </w:r>
            <w:r w:rsidR="00D533D1" w:rsidRPr="00042CC9">
              <w:rPr>
                <w:rFonts w:ascii="Calibri" w:eastAsia="Arial" w:hAnsi="Calibri" w:cs="Times New Roman"/>
                <w:szCs w:val="24"/>
              </w:rPr>
              <w:t xml:space="preserve">the corporate risk </w:t>
            </w:r>
            <w:r w:rsidR="00CB12CC">
              <w:rPr>
                <w:rFonts w:ascii="Calibri" w:eastAsia="Arial" w:hAnsi="Calibri" w:cs="Times New Roman"/>
                <w:szCs w:val="24"/>
              </w:rPr>
              <w:t>register</w:t>
            </w:r>
            <w:r w:rsidR="00D533D1" w:rsidRPr="00042CC9">
              <w:rPr>
                <w:rFonts w:ascii="Calibri" w:eastAsia="Arial" w:hAnsi="Calibri" w:cs="Times New Roman"/>
                <w:szCs w:val="24"/>
              </w:rPr>
              <w:t xml:space="preserve"> this quarter</w:t>
            </w:r>
            <w:r w:rsidR="006E319D" w:rsidRPr="00042CC9">
              <w:rPr>
                <w:rFonts w:ascii="Calibri" w:eastAsia="Arial" w:hAnsi="Calibri" w:cs="Times New Roman"/>
                <w:szCs w:val="24"/>
              </w:rPr>
              <w:t xml:space="preserve"> </w:t>
            </w:r>
            <w:r w:rsidR="00CB12CC">
              <w:rPr>
                <w:rFonts w:ascii="Calibri" w:eastAsia="Arial" w:hAnsi="Calibri" w:cs="Times New Roman"/>
                <w:szCs w:val="24"/>
              </w:rPr>
              <w:t>Four new risks have been added, two have been de-escalated and there is</w:t>
            </w:r>
            <w:r w:rsidR="006E319D" w:rsidRPr="00042CC9">
              <w:rPr>
                <w:rFonts w:ascii="Calibri" w:eastAsia="Arial" w:hAnsi="Calibri" w:cs="Times New Roman"/>
                <w:szCs w:val="24"/>
              </w:rPr>
              <w:t xml:space="preserve"> one</w:t>
            </w:r>
            <w:r w:rsidR="004F59FA" w:rsidRPr="00042CC9">
              <w:rPr>
                <w:rFonts w:ascii="Calibri" w:eastAsia="Arial" w:hAnsi="Calibri" w:cs="Times New Roman"/>
                <w:szCs w:val="24"/>
              </w:rPr>
              <w:t xml:space="preserve"> new risk</w:t>
            </w:r>
            <w:r w:rsidR="009E51DE" w:rsidRPr="00042CC9">
              <w:rPr>
                <w:rFonts w:ascii="Calibri" w:eastAsia="Arial" w:hAnsi="Calibri" w:cs="Times New Roman"/>
                <w:szCs w:val="24"/>
              </w:rPr>
              <w:t xml:space="preserve"> </w:t>
            </w:r>
            <w:r w:rsidR="00CB12CC">
              <w:rPr>
                <w:rFonts w:ascii="Calibri" w:eastAsia="Arial" w:hAnsi="Calibri" w:cs="Times New Roman"/>
                <w:szCs w:val="24"/>
              </w:rPr>
              <w:t>in development</w:t>
            </w:r>
            <w:r w:rsidR="001743AF" w:rsidRPr="00042CC9">
              <w:t xml:space="preserve">. </w:t>
            </w:r>
            <w:r w:rsidRPr="00042CC9">
              <w:rPr>
                <w:rFonts w:ascii="Calibri" w:eastAsia="Arial" w:hAnsi="Calibri" w:cs="Times New Roman"/>
                <w:szCs w:val="24"/>
              </w:rPr>
              <w:t xml:space="preserve">In the People Report, </w:t>
            </w:r>
            <w:r w:rsidR="007E3F94" w:rsidRPr="00042CC9">
              <w:rPr>
                <w:rFonts w:ascii="Calibri" w:eastAsia="Arial" w:hAnsi="Calibri" w:cs="Times New Roman"/>
                <w:szCs w:val="24"/>
              </w:rPr>
              <w:t>six</w:t>
            </w:r>
            <w:r w:rsidRPr="00042CC9">
              <w:rPr>
                <w:rFonts w:ascii="Calibri" w:eastAsia="Arial" w:hAnsi="Calibri" w:cs="Times New Roman"/>
                <w:szCs w:val="24"/>
              </w:rPr>
              <w:t xml:space="preserve"> indicators are green</w:t>
            </w:r>
            <w:r w:rsidR="007E3F94" w:rsidRPr="00042CC9">
              <w:rPr>
                <w:rFonts w:ascii="Calibri" w:eastAsia="Arial" w:hAnsi="Calibri" w:cs="Times New Roman"/>
                <w:szCs w:val="24"/>
              </w:rPr>
              <w:t xml:space="preserve"> with one, </w:t>
            </w:r>
            <w:r w:rsidR="000D555D">
              <w:rPr>
                <w:rFonts w:ascii="Calibri" w:eastAsia="Arial" w:hAnsi="Calibri" w:cs="Times New Roman"/>
                <w:szCs w:val="24"/>
              </w:rPr>
              <w:t>‘</w:t>
            </w:r>
            <w:r w:rsidR="00914E87">
              <w:rPr>
                <w:rFonts w:ascii="Calibri" w:eastAsia="Arial" w:hAnsi="Calibri" w:cs="Times New Roman"/>
                <w:szCs w:val="24"/>
              </w:rPr>
              <w:t>Workforce Trends’</w:t>
            </w:r>
            <w:r w:rsidR="007E3F94" w:rsidRPr="00042CC9">
              <w:rPr>
                <w:rFonts w:ascii="Calibri" w:eastAsia="Arial" w:hAnsi="Calibri" w:cs="Times New Roman"/>
                <w:szCs w:val="24"/>
              </w:rPr>
              <w:t>, rated as amber.</w:t>
            </w:r>
          </w:p>
        </w:tc>
      </w:tr>
      <w:tr w:rsidR="00D44934" w:rsidRPr="005D0E4E" w14:paraId="54B0CF3D" w14:textId="77777777" w:rsidTr="00706C4E">
        <w:tc>
          <w:tcPr>
            <w:tcW w:w="2830" w:type="dxa"/>
          </w:tcPr>
          <w:p w14:paraId="2D2BC4B2" w14:textId="40C06FE9" w:rsidR="00D44934" w:rsidRPr="005D0E4E" w:rsidRDefault="00D44934" w:rsidP="00D44934">
            <w:pPr>
              <w:spacing w:after="0" w:line="240" w:lineRule="auto"/>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186" w:type="dxa"/>
          </w:tcPr>
          <w:p w14:paraId="03259AD0" w14:textId="5B44ADB0" w:rsidR="00D44934" w:rsidRPr="00C04412" w:rsidRDefault="00D44934" w:rsidP="00D44934">
            <w:pPr>
              <w:spacing w:after="0" w:line="240" w:lineRule="auto"/>
              <w:rPr>
                <w:rFonts w:ascii="Calibri" w:eastAsia="Arial" w:hAnsi="Calibri" w:cs="Times New Roman"/>
                <w:szCs w:val="24"/>
              </w:rPr>
            </w:pPr>
            <w:r w:rsidRPr="008D20BE">
              <w:rPr>
                <w:rFonts w:ascii="Calibri" w:eastAsia="Arial" w:hAnsi="Calibri" w:cs="Times New Roman"/>
                <w:szCs w:val="24"/>
              </w:rPr>
              <w:t>To agree the recommendations below</w:t>
            </w:r>
          </w:p>
        </w:tc>
      </w:tr>
      <w:tr w:rsidR="00D44934" w:rsidRPr="005D0E4E" w14:paraId="187A143B" w14:textId="77777777" w:rsidTr="00706C4E">
        <w:tc>
          <w:tcPr>
            <w:tcW w:w="2830" w:type="dxa"/>
          </w:tcPr>
          <w:p w14:paraId="1E0B416A" w14:textId="36C70334" w:rsidR="00D44934" w:rsidRPr="005D0E4E" w:rsidRDefault="00D44934" w:rsidP="00D44934">
            <w:pPr>
              <w:spacing w:after="0" w:line="240" w:lineRule="auto"/>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186" w:type="dxa"/>
          </w:tcPr>
          <w:p w14:paraId="587E0EEC" w14:textId="760947F2" w:rsidR="00D44934" w:rsidRPr="008D20BE" w:rsidRDefault="00596B21" w:rsidP="00D44934">
            <w:pPr>
              <w:spacing w:after="0" w:line="240" w:lineRule="auto"/>
              <w:rPr>
                <w:rFonts w:ascii="Calibri" w:eastAsia="Arial" w:hAnsi="Calibri" w:cs="Times New Roman"/>
                <w:i/>
                <w:szCs w:val="24"/>
              </w:rPr>
            </w:pPr>
            <w:r>
              <w:rPr>
                <w:rFonts w:ascii="Calibri" w:eastAsia="Arial" w:hAnsi="Calibri" w:cs="Times New Roman"/>
                <w:szCs w:val="24"/>
              </w:rPr>
              <w:t>The Board is</w:t>
            </w:r>
            <w:r w:rsidR="00D44934" w:rsidRPr="008D20BE">
              <w:rPr>
                <w:rFonts w:ascii="Calibri" w:eastAsia="Arial" w:hAnsi="Calibri" w:cs="Times New Roman"/>
                <w:szCs w:val="24"/>
              </w:rPr>
              <w:t xml:space="preserve"> asked to:</w:t>
            </w:r>
          </w:p>
          <w:p w14:paraId="770F6BC4" w14:textId="77777777" w:rsidR="00D44934" w:rsidRPr="008D20BE" w:rsidRDefault="00D44934" w:rsidP="00D44934">
            <w:pPr>
              <w:numPr>
                <w:ilvl w:val="1"/>
                <w:numId w:val="2"/>
              </w:numPr>
              <w:spacing w:after="0" w:line="240" w:lineRule="auto"/>
              <w:rPr>
                <w:rFonts w:ascii="Calibri" w:eastAsia="Arial" w:hAnsi="Calibri" w:cs="Times New Roman"/>
                <w:szCs w:val="24"/>
              </w:rPr>
            </w:pPr>
            <w:r w:rsidRPr="008D20BE">
              <w:rPr>
                <w:rFonts w:ascii="Calibri" w:eastAsia="Arial" w:hAnsi="Calibri" w:cs="Times New Roman"/>
                <w:szCs w:val="24"/>
              </w:rPr>
              <w:t>Note the overall performance of the Corporate Plan objectives (Performance Report)</w:t>
            </w:r>
          </w:p>
          <w:p w14:paraId="25A63DF5" w14:textId="0A107CD0" w:rsidR="00D44934" w:rsidRPr="008D20BE" w:rsidRDefault="00D44934" w:rsidP="00D44934">
            <w:pPr>
              <w:numPr>
                <w:ilvl w:val="1"/>
                <w:numId w:val="2"/>
              </w:numPr>
              <w:spacing w:after="0" w:line="240" w:lineRule="auto"/>
              <w:rPr>
                <w:rFonts w:ascii="Calibri" w:eastAsia="Arial" w:hAnsi="Calibri" w:cs="Times New Roman"/>
                <w:szCs w:val="24"/>
              </w:rPr>
            </w:pPr>
            <w:r w:rsidRPr="008D20BE">
              <w:rPr>
                <w:rFonts w:ascii="Calibri" w:eastAsia="Arial" w:hAnsi="Calibri" w:cs="Times New Roman"/>
                <w:szCs w:val="24"/>
              </w:rPr>
              <w:t xml:space="preserve">Note the position of the </w:t>
            </w:r>
            <w:r>
              <w:rPr>
                <w:rFonts w:ascii="Calibri" w:eastAsia="Arial" w:hAnsi="Calibri" w:cs="Times New Roman"/>
                <w:szCs w:val="24"/>
              </w:rPr>
              <w:t>resource</w:t>
            </w:r>
            <w:r w:rsidRPr="008D20BE">
              <w:rPr>
                <w:rFonts w:ascii="Calibri" w:eastAsia="Arial" w:hAnsi="Calibri" w:cs="Times New Roman"/>
                <w:szCs w:val="24"/>
              </w:rPr>
              <w:t xml:space="preserve"> and capital budgets (Finance Report)</w:t>
            </w:r>
          </w:p>
          <w:p w14:paraId="707CE493" w14:textId="5D1A0A2B" w:rsidR="0039061A" w:rsidRDefault="0039061A" w:rsidP="005A16E5">
            <w:pPr>
              <w:numPr>
                <w:ilvl w:val="1"/>
                <w:numId w:val="2"/>
              </w:numPr>
              <w:spacing w:after="0" w:line="240" w:lineRule="auto"/>
              <w:rPr>
                <w:rFonts w:ascii="Calibri" w:eastAsia="Arial" w:hAnsi="Calibri" w:cs="Times New Roman"/>
                <w:szCs w:val="24"/>
              </w:rPr>
            </w:pPr>
            <w:r>
              <w:rPr>
                <w:rFonts w:ascii="Calibri" w:eastAsia="Arial" w:hAnsi="Calibri" w:cs="Times New Roman"/>
                <w:szCs w:val="24"/>
              </w:rPr>
              <w:t>N</w:t>
            </w:r>
            <w:r w:rsidRPr="0039061A">
              <w:rPr>
                <w:rFonts w:ascii="Calibri" w:eastAsia="Arial" w:hAnsi="Calibri" w:cs="Times New Roman"/>
                <w:szCs w:val="24"/>
              </w:rPr>
              <w:t>ote the performance of the corporate risks</w:t>
            </w:r>
          </w:p>
          <w:p w14:paraId="30D9395B" w14:textId="79ACAD2F" w:rsidR="00D44934" w:rsidRPr="005A16E5" w:rsidRDefault="00D44934" w:rsidP="005A16E5">
            <w:pPr>
              <w:numPr>
                <w:ilvl w:val="1"/>
                <w:numId w:val="2"/>
              </w:numPr>
              <w:spacing w:after="0" w:line="240" w:lineRule="auto"/>
              <w:rPr>
                <w:rFonts w:ascii="Calibri" w:eastAsia="Arial" w:hAnsi="Calibri" w:cs="Times New Roman"/>
                <w:szCs w:val="24"/>
              </w:rPr>
            </w:pPr>
            <w:r w:rsidRPr="008D20BE">
              <w:rPr>
                <w:rFonts w:ascii="Calibri" w:eastAsia="Arial" w:hAnsi="Calibri" w:cs="Times New Roman"/>
                <w:szCs w:val="24"/>
              </w:rPr>
              <w:t xml:space="preserve">Note the overall performance of the </w:t>
            </w:r>
            <w:r w:rsidR="00042CC9">
              <w:rPr>
                <w:rFonts w:ascii="Calibri" w:eastAsia="Arial" w:hAnsi="Calibri" w:cs="Times New Roman"/>
                <w:szCs w:val="24"/>
              </w:rPr>
              <w:t>p</w:t>
            </w:r>
            <w:r w:rsidRPr="008D20BE">
              <w:rPr>
                <w:rFonts w:ascii="Calibri" w:eastAsia="Arial" w:hAnsi="Calibri" w:cs="Times New Roman"/>
                <w:szCs w:val="24"/>
              </w:rPr>
              <w:t xml:space="preserve">eople </w:t>
            </w:r>
            <w:r w:rsidR="00042CC9">
              <w:rPr>
                <w:rFonts w:ascii="Calibri" w:eastAsia="Arial" w:hAnsi="Calibri" w:cs="Times New Roman"/>
                <w:szCs w:val="24"/>
              </w:rPr>
              <w:t>m</w:t>
            </w:r>
            <w:r w:rsidRPr="008D20BE">
              <w:rPr>
                <w:rFonts w:ascii="Calibri" w:eastAsia="Arial" w:hAnsi="Calibri" w:cs="Times New Roman"/>
                <w:szCs w:val="24"/>
              </w:rPr>
              <w:t>easures (People Report)</w:t>
            </w:r>
          </w:p>
        </w:tc>
      </w:tr>
      <w:tr w:rsidR="00D44934" w:rsidRPr="005D0E4E" w14:paraId="1611D4CD" w14:textId="77777777" w:rsidTr="00706C4E">
        <w:tc>
          <w:tcPr>
            <w:tcW w:w="2830" w:type="dxa"/>
          </w:tcPr>
          <w:p w14:paraId="1E66C971" w14:textId="1931E875" w:rsidR="00D44934" w:rsidRPr="005D0E4E" w:rsidRDefault="00D44934" w:rsidP="00D44934">
            <w:pPr>
              <w:spacing w:after="0" w:line="240" w:lineRule="auto"/>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186" w:type="dxa"/>
          </w:tcPr>
          <w:p w14:paraId="684ABBC1" w14:textId="59F898A4" w:rsidR="00D44934" w:rsidRPr="005D0E4E" w:rsidRDefault="00D44934" w:rsidP="00D44934">
            <w:pPr>
              <w:spacing w:after="0" w:line="240" w:lineRule="auto"/>
              <w:rPr>
                <w:rFonts w:ascii="Calibri" w:eastAsia="Arial" w:hAnsi="Calibri" w:cs="Times New Roman"/>
                <w:szCs w:val="24"/>
              </w:rPr>
            </w:pPr>
            <w:r w:rsidRPr="008D20BE">
              <w:rPr>
                <w:rFonts w:ascii="Calibri" w:eastAsia="Arial" w:hAnsi="Calibri" w:cs="Times New Roman"/>
                <w:szCs w:val="24"/>
              </w:rPr>
              <w:t xml:space="preserve">Authors – Directors, Deputy Directors, </w:t>
            </w:r>
            <w:r w:rsidR="00B27229">
              <w:rPr>
                <w:rFonts w:ascii="Calibri" w:eastAsia="Arial" w:hAnsi="Calibri" w:cs="Times New Roman"/>
                <w:szCs w:val="24"/>
              </w:rPr>
              <w:t>Strategic Resource</w:t>
            </w:r>
            <w:r w:rsidRPr="008D20BE">
              <w:rPr>
                <w:rFonts w:ascii="Calibri" w:eastAsia="Arial" w:hAnsi="Calibri" w:cs="Times New Roman"/>
                <w:szCs w:val="24"/>
              </w:rPr>
              <w:t xml:space="preserve"> Managers, Finance, Planning </w:t>
            </w:r>
            <w:r w:rsidR="00056042">
              <w:rPr>
                <w:rFonts w:ascii="Calibri" w:eastAsia="Arial" w:hAnsi="Calibri" w:cs="Times New Roman"/>
                <w:szCs w:val="24"/>
              </w:rPr>
              <w:t>and</w:t>
            </w:r>
            <w:r>
              <w:rPr>
                <w:rFonts w:ascii="Calibri" w:eastAsia="Arial" w:hAnsi="Calibri" w:cs="Times New Roman"/>
                <w:szCs w:val="24"/>
              </w:rPr>
              <w:t xml:space="preserve"> </w:t>
            </w:r>
            <w:r w:rsidRPr="008D20BE">
              <w:rPr>
                <w:rFonts w:ascii="Calibri" w:eastAsia="Arial" w:hAnsi="Calibri" w:cs="Times New Roman"/>
                <w:szCs w:val="24"/>
              </w:rPr>
              <w:t>Performance Team, POD Team</w:t>
            </w:r>
          </w:p>
        </w:tc>
      </w:tr>
      <w:tr w:rsidR="00D44934" w:rsidRPr="005D0E4E" w14:paraId="28B18A8B" w14:textId="77777777" w:rsidTr="00706C4E">
        <w:tc>
          <w:tcPr>
            <w:tcW w:w="2830" w:type="dxa"/>
          </w:tcPr>
          <w:p w14:paraId="451D6F59" w14:textId="2B7259D4" w:rsidR="00D44934" w:rsidRPr="005D0E4E" w:rsidRDefault="00D44934" w:rsidP="00D44934">
            <w:pPr>
              <w:spacing w:after="0" w:line="240" w:lineRule="auto"/>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186" w:type="dxa"/>
          </w:tcPr>
          <w:p w14:paraId="15458FFD" w14:textId="5CECF3C7" w:rsidR="00D44934" w:rsidRPr="005D0E4E" w:rsidRDefault="00D44934" w:rsidP="00D44934">
            <w:pPr>
              <w:spacing w:after="0" w:line="240" w:lineRule="auto"/>
              <w:rPr>
                <w:rFonts w:ascii="Calibri" w:eastAsia="Arial" w:hAnsi="Calibri" w:cs="Times New Roman"/>
                <w:szCs w:val="24"/>
              </w:rPr>
            </w:pPr>
            <w:r w:rsidRPr="008D20BE">
              <w:rPr>
                <w:rFonts w:ascii="Calibri" w:eastAsia="Arial" w:hAnsi="Calibri" w:cs="Times New Roman"/>
                <w:szCs w:val="24"/>
              </w:rPr>
              <w:t>Stuart MacQuarrie, Jane Macdonald</w:t>
            </w:r>
          </w:p>
        </w:tc>
      </w:tr>
      <w:tr w:rsidR="006B3BD2" w:rsidRPr="005D0E4E" w14:paraId="1161B4D3" w14:textId="77777777" w:rsidTr="00706C4E">
        <w:tc>
          <w:tcPr>
            <w:tcW w:w="2830" w:type="dxa"/>
          </w:tcPr>
          <w:p w14:paraId="5272D89E" w14:textId="5D6F0D99" w:rsidR="006B3BD2" w:rsidRPr="005D0E4E" w:rsidRDefault="006B3BD2" w:rsidP="006B3BD2">
            <w:pPr>
              <w:spacing w:after="0" w:line="240" w:lineRule="auto"/>
              <w:contextualSpacing/>
              <w:rPr>
                <w:rFonts w:ascii="Calibri" w:eastAsia="Arial" w:hAnsi="Calibri" w:cs="Times New Roman"/>
                <w:b/>
                <w:szCs w:val="24"/>
              </w:rPr>
            </w:pPr>
            <w:r>
              <w:rPr>
                <w:rFonts w:ascii="Calibri" w:eastAsia="Arial" w:hAnsi="Calibri" w:cs="Times New Roman"/>
                <w:b/>
                <w:szCs w:val="24"/>
              </w:rPr>
              <w:t>Annexes:</w:t>
            </w:r>
          </w:p>
        </w:tc>
        <w:tc>
          <w:tcPr>
            <w:tcW w:w="6186" w:type="dxa"/>
          </w:tcPr>
          <w:p w14:paraId="1AED0190" w14:textId="712CC42E" w:rsidR="006B3BD2" w:rsidRPr="008D20BE" w:rsidRDefault="006B3BD2" w:rsidP="006B3BD2">
            <w:pPr>
              <w:spacing w:after="0" w:line="240" w:lineRule="auto"/>
              <w:contextualSpacing/>
              <w:rPr>
                <w:rFonts w:ascii="Calibri" w:eastAsia="Arial" w:hAnsi="Calibri" w:cs="Times New Roman"/>
                <w:szCs w:val="24"/>
              </w:rPr>
            </w:pPr>
            <w:r>
              <w:rPr>
                <w:rFonts w:ascii="Calibri" w:eastAsia="Arial" w:hAnsi="Calibri" w:cs="Times New Roman"/>
                <w:szCs w:val="24"/>
              </w:rPr>
              <w:t>Annex A – Corporate Risk Register (High Risks)</w:t>
            </w:r>
          </w:p>
        </w:tc>
      </w:tr>
    </w:tbl>
    <w:p w14:paraId="606EF308" w14:textId="77777777" w:rsidR="005A16E5" w:rsidRDefault="005A16E5" w:rsidP="008D20BE">
      <w:pPr>
        <w:pStyle w:val="Heading2"/>
        <w:rPr>
          <w:rFonts w:ascii="Calibri" w:eastAsia="Times New Roman" w:hAnsi="Calibri" w:cs="Calibri"/>
          <w:szCs w:val="24"/>
        </w:rPr>
      </w:pPr>
    </w:p>
    <w:p w14:paraId="75FF307B" w14:textId="77777777" w:rsidR="005A16E5" w:rsidRDefault="005A16E5">
      <w:pPr>
        <w:rPr>
          <w:rFonts w:ascii="Calibri" w:eastAsia="Times New Roman" w:hAnsi="Calibri" w:cs="Calibri"/>
          <w:b/>
          <w:szCs w:val="24"/>
        </w:rPr>
      </w:pPr>
      <w:r>
        <w:rPr>
          <w:rFonts w:ascii="Calibri" w:eastAsia="Times New Roman" w:hAnsi="Calibri" w:cs="Calibri"/>
          <w:szCs w:val="24"/>
        </w:rPr>
        <w:br w:type="page"/>
      </w:r>
    </w:p>
    <w:p w14:paraId="7C66F473" w14:textId="14BCD56B" w:rsidR="005A16E5" w:rsidRPr="005A16E5" w:rsidRDefault="008D20BE" w:rsidP="005A16E5">
      <w:pPr>
        <w:pStyle w:val="Heading2"/>
        <w:rPr>
          <w:rFonts w:ascii="Calibri" w:eastAsia="Times New Roman" w:hAnsi="Calibri" w:cs="Calibri"/>
          <w:szCs w:val="24"/>
        </w:rPr>
      </w:pPr>
      <w:r w:rsidRPr="00B6615A">
        <w:rPr>
          <w:rFonts w:ascii="Calibri" w:eastAsia="Times New Roman" w:hAnsi="Calibri" w:cs="Calibri"/>
          <w:szCs w:val="24"/>
        </w:rPr>
        <w:lastRenderedPageBreak/>
        <w:t xml:space="preserve">Purpose </w:t>
      </w:r>
    </w:p>
    <w:p w14:paraId="4851BC74" w14:textId="458B052C" w:rsidR="008D20BE" w:rsidRDefault="008D20BE" w:rsidP="00025C49">
      <w:pPr>
        <w:pStyle w:val="ListParagraph"/>
        <w:numPr>
          <w:ilvl w:val="0"/>
          <w:numId w:val="1"/>
        </w:numPr>
        <w:ind w:left="357" w:hanging="357"/>
        <w:rPr>
          <w:rFonts w:ascii="Calibri" w:eastAsia="Calibri" w:hAnsi="Calibri" w:cs="Calibri"/>
          <w:color w:val="000000" w:themeColor="text1"/>
          <w:szCs w:val="24"/>
        </w:rPr>
      </w:pPr>
      <w:r w:rsidRPr="00B6615A">
        <w:rPr>
          <w:rFonts w:ascii="Calibri" w:eastAsia="Calibri" w:hAnsi="Calibri" w:cs="Calibri"/>
          <w:szCs w:val="24"/>
        </w:rPr>
        <w:t>This paper presents NatureScot’s performance for</w:t>
      </w:r>
      <w:r w:rsidR="0083328C">
        <w:rPr>
          <w:rFonts w:ascii="Calibri" w:eastAsia="Calibri" w:hAnsi="Calibri" w:cs="Calibri"/>
          <w:szCs w:val="24"/>
        </w:rPr>
        <w:t xml:space="preserve"> the</w:t>
      </w:r>
      <w:r w:rsidRPr="00B6615A">
        <w:rPr>
          <w:rFonts w:ascii="Calibri" w:eastAsia="Calibri" w:hAnsi="Calibri" w:cs="Calibri"/>
          <w:szCs w:val="24"/>
        </w:rPr>
        <w:t xml:space="preserve"> </w:t>
      </w:r>
      <w:r w:rsidR="00352305">
        <w:rPr>
          <w:rFonts w:ascii="Calibri" w:eastAsia="Calibri" w:hAnsi="Calibri" w:cs="Calibri"/>
          <w:szCs w:val="24"/>
        </w:rPr>
        <w:t>third</w:t>
      </w:r>
      <w:r w:rsidR="00352305" w:rsidRPr="00B6615A">
        <w:rPr>
          <w:rFonts w:ascii="Calibri" w:eastAsia="Calibri" w:hAnsi="Calibri" w:cs="Calibri"/>
          <w:szCs w:val="24"/>
        </w:rPr>
        <w:t xml:space="preserve"> </w:t>
      </w:r>
      <w:r w:rsidRPr="00B6615A">
        <w:rPr>
          <w:rFonts w:ascii="Calibri" w:eastAsia="Calibri" w:hAnsi="Calibri" w:cs="Calibri"/>
          <w:szCs w:val="24"/>
        </w:rPr>
        <w:t>quarter of 20</w:t>
      </w:r>
      <w:r>
        <w:rPr>
          <w:rFonts w:ascii="Calibri" w:eastAsia="Calibri" w:hAnsi="Calibri" w:cs="Calibri"/>
          <w:szCs w:val="24"/>
        </w:rPr>
        <w:t>24</w:t>
      </w:r>
      <w:r w:rsidR="001C0D45">
        <w:rPr>
          <w:rFonts w:ascii="Calibri" w:eastAsia="Calibri" w:hAnsi="Calibri" w:cs="Calibri"/>
          <w:szCs w:val="24"/>
        </w:rPr>
        <w:t>/25</w:t>
      </w:r>
      <w:r>
        <w:rPr>
          <w:rFonts w:ascii="Calibri" w:eastAsia="Calibri" w:hAnsi="Calibri" w:cs="Calibri"/>
          <w:szCs w:val="24"/>
        </w:rPr>
        <w:t xml:space="preserve">. </w:t>
      </w:r>
      <w:r w:rsidRPr="00B6615A">
        <w:rPr>
          <w:rFonts w:ascii="Calibri" w:eastAsia="Calibri" w:hAnsi="Calibri" w:cs="Calibri"/>
          <w:szCs w:val="24"/>
        </w:rPr>
        <w:t>It addresses delivery of our corporate priorities by reviewing</w:t>
      </w:r>
      <w:r w:rsidR="007646BB">
        <w:rPr>
          <w:rFonts w:ascii="Calibri" w:eastAsia="Calibri" w:hAnsi="Calibri" w:cs="Calibri"/>
          <w:szCs w:val="24"/>
        </w:rPr>
        <w:t>:</w:t>
      </w:r>
      <w:r w:rsidRPr="00B6615A">
        <w:rPr>
          <w:rFonts w:ascii="Calibri" w:eastAsia="Calibri" w:hAnsi="Calibri" w:cs="Calibri"/>
          <w:szCs w:val="24"/>
        </w:rPr>
        <w:t xml:space="preserve"> the alignment of performance against our Business Plan, </w:t>
      </w:r>
      <w:r w:rsidR="00297EF0">
        <w:rPr>
          <w:rFonts w:ascii="Calibri" w:eastAsia="Calibri" w:hAnsi="Calibri" w:cs="Calibri"/>
          <w:szCs w:val="24"/>
        </w:rPr>
        <w:t xml:space="preserve">A </w:t>
      </w:r>
      <w:r>
        <w:rPr>
          <w:rFonts w:ascii="Calibri" w:eastAsia="Calibri" w:hAnsi="Calibri" w:cs="Calibri"/>
          <w:szCs w:val="24"/>
        </w:rPr>
        <w:t xml:space="preserve">Nature-rich </w:t>
      </w:r>
      <w:r w:rsidR="00297EF0">
        <w:rPr>
          <w:rFonts w:ascii="Calibri" w:eastAsia="Calibri" w:hAnsi="Calibri" w:cs="Calibri"/>
          <w:szCs w:val="24"/>
        </w:rPr>
        <w:t xml:space="preserve">Future </w:t>
      </w:r>
      <w:r>
        <w:rPr>
          <w:rFonts w:ascii="Calibri" w:eastAsia="Calibri" w:hAnsi="Calibri" w:cs="Calibri"/>
          <w:szCs w:val="24"/>
        </w:rPr>
        <w:t xml:space="preserve">for </w:t>
      </w:r>
      <w:r w:rsidR="00297EF0">
        <w:rPr>
          <w:rFonts w:ascii="Calibri" w:eastAsia="Calibri" w:hAnsi="Calibri" w:cs="Calibri"/>
          <w:szCs w:val="24"/>
        </w:rPr>
        <w:t>All</w:t>
      </w:r>
      <w:r>
        <w:rPr>
          <w:rFonts w:ascii="Calibri" w:eastAsia="Calibri" w:hAnsi="Calibri" w:cs="Calibri"/>
          <w:szCs w:val="24"/>
        </w:rPr>
        <w:t xml:space="preserve">: Year </w:t>
      </w:r>
      <w:r w:rsidR="001C0D45">
        <w:rPr>
          <w:rFonts w:ascii="Calibri" w:eastAsia="Calibri" w:hAnsi="Calibri" w:cs="Calibri"/>
          <w:szCs w:val="24"/>
        </w:rPr>
        <w:t>3</w:t>
      </w:r>
      <w:r>
        <w:rPr>
          <w:rFonts w:ascii="Calibri" w:eastAsia="Calibri" w:hAnsi="Calibri" w:cs="Calibri"/>
          <w:szCs w:val="24"/>
        </w:rPr>
        <w:t>;</w:t>
      </w:r>
      <w:r w:rsidRPr="00B6615A">
        <w:rPr>
          <w:rFonts w:ascii="Calibri" w:eastAsia="Calibri" w:hAnsi="Calibri" w:cs="Calibri"/>
          <w:szCs w:val="24"/>
        </w:rPr>
        <w:t xml:space="preserve"> progress towards </w:t>
      </w:r>
      <w:r>
        <w:rPr>
          <w:rFonts w:ascii="Calibri" w:eastAsia="Calibri" w:hAnsi="Calibri" w:cs="Calibri"/>
          <w:szCs w:val="24"/>
        </w:rPr>
        <w:t>maximising our available budget;</w:t>
      </w:r>
      <w:r w:rsidRPr="00B6615A">
        <w:rPr>
          <w:rFonts w:ascii="Calibri" w:eastAsia="Calibri" w:hAnsi="Calibri" w:cs="Calibri"/>
          <w:szCs w:val="24"/>
        </w:rPr>
        <w:t xml:space="preserve"> assessing risks for delivery</w:t>
      </w:r>
      <w:r>
        <w:rPr>
          <w:rFonts w:ascii="Calibri" w:eastAsia="Calibri" w:hAnsi="Calibri" w:cs="Calibri"/>
          <w:szCs w:val="24"/>
        </w:rPr>
        <w:t>;</w:t>
      </w:r>
      <w:r w:rsidRPr="00B6615A">
        <w:rPr>
          <w:rFonts w:ascii="Calibri" w:eastAsia="Calibri" w:hAnsi="Calibri" w:cs="Calibri"/>
          <w:szCs w:val="24"/>
        </w:rPr>
        <w:t xml:space="preserve"> </w:t>
      </w:r>
      <w:r w:rsidR="00AE3940" w:rsidRPr="00B6615A">
        <w:rPr>
          <w:rFonts w:ascii="Calibri" w:eastAsia="Calibri" w:hAnsi="Calibri" w:cs="Calibri"/>
          <w:szCs w:val="24"/>
        </w:rPr>
        <w:t>and</w:t>
      </w:r>
      <w:r w:rsidRPr="00B6615A">
        <w:rPr>
          <w:rFonts w:ascii="Calibri" w:eastAsia="Calibri" w:hAnsi="Calibri" w:cs="Calibri"/>
          <w:szCs w:val="24"/>
        </w:rPr>
        <w:t xml:space="preserve"> people information </w:t>
      </w:r>
      <w:r w:rsidRPr="00CD5336">
        <w:rPr>
          <w:rFonts w:ascii="Calibri" w:eastAsia="Calibri" w:hAnsi="Calibri" w:cs="Calibri"/>
          <w:color w:val="000000" w:themeColor="text1"/>
          <w:szCs w:val="24"/>
        </w:rPr>
        <w:t>supporting the resourcing of our work.  These</w:t>
      </w:r>
      <w:r w:rsidR="009644AB">
        <w:rPr>
          <w:rFonts w:ascii="Calibri" w:eastAsia="Calibri" w:hAnsi="Calibri" w:cs="Calibri"/>
          <w:color w:val="000000" w:themeColor="text1"/>
          <w:szCs w:val="24"/>
        </w:rPr>
        <w:t xml:space="preserve"> all</w:t>
      </w:r>
      <w:r w:rsidRPr="00CD5336">
        <w:rPr>
          <w:rFonts w:ascii="Calibri" w:eastAsia="Calibri" w:hAnsi="Calibri" w:cs="Calibri"/>
          <w:color w:val="000000" w:themeColor="text1"/>
          <w:szCs w:val="24"/>
        </w:rPr>
        <w:t xml:space="preserve"> support delive</w:t>
      </w:r>
      <w:r>
        <w:rPr>
          <w:rFonts w:ascii="Calibri" w:eastAsia="Calibri" w:hAnsi="Calibri" w:cs="Calibri"/>
          <w:color w:val="000000" w:themeColor="text1"/>
          <w:szCs w:val="24"/>
        </w:rPr>
        <w:t>ry of our Corporate Plan 2022-26</w:t>
      </w:r>
      <w:r w:rsidRPr="00CD5336">
        <w:rPr>
          <w:rFonts w:ascii="Calibri" w:eastAsia="Calibri" w:hAnsi="Calibri" w:cs="Calibri"/>
          <w:color w:val="000000" w:themeColor="text1"/>
          <w:szCs w:val="24"/>
        </w:rPr>
        <w:t xml:space="preserve">, A Nature-rich </w:t>
      </w:r>
      <w:r w:rsidR="00297EF0">
        <w:rPr>
          <w:rFonts w:ascii="Calibri" w:eastAsia="Calibri" w:hAnsi="Calibri" w:cs="Calibri"/>
          <w:color w:val="000000" w:themeColor="text1"/>
          <w:szCs w:val="24"/>
        </w:rPr>
        <w:t>F</w:t>
      </w:r>
      <w:r w:rsidR="00297EF0" w:rsidRPr="00CD5336">
        <w:rPr>
          <w:rFonts w:ascii="Calibri" w:eastAsia="Calibri" w:hAnsi="Calibri" w:cs="Calibri"/>
          <w:color w:val="000000" w:themeColor="text1"/>
          <w:szCs w:val="24"/>
        </w:rPr>
        <w:t xml:space="preserve">uture </w:t>
      </w:r>
      <w:r w:rsidRPr="00CD5336">
        <w:rPr>
          <w:rFonts w:ascii="Calibri" w:eastAsia="Calibri" w:hAnsi="Calibri" w:cs="Calibri"/>
          <w:color w:val="000000" w:themeColor="text1"/>
          <w:szCs w:val="24"/>
        </w:rPr>
        <w:t xml:space="preserve">for </w:t>
      </w:r>
      <w:r w:rsidR="00297EF0">
        <w:rPr>
          <w:rFonts w:ascii="Calibri" w:eastAsia="Calibri" w:hAnsi="Calibri" w:cs="Calibri"/>
          <w:color w:val="000000" w:themeColor="text1"/>
          <w:szCs w:val="24"/>
        </w:rPr>
        <w:t>A</w:t>
      </w:r>
      <w:r w:rsidR="00297EF0" w:rsidRPr="00CD5336">
        <w:rPr>
          <w:rFonts w:ascii="Calibri" w:eastAsia="Calibri" w:hAnsi="Calibri" w:cs="Calibri"/>
          <w:color w:val="000000" w:themeColor="text1"/>
          <w:szCs w:val="24"/>
        </w:rPr>
        <w:t>ll</w:t>
      </w:r>
      <w:r w:rsidRPr="00CD5336">
        <w:rPr>
          <w:rFonts w:ascii="Calibri" w:eastAsia="Calibri" w:hAnsi="Calibri" w:cs="Calibri"/>
          <w:color w:val="000000" w:themeColor="text1"/>
          <w:szCs w:val="24"/>
        </w:rPr>
        <w:t>.</w:t>
      </w:r>
    </w:p>
    <w:p w14:paraId="572F6058" w14:textId="77777777" w:rsidR="00DB0FB4" w:rsidRDefault="00DB0FB4" w:rsidP="00DB0FB4">
      <w:pPr>
        <w:pStyle w:val="ListParagraph"/>
        <w:ind w:left="357"/>
        <w:rPr>
          <w:rFonts w:ascii="Calibri" w:eastAsia="Calibri" w:hAnsi="Calibri" w:cs="Calibri"/>
          <w:color w:val="000000" w:themeColor="text1"/>
          <w:szCs w:val="24"/>
        </w:rPr>
      </w:pPr>
    </w:p>
    <w:p w14:paraId="445B3A51" w14:textId="7415CC42" w:rsidR="002F28D4" w:rsidRPr="00042CC9" w:rsidRDefault="002F28D4" w:rsidP="00025C49">
      <w:pPr>
        <w:pStyle w:val="ListParagraph"/>
        <w:numPr>
          <w:ilvl w:val="0"/>
          <w:numId w:val="1"/>
        </w:numPr>
        <w:ind w:left="357" w:hanging="357"/>
        <w:rPr>
          <w:rFonts w:ascii="Calibri" w:eastAsia="Calibri" w:hAnsi="Calibri" w:cs="Calibri"/>
          <w:szCs w:val="24"/>
        </w:rPr>
      </w:pPr>
      <w:r w:rsidRPr="00042CC9">
        <w:rPr>
          <w:rFonts w:ascii="Calibri" w:eastAsia="Calibri" w:hAnsi="Calibri" w:cs="Calibri"/>
          <w:szCs w:val="24"/>
        </w:rPr>
        <w:t xml:space="preserve">This year the corporate plan priorities were further refined through the identification of our 4 areas of focus for 2024-25 which stimulate the key actions towards delivering our 2030 and 2045 </w:t>
      </w:r>
      <w:r w:rsidR="00240918" w:rsidRPr="00042CC9">
        <w:rPr>
          <w:rFonts w:ascii="Calibri" w:eastAsia="Calibri" w:hAnsi="Calibri" w:cs="Calibri"/>
          <w:szCs w:val="24"/>
        </w:rPr>
        <w:t>targets</w:t>
      </w:r>
      <w:r w:rsidRPr="00042CC9">
        <w:rPr>
          <w:rFonts w:ascii="Calibri" w:eastAsia="Calibri" w:hAnsi="Calibri" w:cs="Calibri"/>
          <w:szCs w:val="24"/>
        </w:rPr>
        <w:t xml:space="preserve"> to </w:t>
      </w:r>
      <w:r w:rsidR="000176B3">
        <w:rPr>
          <w:rFonts w:ascii="Calibri" w:eastAsia="Calibri" w:hAnsi="Calibri" w:cs="Calibri"/>
          <w:szCs w:val="24"/>
        </w:rPr>
        <w:t>halt</w:t>
      </w:r>
      <w:r w:rsidR="000176B3" w:rsidRPr="00042CC9">
        <w:rPr>
          <w:rFonts w:ascii="Calibri" w:eastAsia="Calibri" w:hAnsi="Calibri" w:cs="Calibri"/>
          <w:szCs w:val="24"/>
        </w:rPr>
        <w:t xml:space="preserve"> </w:t>
      </w:r>
      <w:r w:rsidRPr="00042CC9">
        <w:rPr>
          <w:rFonts w:ascii="Calibri" w:eastAsia="Calibri" w:hAnsi="Calibri" w:cs="Calibri"/>
          <w:szCs w:val="24"/>
        </w:rPr>
        <w:t>biodiversity loss and restore nature.</w:t>
      </w:r>
      <w:r w:rsidR="00240918" w:rsidRPr="00042CC9">
        <w:rPr>
          <w:rFonts w:ascii="Calibri" w:eastAsia="Calibri" w:hAnsi="Calibri" w:cs="Calibri"/>
          <w:szCs w:val="24"/>
        </w:rPr>
        <w:t xml:space="preserve"> These areas of focus align most closely with the objectives identified </w:t>
      </w:r>
      <w:r w:rsidR="00E63257" w:rsidRPr="00042CC9">
        <w:rPr>
          <w:rFonts w:ascii="Calibri" w:eastAsia="Calibri" w:hAnsi="Calibri" w:cs="Calibri"/>
          <w:szCs w:val="24"/>
        </w:rPr>
        <w:t xml:space="preserve">in parentheses </w:t>
      </w:r>
      <w:r w:rsidR="00240918" w:rsidRPr="00042CC9">
        <w:rPr>
          <w:rFonts w:ascii="Calibri" w:eastAsia="Calibri" w:hAnsi="Calibri" w:cs="Calibri"/>
          <w:szCs w:val="24"/>
        </w:rPr>
        <w:t xml:space="preserve">although work </w:t>
      </w:r>
      <w:r w:rsidR="00E63257" w:rsidRPr="00042CC9">
        <w:rPr>
          <w:rFonts w:ascii="Calibri" w:eastAsia="Calibri" w:hAnsi="Calibri" w:cs="Calibri"/>
          <w:szCs w:val="24"/>
        </w:rPr>
        <w:t xml:space="preserve">is </w:t>
      </w:r>
      <w:r w:rsidR="00240918" w:rsidRPr="00042CC9">
        <w:rPr>
          <w:rFonts w:ascii="Calibri" w:eastAsia="Calibri" w:hAnsi="Calibri" w:cs="Calibri"/>
          <w:szCs w:val="24"/>
        </w:rPr>
        <w:t>be</w:t>
      </w:r>
      <w:r w:rsidR="00E63257" w:rsidRPr="00042CC9">
        <w:rPr>
          <w:rFonts w:ascii="Calibri" w:eastAsia="Calibri" w:hAnsi="Calibri" w:cs="Calibri"/>
          <w:szCs w:val="24"/>
        </w:rPr>
        <w:t>ing</w:t>
      </w:r>
      <w:r w:rsidR="00240918" w:rsidRPr="00042CC9">
        <w:rPr>
          <w:rFonts w:ascii="Calibri" w:eastAsia="Calibri" w:hAnsi="Calibri" w:cs="Calibri"/>
          <w:szCs w:val="24"/>
        </w:rPr>
        <w:t xml:space="preserve"> taken forward </w:t>
      </w:r>
      <w:r w:rsidR="00290215" w:rsidRPr="00042CC9">
        <w:rPr>
          <w:rFonts w:ascii="Calibri" w:eastAsia="Calibri" w:hAnsi="Calibri" w:cs="Calibri"/>
          <w:szCs w:val="24"/>
        </w:rPr>
        <w:t xml:space="preserve">in preparation for next </w:t>
      </w:r>
      <w:r w:rsidR="009B59F1" w:rsidRPr="00042CC9">
        <w:rPr>
          <w:rFonts w:ascii="Calibri" w:eastAsia="Calibri" w:hAnsi="Calibri" w:cs="Calibri"/>
          <w:szCs w:val="24"/>
        </w:rPr>
        <w:t>year’s</w:t>
      </w:r>
      <w:r w:rsidR="00290215" w:rsidRPr="00042CC9">
        <w:rPr>
          <w:rFonts w:ascii="Calibri" w:eastAsia="Calibri" w:hAnsi="Calibri" w:cs="Calibri"/>
          <w:szCs w:val="24"/>
        </w:rPr>
        <w:t xml:space="preserve"> business plan </w:t>
      </w:r>
      <w:r w:rsidR="00240918" w:rsidRPr="00042CC9">
        <w:rPr>
          <w:rFonts w:ascii="Calibri" w:eastAsia="Calibri" w:hAnsi="Calibri" w:cs="Calibri"/>
          <w:szCs w:val="24"/>
        </w:rPr>
        <w:t>to identify how they cut across the other 11 objectives.</w:t>
      </w:r>
      <w:r w:rsidR="008D1895" w:rsidRPr="00042CC9">
        <w:rPr>
          <w:rFonts w:ascii="Calibri" w:eastAsia="Calibri" w:hAnsi="Calibri" w:cs="Calibri"/>
          <w:szCs w:val="24"/>
        </w:rPr>
        <w:t xml:space="preserve"> </w:t>
      </w:r>
      <w:r w:rsidR="00180181" w:rsidRPr="00042CC9">
        <w:rPr>
          <w:rFonts w:ascii="Calibri" w:eastAsia="Calibri" w:hAnsi="Calibri" w:cs="Calibri"/>
          <w:szCs w:val="24"/>
        </w:rPr>
        <w:t xml:space="preserve">We are refining the 4 Areas of Focus for the start of the new business planning year (2025-26) as we </w:t>
      </w:r>
      <w:r w:rsidR="009B59F1" w:rsidRPr="00042CC9">
        <w:rPr>
          <w:rFonts w:ascii="Calibri" w:eastAsia="Calibri" w:hAnsi="Calibri" w:cs="Calibri"/>
          <w:szCs w:val="24"/>
        </w:rPr>
        <w:t xml:space="preserve">improve our understanding of how they are helping to </w:t>
      </w:r>
      <w:r w:rsidR="000D555D">
        <w:rPr>
          <w:rFonts w:ascii="Calibri" w:eastAsia="Calibri" w:hAnsi="Calibri" w:cs="Calibri"/>
          <w:szCs w:val="24"/>
        </w:rPr>
        <w:t>direct</w:t>
      </w:r>
      <w:r w:rsidR="000D555D" w:rsidRPr="00042CC9">
        <w:rPr>
          <w:rFonts w:ascii="Calibri" w:eastAsia="Calibri" w:hAnsi="Calibri" w:cs="Calibri"/>
          <w:szCs w:val="24"/>
        </w:rPr>
        <w:t xml:space="preserve"> </w:t>
      </w:r>
      <w:r w:rsidR="009B59F1" w:rsidRPr="00042CC9">
        <w:rPr>
          <w:rFonts w:ascii="Calibri" w:eastAsia="Calibri" w:hAnsi="Calibri" w:cs="Calibri"/>
          <w:szCs w:val="24"/>
        </w:rPr>
        <w:t xml:space="preserve">our activity. </w:t>
      </w:r>
      <w:r w:rsidR="00240918" w:rsidRPr="00042CC9">
        <w:rPr>
          <w:rFonts w:ascii="Calibri" w:eastAsia="Calibri" w:hAnsi="Calibri" w:cs="Calibri"/>
          <w:szCs w:val="24"/>
        </w:rPr>
        <w:t>In</w:t>
      </w:r>
      <w:r w:rsidR="008D1895" w:rsidRPr="00042CC9">
        <w:rPr>
          <w:rFonts w:ascii="Calibri" w:eastAsia="Calibri" w:hAnsi="Calibri" w:cs="Calibri"/>
          <w:szCs w:val="24"/>
        </w:rPr>
        <w:t xml:space="preserve"> summary</w:t>
      </w:r>
      <w:r w:rsidR="00240918" w:rsidRPr="00042CC9">
        <w:rPr>
          <w:rFonts w:ascii="Calibri" w:eastAsia="Calibri" w:hAnsi="Calibri" w:cs="Calibri"/>
          <w:szCs w:val="24"/>
        </w:rPr>
        <w:t>,</w:t>
      </w:r>
      <w:r w:rsidR="008D1895" w:rsidRPr="00042CC9">
        <w:rPr>
          <w:rFonts w:ascii="Calibri" w:eastAsia="Calibri" w:hAnsi="Calibri" w:cs="Calibri"/>
          <w:szCs w:val="24"/>
        </w:rPr>
        <w:t xml:space="preserve"> the</w:t>
      </w:r>
      <w:r w:rsidR="00240918" w:rsidRPr="00042CC9">
        <w:rPr>
          <w:rFonts w:ascii="Calibri" w:eastAsia="Calibri" w:hAnsi="Calibri" w:cs="Calibri"/>
          <w:szCs w:val="24"/>
        </w:rPr>
        <w:t xml:space="preserve"> Areas of Focus</w:t>
      </w:r>
      <w:r w:rsidR="008D1895" w:rsidRPr="00042CC9">
        <w:rPr>
          <w:rFonts w:ascii="Calibri" w:eastAsia="Calibri" w:hAnsi="Calibri" w:cs="Calibri"/>
          <w:szCs w:val="24"/>
        </w:rPr>
        <w:t xml:space="preserve"> are:</w:t>
      </w:r>
    </w:p>
    <w:p w14:paraId="585BE109" w14:textId="11CD2DB3" w:rsidR="008D1895" w:rsidRPr="00042CC9" w:rsidRDefault="00240918">
      <w:pPr>
        <w:pStyle w:val="ListParagraph"/>
        <w:numPr>
          <w:ilvl w:val="0"/>
          <w:numId w:val="9"/>
        </w:numPr>
        <w:rPr>
          <w:rFonts w:ascii="Calibri" w:hAnsi="Calibri" w:cs="Calibri"/>
        </w:rPr>
      </w:pPr>
      <w:bookmarkStart w:id="0" w:name="_Hlk160457241"/>
      <w:r w:rsidRPr="00042CC9">
        <w:rPr>
          <w:rFonts w:ascii="Calibri" w:hAnsi="Calibri" w:cs="Calibri"/>
        </w:rPr>
        <w:t>A</w:t>
      </w:r>
      <w:r w:rsidR="008D1895" w:rsidRPr="00042CC9">
        <w:rPr>
          <w:rFonts w:ascii="Calibri" w:hAnsi="Calibri" w:cs="Calibri"/>
        </w:rPr>
        <w:t>gricultural transformation and land use change (Objective 8).</w:t>
      </w:r>
    </w:p>
    <w:p w14:paraId="57D4F8F3" w14:textId="79A9F45F" w:rsidR="008D1895" w:rsidRPr="00042CC9" w:rsidRDefault="008D1895">
      <w:pPr>
        <w:pStyle w:val="ListParagraph"/>
        <w:numPr>
          <w:ilvl w:val="0"/>
          <w:numId w:val="9"/>
        </w:numPr>
        <w:rPr>
          <w:rFonts w:ascii="Calibri" w:hAnsi="Calibri" w:cs="Calibri"/>
        </w:rPr>
      </w:pPr>
      <w:r w:rsidRPr="00042CC9">
        <w:rPr>
          <w:rFonts w:ascii="Calibri" w:hAnsi="Calibri" w:cs="Calibri"/>
        </w:rPr>
        <w:t>Direct</w:t>
      </w:r>
      <w:r w:rsidR="00240918" w:rsidRPr="00042CC9">
        <w:rPr>
          <w:rFonts w:ascii="Calibri" w:hAnsi="Calibri" w:cs="Calibri"/>
        </w:rPr>
        <w:t>ing</w:t>
      </w:r>
      <w:r w:rsidRPr="00042CC9">
        <w:rPr>
          <w:rFonts w:ascii="Calibri" w:hAnsi="Calibri" w:cs="Calibri"/>
        </w:rPr>
        <w:t xml:space="preserve"> effort into nature expanding out from land and marine Protected Areas, safeguarding 30% of Scotland’s special nature locations by 2030 (Objective 1).</w:t>
      </w:r>
    </w:p>
    <w:p w14:paraId="205F6496" w14:textId="6B343B5C" w:rsidR="008D1895" w:rsidRPr="00042CC9" w:rsidRDefault="008D1895">
      <w:pPr>
        <w:pStyle w:val="ListParagraph"/>
        <w:numPr>
          <w:ilvl w:val="0"/>
          <w:numId w:val="9"/>
        </w:numPr>
        <w:rPr>
          <w:rFonts w:ascii="Calibri" w:hAnsi="Calibri" w:cs="Calibri"/>
        </w:rPr>
      </w:pPr>
      <w:r w:rsidRPr="00042CC9">
        <w:rPr>
          <w:rFonts w:ascii="Calibri" w:hAnsi="Calibri" w:cs="Calibri"/>
        </w:rPr>
        <w:t>Creat</w:t>
      </w:r>
      <w:r w:rsidR="00240918" w:rsidRPr="00042CC9">
        <w:rPr>
          <w:rFonts w:ascii="Calibri" w:hAnsi="Calibri" w:cs="Calibri"/>
        </w:rPr>
        <w:t>ing</w:t>
      </w:r>
      <w:r w:rsidRPr="00042CC9">
        <w:rPr>
          <w:rFonts w:ascii="Calibri" w:hAnsi="Calibri" w:cs="Calibri"/>
        </w:rPr>
        <w:t xml:space="preserve"> the conditions for increasing public and private nature finance in Scotland, essential to stopping nature’s decline by 2030. (Objective 10). </w:t>
      </w:r>
    </w:p>
    <w:p w14:paraId="06A28DF6" w14:textId="4BB9F5D0" w:rsidR="008D1895" w:rsidRPr="00042CC9" w:rsidRDefault="008D1895">
      <w:pPr>
        <w:pStyle w:val="ListParagraph"/>
        <w:numPr>
          <w:ilvl w:val="0"/>
          <w:numId w:val="9"/>
        </w:numPr>
        <w:rPr>
          <w:rFonts w:ascii="Calibri" w:hAnsi="Calibri" w:cs="Calibri"/>
        </w:rPr>
      </w:pPr>
      <w:r w:rsidRPr="00042CC9">
        <w:rPr>
          <w:rFonts w:ascii="Calibri" w:hAnsi="Calibri" w:cs="Calibri"/>
        </w:rPr>
        <w:t>Strengthen</w:t>
      </w:r>
      <w:r w:rsidR="00240918" w:rsidRPr="00042CC9">
        <w:rPr>
          <w:rFonts w:ascii="Calibri" w:hAnsi="Calibri" w:cs="Calibri"/>
        </w:rPr>
        <w:t>ing</w:t>
      </w:r>
      <w:r w:rsidRPr="00042CC9">
        <w:rPr>
          <w:rFonts w:ascii="Calibri" w:hAnsi="Calibri" w:cs="Calibri"/>
        </w:rPr>
        <w:t xml:space="preserve"> approach</w:t>
      </w:r>
      <w:r w:rsidR="00240918" w:rsidRPr="00042CC9">
        <w:rPr>
          <w:rFonts w:ascii="Calibri" w:hAnsi="Calibri" w:cs="Calibri"/>
        </w:rPr>
        <w:t>es</w:t>
      </w:r>
      <w:r w:rsidRPr="00042CC9">
        <w:rPr>
          <w:rFonts w:ascii="Calibri" w:hAnsi="Calibri" w:cs="Calibri"/>
        </w:rPr>
        <w:t xml:space="preserve"> to species management such as deer, beaver, and invasive species for positive nature outcomes. (Objective 2).</w:t>
      </w:r>
    </w:p>
    <w:bookmarkEnd w:id="0"/>
    <w:p w14:paraId="487CE101" w14:textId="77777777" w:rsidR="008D1895" w:rsidRPr="004A2AB7" w:rsidRDefault="008D1895" w:rsidP="00240918">
      <w:pPr>
        <w:pStyle w:val="ListParagraph"/>
        <w:ind w:left="357"/>
        <w:rPr>
          <w:rFonts w:ascii="Calibri" w:eastAsia="Calibri" w:hAnsi="Calibri" w:cs="Calibri"/>
          <w:color w:val="FF0000"/>
          <w:szCs w:val="24"/>
        </w:rPr>
      </w:pPr>
    </w:p>
    <w:p w14:paraId="0D8455FD" w14:textId="47742BC7" w:rsidR="00290215" w:rsidRPr="00FD56A3" w:rsidRDefault="008D20BE" w:rsidP="00FD56A3">
      <w:pPr>
        <w:pStyle w:val="Heading2"/>
        <w:spacing w:line="276" w:lineRule="auto"/>
        <w:rPr>
          <w:rFonts w:ascii="Calibri" w:eastAsia="Times New Roman" w:hAnsi="Calibri" w:cs="Calibri"/>
          <w:szCs w:val="24"/>
        </w:rPr>
      </w:pPr>
      <w:r w:rsidRPr="00123FC7">
        <w:rPr>
          <w:rFonts w:ascii="Calibri" w:eastAsia="Times New Roman" w:hAnsi="Calibri" w:cs="Calibri"/>
          <w:szCs w:val="24"/>
        </w:rPr>
        <w:t xml:space="preserve">Summary </w:t>
      </w:r>
    </w:p>
    <w:p w14:paraId="6C14A6E4" w14:textId="1E3DD31D" w:rsidR="00343E5C" w:rsidRDefault="00343E5C" w:rsidP="00343E5C">
      <w:pPr>
        <w:pStyle w:val="ListParagraph"/>
        <w:numPr>
          <w:ilvl w:val="0"/>
          <w:numId w:val="1"/>
        </w:numPr>
        <w:rPr>
          <w:rFonts w:ascii="Calibri" w:eastAsia="Calibri" w:hAnsi="Calibri" w:cs="Calibri"/>
          <w:szCs w:val="24"/>
        </w:rPr>
      </w:pPr>
      <w:r w:rsidRPr="00343E5C">
        <w:rPr>
          <w:rFonts w:ascii="Calibri" w:eastAsia="Calibri" w:hAnsi="Calibri" w:cs="Calibri"/>
          <w:szCs w:val="24"/>
        </w:rPr>
        <w:t>The Scottish Biodiversity Strategy</w:t>
      </w:r>
      <w:r w:rsidR="00954E57">
        <w:rPr>
          <w:rFonts w:ascii="Calibri" w:eastAsia="Calibri" w:hAnsi="Calibri" w:cs="Calibri"/>
          <w:szCs w:val="24"/>
        </w:rPr>
        <w:t xml:space="preserve"> </w:t>
      </w:r>
      <w:r w:rsidR="004E6253">
        <w:rPr>
          <w:rFonts w:ascii="Calibri" w:eastAsia="Calibri" w:hAnsi="Calibri" w:cs="Calibri"/>
          <w:szCs w:val="24"/>
        </w:rPr>
        <w:t>(SBS)</w:t>
      </w:r>
      <w:r w:rsidRPr="00343E5C">
        <w:rPr>
          <w:rFonts w:ascii="Calibri" w:eastAsia="Calibri" w:hAnsi="Calibri" w:cs="Calibri"/>
          <w:szCs w:val="24"/>
        </w:rPr>
        <w:t xml:space="preserve"> and </w:t>
      </w:r>
      <w:r w:rsidR="002C09F5">
        <w:rPr>
          <w:rFonts w:ascii="Calibri" w:eastAsia="Calibri" w:hAnsi="Calibri" w:cs="Calibri"/>
          <w:szCs w:val="24"/>
        </w:rPr>
        <w:t xml:space="preserve">its accompanying </w:t>
      </w:r>
      <w:r w:rsidRPr="00343E5C">
        <w:rPr>
          <w:rFonts w:ascii="Calibri" w:eastAsia="Calibri" w:hAnsi="Calibri" w:cs="Calibri"/>
          <w:szCs w:val="24"/>
        </w:rPr>
        <w:t xml:space="preserve">Delivery Plan were launched in Q3.  We are now working with Scottish Government to build momentum </w:t>
      </w:r>
      <w:r w:rsidR="00FD56A3">
        <w:rPr>
          <w:rFonts w:ascii="Calibri" w:eastAsia="Calibri" w:hAnsi="Calibri" w:cs="Calibri"/>
          <w:szCs w:val="24"/>
        </w:rPr>
        <w:t>a</w:t>
      </w:r>
      <w:r w:rsidRPr="00343E5C">
        <w:rPr>
          <w:rFonts w:ascii="Calibri" w:eastAsia="Calibri" w:hAnsi="Calibri" w:cs="Calibri"/>
          <w:szCs w:val="24"/>
        </w:rPr>
        <w:t>round new governance arrangements and delivery.</w:t>
      </w:r>
    </w:p>
    <w:p w14:paraId="3F2FEFD3" w14:textId="799F372D" w:rsidR="00343E5C" w:rsidRPr="00343E5C" w:rsidRDefault="00343E5C" w:rsidP="00343E5C">
      <w:pPr>
        <w:pStyle w:val="ListParagraph"/>
        <w:ind w:left="360"/>
        <w:rPr>
          <w:rFonts w:ascii="Calibri" w:eastAsia="Calibri" w:hAnsi="Calibri" w:cs="Calibri"/>
          <w:szCs w:val="24"/>
        </w:rPr>
      </w:pPr>
      <w:r w:rsidRPr="00343E5C">
        <w:rPr>
          <w:rFonts w:ascii="Calibri" w:eastAsia="Calibri" w:hAnsi="Calibri" w:cs="Calibri"/>
          <w:szCs w:val="24"/>
        </w:rPr>
        <w:t xml:space="preserve"> </w:t>
      </w:r>
    </w:p>
    <w:p w14:paraId="11B1EAE2" w14:textId="1B0BF7BF" w:rsidR="00946AD8" w:rsidRPr="00ED271B" w:rsidRDefault="00DA39C2" w:rsidP="00712898">
      <w:pPr>
        <w:pStyle w:val="ListParagraph"/>
        <w:numPr>
          <w:ilvl w:val="0"/>
          <w:numId w:val="1"/>
        </w:numPr>
        <w:ind w:left="357" w:hanging="357"/>
        <w:rPr>
          <w:rFonts w:ascii="Calibri" w:eastAsia="Calibri" w:hAnsi="Calibri" w:cs="Calibri"/>
          <w:szCs w:val="24"/>
        </w:rPr>
      </w:pPr>
      <w:r w:rsidRPr="00ED271B">
        <w:rPr>
          <w:rFonts w:ascii="Calibri" w:eastAsia="Calibri" w:hAnsi="Calibri" w:cs="Calibri"/>
          <w:szCs w:val="24"/>
        </w:rPr>
        <w:t xml:space="preserve">The national park consultation is underway, closing in </w:t>
      </w:r>
      <w:r w:rsidR="00FD56A3" w:rsidRPr="00ED271B">
        <w:rPr>
          <w:rFonts w:ascii="Calibri" w:eastAsia="Calibri" w:hAnsi="Calibri" w:cs="Calibri"/>
          <w:szCs w:val="24"/>
        </w:rPr>
        <w:t>mid-February</w:t>
      </w:r>
      <w:r w:rsidRPr="00ED271B">
        <w:rPr>
          <w:rFonts w:ascii="Calibri" w:eastAsia="Calibri" w:hAnsi="Calibri" w:cs="Calibri"/>
          <w:szCs w:val="24"/>
        </w:rPr>
        <w:t>.  This is continuing to generate</w:t>
      </w:r>
      <w:r w:rsidR="00ED271B" w:rsidRPr="00ED271B">
        <w:rPr>
          <w:rFonts w:ascii="Calibri" w:eastAsia="Calibri" w:hAnsi="Calibri" w:cs="Calibri"/>
          <w:szCs w:val="24"/>
        </w:rPr>
        <w:t xml:space="preserve"> heated debate</w:t>
      </w:r>
      <w:r w:rsidR="00B07EEB">
        <w:rPr>
          <w:rFonts w:ascii="Calibri" w:eastAsia="Calibri" w:hAnsi="Calibri" w:cs="Calibri"/>
          <w:szCs w:val="24"/>
        </w:rPr>
        <w:t xml:space="preserve"> locally</w:t>
      </w:r>
      <w:r w:rsidR="00ED271B" w:rsidRPr="00ED271B">
        <w:rPr>
          <w:rFonts w:ascii="Calibri" w:eastAsia="Calibri" w:hAnsi="Calibri" w:cs="Calibri"/>
          <w:szCs w:val="24"/>
        </w:rPr>
        <w:t xml:space="preserve">.  Further consultation events </w:t>
      </w:r>
      <w:r w:rsidR="00B07EEB">
        <w:rPr>
          <w:rFonts w:ascii="Calibri" w:eastAsia="Calibri" w:hAnsi="Calibri" w:cs="Calibri"/>
          <w:szCs w:val="24"/>
        </w:rPr>
        <w:t xml:space="preserve">and stakeholder meetings </w:t>
      </w:r>
      <w:r w:rsidR="00ED271B" w:rsidRPr="00ED271B">
        <w:rPr>
          <w:rFonts w:ascii="Calibri" w:eastAsia="Calibri" w:hAnsi="Calibri" w:cs="Calibri"/>
          <w:szCs w:val="24"/>
        </w:rPr>
        <w:t xml:space="preserve">will be held in January and we will then move on to undertaking the analysis of all the </w:t>
      </w:r>
      <w:r w:rsidR="00ED271B">
        <w:rPr>
          <w:rFonts w:ascii="Calibri" w:eastAsia="Calibri" w:hAnsi="Calibri" w:cs="Calibri"/>
          <w:szCs w:val="24"/>
        </w:rPr>
        <w:t>responses</w:t>
      </w:r>
      <w:r w:rsidR="00ED271B" w:rsidRPr="00ED271B">
        <w:rPr>
          <w:rFonts w:ascii="Calibri" w:eastAsia="Calibri" w:hAnsi="Calibri" w:cs="Calibri"/>
          <w:szCs w:val="24"/>
        </w:rPr>
        <w:t xml:space="preserve"> received in order to provide advice to Ministers. </w:t>
      </w:r>
    </w:p>
    <w:p w14:paraId="1A5BB6D3" w14:textId="77777777" w:rsidR="00ED271B" w:rsidRPr="00ED271B" w:rsidRDefault="00ED271B" w:rsidP="00ED271B">
      <w:pPr>
        <w:pStyle w:val="ListParagraph"/>
        <w:ind w:left="357"/>
        <w:rPr>
          <w:rFonts w:ascii="Calibri" w:eastAsia="Calibri" w:hAnsi="Calibri" w:cs="Calibri"/>
          <w:szCs w:val="24"/>
        </w:rPr>
      </w:pPr>
    </w:p>
    <w:p w14:paraId="6F06C590" w14:textId="7C38DBAF" w:rsidR="00946AD8" w:rsidRPr="00ED271B" w:rsidRDefault="00ED271B" w:rsidP="00B15C61">
      <w:pPr>
        <w:pStyle w:val="ListParagraph"/>
        <w:numPr>
          <w:ilvl w:val="0"/>
          <w:numId w:val="1"/>
        </w:numPr>
        <w:ind w:left="357" w:hanging="357"/>
        <w:rPr>
          <w:rFonts w:ascii="Calibri" w:eastAsia="Calibri" w:hAnsi="Calibri" w:cs="Calibri"/>
          <w:szCs w:val="24"/>
        </w:rPr>
      </w:pPr>
      <w:r w:rsidRPr="00ED271B">
        <w:rPr>
          <w:rFonts w:ascii="Calibri" w:eastAsia="Calibri" w:hAnsi="Calibri" w:cs="Calibri"/>
          <w:szCs w:val="24"/>
        </w:rPr>
        <w:t xml:space="preserve">Feedback from Scottish Government on the budget has confirmed that we will have resource for Scotwind posts baselined into our Grant in Aid next year.  We are working with contractors to consider other mechanisms to resource our growing need for staff to manage this area of work. </w:t>
      </w:r>
    </w:p>
    <w:p w14:paraId="29019528" w14:textId="77777777" w:rsidR="00ED271B" w:rsidRPr="00FD56A3" w:rsidRDefault="00ED271B" w:rsidP="00ED271B">
      <w:pPr>
        <w:pStyle w:val="ListParagraph"/>
        <w:rPr>
          <w:rFonts w:ascii="Calibri" w:eastAsia="Calibri" w:hAnsi="Calibri" w:cs="Calibri"/>
          <w:szCs w:val="24"/>
        </w:rPr>
      </w:pPr>
    </w:p>
    <w:p w14:paraId="34EE1312" w14:textId="7AD0C5ED" w:rsidR="00030902" w:rsidRPr="00FD56A3" w:rsidRDefault="00FD56A3" w:rsidP="00286E62">
      <w:pPr>
        <w:pStyle w:val="ListParagraph"/>
        <w:numPr>
          <w:ilvl w:val="0"/>
          <w:numId w:val="1"/>
        </w:numPr>
        <w:rPr>
          <w:rFonts w:ascii="Calibri" w:eastAsia="Calibri" w:hAnsi="Calibri" w:cs="Calibri"/>
          <w:szCs w:val="24"/>
        </w:rPr>
      </w:pPr>
      <w:r>
        <w:rPr>
          <w:rFonts w:ascii="Calibri" w:eastAsia="Calibri" w:hAnsi="Calibri" w:cs="Calibri"/>
          <w:szCs w:val="24"/>
        </w:rPr>
        <w:t>There is</w:t>
      </w:r>
      <w:r w:rsidR="00030902" w:rsidRPr="00FD56A3">
        <w:rPr>
          <w:rFonts w:ascii="Calibri" w:eastAsia="Calibri" w:hAnsi="Calibri" w:cs="Calibri"/>
          <w:szCs w:val="24"/>
        </w:rPr>
        <w:t xml:space="preserve"> significant demand on resourcing </w:t>
      </w:r>
      <w:r>
        <w:rPr>
          <w:rFonts w:ascii="Calibri" w:eastAsia="Calibri" w:hAnsi="Calibri" w:cs="Calibri"/>
          <w:szCs w:val="24"/>
        </w:rPr>
        <w:t>of</w:t>
      </w:r>
      <w:r w:rsidR="00030902" w:rsidRPr="00FD56A3">
        <w:rPr>
          <w:rFonts w:ascii="Calibri" w:eastAsia="Calibri" w:hAnsi="Calibri" w:cs="Calibri"/>
          <w:szCs w:val="24"/>
        </w:rPr>
        <w:t xml:space="preserve"> the Online Licensing Service development and tight timescales for delivery.</w:t>
      </w:r>
      <w:r w:rsidR="00B64680" w:rsidRPr="00FD56A3">
        <w:rPr>
          <w:rFonts w:ascii="Aptos" w:hAnsi="Aptos" w:cs="Arial"/>
          <w:sz w:val="22"/>
          <w14:ligatures w14:val="standardContextual"/>
        </w:rPr>
        <w:t xml:space="preserve"> P</w:t>
      </w:r>
      <w:r w:rsidR="00B64680" w:rsidRPr="00FD56A3">
        <w:rPr>
          <w:rFonts w:ascii="Calibri" w:eastAsia="Calibri" w:hAnsi="Calibri" w:cs="Calibri"/>
          <w:szCs w:val="24"/>
        </w:rPr>
        <w:t xml:space="preserve">art of the issue around the legislative challenge is the additional time demands on key staff. </w:t>
      </w:r>
      <w:r w:rsidR="00030902" w:rsidRPr="00FD56A3">
        <w:rPr>
          <w:rFonts w:ascii="Calibri" w:eastAsia="Calibri" w:hAnsi="Calibri" w:cs="Calibri"/>
          <w:szCs w:val="24"/>
        </w:rPr>
        <w:t xml:space="preserve"> These </w:t>
      </w:r>
      <w:r w:rsidR="00B64680" w:rsidRPr="00FD56A3">
        <w:rPr>
          <w:rFonts w:ascii="Calibri" w:eastAsia="Calibri" w:hAnsi="Calibri" w:cs="Calibri"/>
          <w:szCs w:val="24"/>
        </w:rPr>
        <w:t xml:space="preserve">demands </w:t>
      </w:r>
      <w:r w:rsidR="00030902" w:rsidRPr="00FD56A3">
        <w:rPr>
          <w:rFonts w:ascii="Calibri" w:eastAsia="Calibri" w:hAnsi="Calibri" w:cs="Calibri"/>
          <w:szCs w:val="24"/>
        </w:rPr>
        <w:t xml:space="preserve">are a result of our new, </w:t>
      </w:r>
      <w:r w:rsidR="00030902" w:rsidRPr="00FD56A3">
        <w:rPr>
          <w:rFonts w:ascii="Calibri" w:eastAsia="Calibri" w:hAnsi="Calibri" w:cs="Calibri"/>
          <w:szCs w:val="24"/>
        </w:rPr>
        <w:lastRenderedPageBreak/>
        <w:t xml:space="preserve">additional licencing functions for muirburn, trapping and deer legislation coming through simultaneously. We are also experiencing an increasingly litigious land managers’ stakeholder group - which may result in challenge on grouse, muirburn </w:t>
      </w:r>
      <w:r w:rsidRPr="00FD56A3">
        <w:rPr>
          <w:rFonts w:ascii="Calibri" w:eastAsia="Calibri" w:hAnsi="Calibri" w:cs="Calibri"/>
          <w:szCs w:val="24"/>
        </w:rPr>
        <w:t>and Hunting</w:t>
      </w:r>
      <w:r w:rsidR="00030902" w:rsidRPr="00FD56A3">
        <w:rPr>
          <w:rFonts w:ascii="Calibri" w:eastAsia="Calibri" w:hAnsi="Calibri" w:cs="Calibri"/>
          <w:szCs w:val="24"/>
        </w:rPr>
        <w:t xml:space="preserve"> with Dogs licenc</w:t>
      </w:r>
      <w:r>
        <w:rPr>
          <w:rFonts w:ascii="Calibri" w:eastAsia="Calibri" w:hAnsi="Calibri" w:cs="Calibri"/>
          <w:szCs w:val="24"/>
        </w:rPr>
        <w:t>ing</w:t>
      </w:r>
      <w:r w:rsidR="00030902" w:rsidRPr="00FD56A3">
        <w:rPr>
          <w:rFonts w:ascii="Calibri" w:eastAsia="Calibri" w:hAnsi="Calibri" w:cs="Calibri"/>
          <w:szCs w:val="24"/>
        </w:rPr>
        <w:t xml:space="preserve"> functions.</w:t>
      </w:r>
    </w:p>
    <w:p w14:paraId="7B1225D7" w14:textId="77777777" w:rsidR="00B35AC0" w:rsidRPr="00FD56A3" w:rsidRDefault="00B35AC0" w:rsidP="00FD56A3">
      <w:pPr>
        <w:pStyle w:val="ListParagraph"/>
        <w:rPr>
          <w:rFonts w:ascii="Calibri" w:eastAsia="Calibri" w:hAnsi="Calibri" w:cs="Calibri"/>
          <w:szCs w:val="24"/>
        </w:rPr>
      </w:pPr>
    </w:p>
    <w:p w14:paraId="5AD01067" w14:textId="7676C8BB" w:rsidR="00B35AC0" w:rsidRPr="00FD56A3" w:rsidRDefault="00FD56A3" w:rsidP="00030902">
      <w:pPr>
        <w:pStyle w:val="ListParagraph"/>
        <w:numPr>
          <w:ilvl w:val="0"/>
          <w:numId w:val="1"/>
        </w:numPr>
        <w:rPr>
          <w:rFonts w:ascii="Calibri" w:eastAsia="Calibri" w:hAnsi="Calibri" w:cs="Calibri"/>
          <w:szCs w:val="24"/>
        </w:rPr>
      </w:pPr>
      <w:r>
        <w:rPr>
          <w:rFonts w:ascii="Calibri" w:hAnsi="Calibri" w:cs="Calibri"/>
          <w:szCs w:val="24"/>
        </w:rPr>
        <w:t>We are, as a priority,</w:t>
      </w:r>
      <w:r w:rsidR="00B35AC0" w:rsidRPr="00FD56A3">
        <w:rPr>
          <w:rFonts w:ascii="Calibri" w:hAnsi="Calibri" w:cs="Calibri"/>
          <w:szCs w:val="24"/>
        </w:rPr>
        <w:t xml:space="preserve"> </w:t>
      </w:r>
      <w:r>
        <w:rPr>
          <w:rFonts w:ascii="Calibri" w:hAnsi="Calibri" w:cs="Calibri"/>
          <w:szCs w:val="24"/>
        </w:rPr>
        <w:t xml:space="preserve">seeking to </w:t>
      </w:r>
      <w:r w:rsidR="00B35AC0" w:rsidRPr="00FD56A3">
        <w:rPr>
          <w:rFonts w:ascii="Calibri" w:hAnsi="Calibri" w:cs="Calibri"/>
          <w:szCs w:val="24"/>
        </w:rPr>
        <w:t>secure funds for pipeline generation beyond the end of FIRNS. We are in active discussion through the Nature Investment Partnership and with other potential investors and carbon buyers.</w:t>
      </w:r>
    </w:p>
    <w:p w14:paraId="20021377" w14:textId="77777777" w:rsidR="00722FD0" w:rsidRPr="00FD56A3" w:rsidRDefault="00722FD0" w:rsidP="004A2AB7">
      <w:pPr>
        <w:pStyle w:val="ListParagraph"/>
        <w:ind w:left="357"/>
        <w:rPr>
          <w:rFonts w:ascii="Calibri" w:eastAsia="Calibri" w:hAnsi="Calibri" w:cs="Calibri"/>
          <w:szCs w:val="24"/>
        </w:rPr>
      </w:pPr>
    </w:p>
    <w:p w14:paraId="3D72F969" w14:textId="09BBDEB9" w:rsidR="00722FD0" w:rsidRPr="00FD56A3" w:rsidRDefault="00722FD0" w:rsidP="00BA1C7F">
      <w:pPr>
        <w:pStyle w:val="ListParagraph"/>
        <w:numPr>
          <w:ilvl w:val="0"/>
          <w:numId w:val="1"/>
        </w:numPr>
        <w:ind w:left="357" w:hanging="357"/>
        <w:rPr>
          <w:rFonts w:ascii="Calibri" w:eastAsia="Calibri" w:hAnsi="Calibri" w:cs="Calibri"/>
          <w:szCs w:val="24"/>
        </w:rPr>
      </w:pPr>
      <w:r w:rsidRPr="00FD56A3">
        <w:rPr>
          <w:rFonts w:ascii="Calibri" w:eastAsia="Calibri" w:hAnsi="Calibri" w:cs="Calibri"/>
          <w:szCs w:val="24"/>
        </w:rPr>
        <w:t xml:space="preserve">We continue to embed new ways of </w:t>
      </w:r>
      <w:r w:rsidR="00FD56A3" w:rsidRPr="00FD56A3">
        <w:rPr>
          <w:rFonts w:ascii="Calibri" w:eastAsia="Calibri" w:hAnsi="Calibri" w:cs="Calibri"/>
          <w:szCs w:val="24"/>
        </w:rPr>
        <w:t>working,</w:t>
      </w:r>
      <w:r w:rsidRPr="00FD56A3">
        <w:rPr>
          <w:rFonts w:ascii="Calibri" w:eastAsia="Calibri" w:hAnsi="Calibri" w:cs="Calibri"/>
          <w:szCs w:val="24"/>
        </w:rPr>
        <w:t xml:space="preserve"> strengthening our organisational resilience and improving agility and connectivity. However, both scale and pace are constrained by budgetary pressures, not least uncertainty on future year funding for multi-year initiatives, and wider capacity to absorb change alongside busy workloads. Previous pulse surveys have highlighted workload management as a significant source of stress and actions are being undertaken to counter this</w:t>
      </w:r>
      <w:r w:rsidR="00350526" w:rsidRPr="00FD56A3">
        <w:rPr>
          <w:rFonts w:ascii="Calibri" w:eastAsia="Calibri" w:hAnsi="Calibri" w:cs="Calibri"/>
          <w:szCs w:val="24"/>
        </w:rPr>
        <w:t xml:space="preserve"> though roll-out of the HSE stress </w:t>
      </w:r>
      <w:r w:rsidR="000B32A8">
        <w:rPr>
          <w:rFonts w:ascii="Calibri" w:eastAsia="Calibri" w:hAnsi="Calibri" w:cs="Calibri"/>
          <w:szCs w:val="24"/>
        </w:rPr>
        <w:t>indicator</w:t>
      </w:r>
      <w:r w:rsidR="000B32A8" w:rsidRPr="00FD56A3">
        <w:rPr>
          <w:rFonts w:ascii="Calibri" w:eastAsia="Calibri" w:hAnsi="Calibri" w:cs="Calibri"/>
          <w:szCs w:val="24"/>
        </w:rPr>
        <w:t xml:space="preserve"> </w:t>
      </w:r>
      <w:r w:rsidR="00350526" w:rsidRPr="00FD56A3">
        <w:rPr>
          <w:rFonts w:ascii="Calibri" w:eastAsia="Calibri" w:hAnsi="Calibri" w:cs="Calibri"/>
          <w:szCs w:val="24"/>
        </w:rPr>
        <w:t>tool following a successful pilot</w:t>
      </w:r>
      <w:r w:rsidR="00FD56A3">
        <w:rPr>
          <w:rFonts w:ascii="Calibri" w:eastAsia="Calibri" w:hAnsi="Calibri" w:cs="Calibri"/>
          <w:szCs w:val="24"/>
        </w:rPr>
        <w:t xml:space="preserve"> of it</w:t>
      </w:r>
      <w:r w:rsidR="00350526" w:rsidRPr="00FD56A3">
        <w:rPr>
          <w:rFonts w:ascii="Calibri" w:eastAsia="Calibri" w:hAnsi="Calibri" w:cs="Calibri"/>
          <w:szCs w:val="24"/>
        </w:rPr>
        <w:t>.</w:t>
      </w:r>
    </w:p>
    <w:p w14:paraId="17D33A39" w14:textId="77777777" w:rsidR="00A92B9C" w:rsidRPr="00FD56A3" w:rsidRDefault="00A92B9C" w:rsidP="00A92B9C">
      <w:pPr>
        <w:pStyle w:val="ListParagraph"/>
        <w:rPr>
          <w:rFonts w:ascii="Calibri" w:eastAsia="Calibri" w:hAnsi="Calibri" w:cs="Calibri"/>
          <w:szCs w:val="24"/>
        </w:rPr>
      </w:pPr>
    </w:p>
    <w:p w14:paraId="23373404" w14:textId="7BFEAC92" w:rsidR="00A92B9C" w:rsidRDefault="00FD56A3" w:rsidP="00BA1C7F">
      <w:pPr>
        <w:pStyle w:val="ListParagraph"/>
        <w:numPr>
          <w:ilvl w:val="0"/>
          <w:numId w:val="1"/>
        </w:numPr>
        <w:ind w:left="357" w:hanging="357"/>
        <w:rPr>
          <w:rFonts w:ascii="Calibri" w:eastAsia="Calibri" w:hAnsi="Calibri" w:cs="Calibri"/>
          <w:szCs w:val="24"/>
        </w:rPr>
      </w:pPr>
      <w:r>
        <w:rPr>
          <w:rFonts w:ascii="Calibri" w:eastAsia="Calibri" w:hAnsi="Calibri" w:cs="Calibri"/>
          <w:szCs w:val="24"/>
        </w:rPr>
        <w:t>W</w:t>
      </w:r>
      <w:r w:rsidR="00A92B9C" w:rsidRPr="00FD56A3">
        <w:rPr>
          <w:rFonts w:ascii="Calibri" w:eastAsia="Calibri" w:hAnsi="Calibri" w:cs="Calibri"/>
          <w:szCs w:val="24"/>
        </w:rPr>
        <w:t xml:space="preserve">hilst Public Service Reform remains high on Government’s agenda, progress over the quarter has been limited. This largely reflects the reality of less resources being available within </w:t>
      </w:r>
      <w:r>
        <w:rPr>
          <w:rFonts w:ascii="Calibri" w:eastAsia="Calibri" w:hAnsi="Calibri" w:cs="Calibri"/>
          <w:szCs w:val="24"/>
        </w:rPr>
        <w:t xml:space="preserve">the Scottish </w:t>
      </w:r>
      <w:r w:rsidR="00A92B9C" w:rsidRPr="00FD56A3">
        <w:rPr>
          <w:rFonts w:ascii="Calibri" w:eastAsia="Calibri" w:hAnsi="Calibri" w:cs="Calibri"/>
          <w:szCs w:val="24"/>
        </w:rPr>
        <w:t>Government.</w:t>
      </w:r>
      <w:r w:rsidR="000176B3">
        <w:rPr>
          <w:rFonts w:ascii="Calibri" w:eastAsia="Calibri" w:hAnsi="Calibri" w:cs="Calibri"/>
          <w:szCs w:val="24"/>
        </w:rPr>
        <w:t xml:space="preserve"> We can expect this to pick up pace in the months ahead.</w:t>
      </w:r>
    </w:p>
    <w:p w14:paraId="498DC845" w14:textId="77777777" w:rsidR="004E6253" w:rsidRPr="004E6253" w:rsidRDefault="004E6253" w:rsidP="004E6253">
      <w:pPr>
        <w:pStyle w:val="ListParagraph"/>
        <w:rPr>
          <w:rFonts w:ascii="Calibri" w:eastAsia="Calibri" w:hAnsi="Calibri" w:cs="Calibri"/>
          <w:szCs w:val="24"/>
        </w:rPr>
      </w:pPr>
    </w:p>
    <w:p w14:paraId="46FF41D8" w14:textId="137EC8EC" w:rsidR="004E6253" w:rsidRPr="00FD56A3" w:rsidRDefault="004E6253" w:rsidP="00BA1C7F">
      <w:pPr>
        <w:pStyle w:val="ListParagraph"/>
        <w:numPr>
          <w:ilvl w:val="0"/>
          <w:numId w:val="1"/>
        </w:numPr>
        <w:ind w:left="357" w:hanging="357"/>
        <w:rPr>
          <w:rFonts w:ascii="Calibri" w:eastAsia="Calibri" w:hAnsi="Calibri" w:cs="Calibri"/>
          <w:szCs w:val="24"/>
        </w:rPr>
      </w:pPr>
      <w:r>
        <w:rPr>
          <w:rFonts w:ascii="Calibri" w:eastAsia="Calibri" w:hAnsi="Calibri" w:cs="Calibri"/>
          <w:szCs w:val="24"/>
        </w:rPr>
        <w:t xml:space="preserve">In summary, the challenges on the organisation and its staff are increasing with significant pressure points beginning to emerge, particularly given the increasing demand for extra resources </w:t>
      </w:r>
      <w:r w:rsidR="00DC77FA">
        <w:rPr>
          <w:rFonts w:ascii="Calibri" w:eastAsia="Calibri" w:hAnsi="Calibri" w:cs="Calibri"/>
          <w:szCs w:val="24"/>
        </w:rPr>
        <w:t>on renewables</w:t>
      </w:r>
      <w:r>
        <w:rPr>
          <w:rFonts w:ascii="Calibri" w:eastAsia="Calibri" w:hAnsi="Calibri" w:cs="Calibri"/>
          <w:szCs w:val="24"/>
        </w:rPr>
        <w:t xml:space="preserve"> planning work. This quarter we have seen three objectives rated as amber, compared to none</w:t>
      </w:r>
      <w:r w:rsidR="00F251F7">
        <w:rPr>
          <w:rFonts w:ascii="Calibri" w:eastAsia="Calibri" w:hAnsi="Calibri" w:cs="Calibri"/>
          <w:szCs w:val="24"/>
        </w:rPr>
        <w:t xml:space="preserve"> in the</w:t>
      </w:r>
      <w:r>
        <w:rPr>
          <w:rFonts w:ascii="Calibri" w:eastAsia="Calibri" w:hAnsi="Calibri" w:cs="Calibri"/>
          <w:szCs w:val="24"/>
        </w:rPr>
        <w:t xml:space="preserve"> last quarter, which is an early indicator of the resourcing pressures that we are starting to experience.</w:t>
      </w:r>
    </w:p>
    <w:p w14:paraId="4AF7EA02" w14:textId="77777777" w:rsidR="00AF2D3D" w:rsidRPr="00106424" w:rsidRDefault="00AF2D3D" w:rsidP="00A15D6F">
      <w:pPr>
        <w:pStyle w:val="ListParagraph"/>
        <w:spacing w:after="0"/>
        <w:ind w:left="360"/>
        <w:rPr>
          <w:rFonts w:ascii="Calibri" w:eastAsia="Calibri" w:hAnsi="Calibri" w:cs="Calibri"/>
          <w:color w:val="000000" w:themeColor="text1"/>
          <w:szCs w:val="24"/>
        </w:rPr>
      </w:pPr>
    </w:p>
    <w:tbl>
      <w:tblPr>
        <w:tblStyle w:val="GridTable4-Accent1"/>
        <w:tblpPr w:leftFromText="180" w:rightFromText="180" w:vertAnchor="text" w:horzAnchor="margin" w:tblpY="12"/>
        <w:tblW w:w="9351" w:type="dxa"/>
        <w:tblLook w:val="04A0" w:firstRow="1" w:lastRow="0" w:firstColumn="1" w:lastColumn="0" w:noHBand="0" w:noVBand="1"/>
      </w:tblPr>
      <w:tblGrid>
        <w:gridCol w:w="2824"/>
        <w:gridCol w:w="2136"/>
        <w:gridCol w:w="2443"/>
        <w:gridCol w:w="1948"/>
      </w:tblGrid>
      <w:tr w:rsidR="008D20BE" w:rsidRPr="00B6615A" w14:paraId="035CF796" w14:textId="77777777" w:rsidTr="008D20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4" w:type="dxa"/>
          </w:tcPr>
          <w:p w14:paraId="09499F07" w14:textId="77777777" w:rsidR="008D20BE" w:rsidRPr="00B6615A" w:rsidRDefault="008D20BE" w:rsidP="008D20BE">
            <w:pPr>
              <w:spacing w:line="276" w:lineRule="auto"/>
              <w:jc w:val="center"/>
              <w:rPr>
                <w:rFonts w:ascii="Calibri" w:hAnsi="Calibri" w:cs="Calibri"/>
                <w:szCs w:val="24"/>
              </w:rPr>
            </w:pPr>
            <w:bookmarkStart w:id="1" w:name="_Hlk147301372"/>
            <w:r w:rsidRPr="00B6615A">
              <w:rPr>
                <w:rFonts w:ascii="Calibri" w:hAnsi="Calibri" w:cs="Calibri"/>
                <w:color w:val="000000" w:themeColor="text1"/>
                <w:szCs w:val="24"/>
              </w:rPr>
              <w:t>PRIORITY PERFORMANCE</w:t>
            </w:r>
          </w:p>
        </w:tc>
        <w:tc>
          <w:tcPr>
            <w:tcW w:w="2136" w:type="dxa"/>
          </w:tcPr>
          <w:p w14:paraId="68668ABC"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c>
          <w:tcPr>
            <w:tcW w:w="2443" w:type="dxa"/>
          </w:tcPr>
          <w:p w14:paraId="40E53B2B"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CORPORATE RISK</w:t>
            </w:r>
          </w:p>
        </w:tc>
        <w:tc>
          <w:tcPr>
            <w:tcW w:w="1948" w:type="dxa"/>
          </w:tcPr>
          <w:p w14:paraId="351BB78A"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r>
      <w:tr w:rsidR="008D20BE" w:rsidRPr="00B6615A" w14:paraId="0A2CD7C0" w14:textId="77777777" w:rsidTr="008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2092EFCA" w14:textId="77777777" w:rsidR="008D20BE" w:rsidRPr="00B6615A" w:rsidRDefault="008D20BE" w:rsidP="008D20BE">
            <w:pPr>
              <w:spacing w:line="276" w:lineRule="auto"/>
              <w:jc w:val="center"/>
              <w:rPr>
                <w:rFonts w:ascii="Calibri" w:hAnsi="Calibri" w:cs="Calibri"/>
                <w:szCs w:val="24"/>
              </w:rPr>
            </w:pPr>
            <w:r>
              <w:rPr>
                <w:rFonts w:ascii="Calibri" w:hAnsi="Calibri" w:cs="Calibri"/>
                <w:szCs w:val="24"/>
              </w:rPr>
              <w:t>Objectives</w:t>
            </w:r>
          </w:p>
        </w:tc>
        <w:tc>
          <w:tcPr>
            <w:tcW w:w="2136" w:type="dxa"/>
          </w:tcPr>
          <w:p w14:paraId="4005D7FF" w14:textId="77777777" w:rsidR="008D20BE" w:rsidRPr="00023C29" w:rsidRDefault="008D20B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szCs w:val="24"/>
              </w:rPr>
            </w:pPr>
            <w:r w:rsidRPr="00023C29">
              <w:rPr>
                <w:rFonts w:ascii="Calibri" w:hAnsi="Calibri" w:cs="Calibri"/>
                <w:b/>
                <w:szCs w:val="24"/>
              </w:rPr>
              <w:t>15</w:t>
            </w:r>
          </w:p>
        </w:tc>
        <w:tc>
          <w:tcPr>
            <w:tcW w:w="2443" w:type="dxa"/>
          </w:tcPr>
          <w:p w14:paraId="3B3C33A5" w14:textId="77777777" w:rsidR="008D20BE" w:rsidRPr="00B6615A" w:rsidRDefault="008D20B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B6615A">
              <w:rPr>
                <w:rFonts w:ascii="Calibri" w:hAnsi="Calibri" w:cs="Calibri"/>
                <w:b/>
                <w:szCs w:val="24"/>
              </w:rPr>
              <w:t>Corporate Risks</w:t>
            </w:r>
          </w:p>
        </w:tc>
        <w:tc>
          <w:tcPr>
            <w:tcW w:w="1948" w:type="dxa"/>
          </w:tcPr>
          <w:p w14:paraId="0F960AE6" w14:textId="4211ED09" w:rsidR="008D20BE" w:rsidRPr="00C20267" w:rsidRDefault="0040189B"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szCs w:val="24"/>
              </w:rPr>
            </w:pPr>
            <w:r w:rsidRPr="0040189B">
              <w:rPr>
                <w:rFonts w:ascii="Calibri" w:hAnsi="Calibri" w:cs="Calibri"/>
                <w:b/>
                <w:szCs w:val="24"/>
              </w:rPr>
              <w:t>10</w:t>
            </w:r>
          </w:p>
        </w:tc>
      </w:tr>
      <w:tr w:rsidR="008D20BE" w:rsidRPr="00B6615A" w14:paraId="03F70509" w14:textId="77777777" w:rsidTr="008D20BE">
        <w:tc>
          <w:tcPr>
            <w:cnfStyle w:val="001000000000" w:firstRow="0" w:lastRow="0" w:firstColumn="1" w:lastColumn="0" w:oddVBand="0" w:evenVBand="0" w:oddHBand="0" w:evenHBand="0" w:firstRowFirstColumn="0" w:firstRowLastColumn="0" w:lastRowFirstColumn="0" w:lastRowLastColumn="0"/>
            <w:tcW w:w="2824" w:type="dxa"/>
          </w:tcPr>
          <w:p w14:paraId="755D8B15" w14:textId="77777777" w:rsidR="008D20BE" w:rsidRPr="00E52E7B" w:rsidRDefault="008D20BE" w:rsidP="008D20BE">
            <w:pPr>
              <w:spacing w:line="276" w:lineRule="auto"/>
              <w:jc w:val="center"/>
              <w:rPr>
                <w:rFonts w:ascii="Calibri" w:hAnsi="Calibri" w:cs="Calibri"/>
                <w:szCs w:val="24"/>
              </w:rPr>
            </w:pPr>
            <w:r w:rsidRPr="00E52E7B">
              <w:rPr>
                <w:rFonts w:ascii="Calibri" w:hAnsi="Calibri" w:cs="Calibri"/>
                <w:color w:val="00B050"/>
                <w:szCs w:val="24"/>
              </w:rPr>
              <w:t>On Track</w:t>
            </w:r>
          </w:p>
        </w:tc>
        <w:tc>
          <w:tcPr>
            <w:tcW w:w="2136" w:type="dxa"/>
          </w:tcPr>
          <w:p w14:paraId="20AD9686" w14:textId="68F47489" w:rsidR="008D20BE" w:rsidRPr="00041A5C" w:rsidRDefault="0040189B" w:rsidP="008D20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12</w:t>
            </w:r>
          </w:p>
        </w:tc>
        <w:tc>
          <w:tcPr>
            <w:tcW w:w="2443" w:type="dxa"/>
          </w:tcPr>
          <w:p w14:paraId="3E7449C1" w14:textId="77777777" w:rsidR="008D20BE" w:rsidRPr="00B6615A" w:rsidRDefault="008D20BE" w:rsidP="008D20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szCs w:val="24"/>
              </w:rPr>
              <w:t>Increased Score</w:t>
            </w:r>
          </w:p>
        </w:tc>
        <w:tc>
          <w:tcPr>
            <w:tcW w:w="1948" w:type="dxa"/>
          </w:tcPr>
          <w:p w14:paraId="0E3E3800" w14:textId="777D1A7B" w:rsidR="008D20BE" w:rsidRPr="00C20267" w:rsidRDefault="0040189B" w:rsidP="008D20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2</w:t>
            </w:r>
          </w:p>
        </w:tc>
      </w:tr>
      <w:tr w:rsidR="008D20BE" w:rsidRPr="00B6615A" w14:paraId="6A10B312" w14:textId="77777777" w:rsidTr="008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3688E41D" w14:textId="77777777" w:rsidR="008D20BE" w:rsidRPr="00E52E7B" w:rsidRDefault="008D20BE" w:rsidP="008D20BE">
            <w:pPr>
              <w:spacing w:line="276" w:lineRule="auto"/>
              <w:jc w:val="center"/>
              <w:rPr>
                <w:rFonts w:ascii="Calibri" w:hAnsi="Calibri" w:cs="Calibri"/>
                <w:szCs w:val="24"/>
              </w:rPr>
            </w:pPr>
            <w:r w:rsidRPr="00E52E7B">
              <w:rPr>
                <w:rFonts w:ascii="Calibri" w:hAnsi="Calibri" w:cs="Calibri"/>
                <w:color w:val="F79646" w:themeColor="accent6"/>
                <w:szCs w:val="24"/>
              </w:rPr>
              <w:t>Minor Slippage</w:t>
            </w:r>
          </w:p>
        </w:tc>
        <w:tc>
          <w:tcPr>
            <w:tcW w:w="2136" w:type="dxa"/>
          </w:tcPr>
          <w:p w14:paraId="3CA40F11" w14:textId="0527AB87" w:rsidR="008D20BE" w:rsidRPr="00041A5C" w:rsidRDefault="0040189B"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3</w:t>
            </w:r>
          </w:p>
        </w:tc>
        <w:tc>
          <w:tcPr>
            <w:tcW w:w="2443" w:type="dxa"/>
          </w:tcPr>
          <w:p w14:paraId="7CE2D38B" w14:textId="77777777" w:rsidR="008D20BE" w:rsidRPr="00B6615A" w:rsidRDefault="008D20B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Decreased Score</w:t>
            </w:r>
          </w:p>
        </w:tc>
        <w:tc>
          <w:tcPr>
            <w:tcW w:w="1948" w:type="dxa"/>
          </w:tcPr>
          <w:p w14:paraId="24DA6991" w14:textId="156DD892" w:rsidR="008D20BE" w:rsidRPr="00C20267" w:rsidRDefault="0040189B"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0</w:t>
            </w:r>
          </w:p>
        </w:tc>
      </w:tr>
    </w:tbl>
    <w:tbl>
      <w:tblPr>
        <w:tblStyle w:val="GridTable4-Accent1"/>
        <w:tblpPr w:leftFromText="180" w:rightFromText="180" w:vertAnchor="text" w:horzAnchor="margin" w:tblpY="1616"/>
        <w:tblW w:w="9351" w:type="dxa"/>
        <w:tblLook w:val="04A0" w:firstRow="1" w:lastRow="0" w:firstColumn="1" w:lastColumn="0" w:noHBand="0" w:noVBand="1"/>
      </w:tblPr>
      <w:tblGrid>
        <w:gridCol w:w="2547"/>
        <w:gridCol w:w="1843"/>
        <w:gridCol w:w="3118"/>
        <w:gridCol w:w="1843"/>
      </w:tblGrid>
      <w:tr w:rsidR="008D20BE" w:rsidRPr="00B6615A" w14:paraId="20722A55" w14:textId="77777777" w:rsidTr="001453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47" w:type="dxa"/>
          </w:tcPr>
          <w:bookmarkEnd w:id="1"/>
          <w:p w14:paraId="1DB299C0" w14:textId="77777777" w:rsidR="008D20BE" w:rsidRPr="00B6615A" w:rsidRDefault="008D20BE" w:rsidP="008D20BE">
            <w:pPr>
              <w:spacing w:line="276" w:lineRule="auto"/>
              <w:jc w:val="center"/>
              <w:rPr>
                <w:rFonts w:ascii="Calibri" w:hAnsi="Calibri" w:cs="Calibri"/>
                <w:color w:val="auto"/>
                <w:szCs w:val="24"/>
              </w:rPr>
            </w:pPr>
            <w:r w:rsidRPr="00B6615A">
              <w:rPr>
                <w:rFonts w:ascii="Calibri" w:hAnsi="Calibri" w:cs="Calibri"/>
                <w:color w:val="auto"/>
                <w:szCs w:val="24"/>
              </w:rPr>
              <w:t>FINANCIAL METRICS</w:t>
            </w:r>
          </w:p>
        </w:tc>
        <w:tc>
          <w:tcPr>
            <w:tcW w:w="1843" w:type="dxa"/>
          </w:tcPr>
          <w:p w14:paraId="67C116EA"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c>
          <w:tcPr>
            <w:tcW w:w="3118" w:type="dxa"/>
          </w:tcPr>
          <w:p w14:paraId="759909BD"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PEOPLE METRICS</w:t>
            </w:r>
          </w:p>
        </w:tc>
        <w:tc>
          <w:tcPr>
            <w:tcW w:w="1843" w:type="dxa"/>
          </w:tcPr>
          <w:p w14:paraId="0B1785BC"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r>
      <w:tr w:rsidR="005762A0" w:rsidRPr="00B6615A" w14:paraId="5D1E0A5B" w14:textId="77777777" w:rsidTr="001453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6CEB8B9" w14:textId="260931BC" w:rsidR="005762A0" w:rsidRPr="00300974" w:rsidRDefault="005762A0" w:rsidP="005762A0">
            <w:pPr>
              <w:spacing w:line="276" w:lineRule="auto"/>
              <w:jc w:val="center"/>
              <w:rPr>
                <w:rFonts w:ascii="Calibri" w:hAnsi="Calibri" w:cs="Calibri"/>
                <w:b w:val="0"/>
                <w:bCs w:val="0"/>
                <w:szCs w:val="24"/>
              </w:rPr>
            </w:pPr>
            <w:r w:rsidRPr="00300974">
              <w:rPr>
                <w:rFonts w:ascii="Calibri" w:eastAsia="Times New Roman" w:hAnsi="Calibri" w:cs="Calibri"/>
                <w:b w:val="0"/>
                <w:bCs w:val="0"/>
                <w:color w:val="000000" w:themeColor="dark1"/>
                <w:kern w:val="24"/>
                <w:szCs w:val="24"/>
                <w:lang w:eastAsia="en-GB"/>
              </w:rPr>
              <w:t>Resource Budget</w:t>
            </w:r>
          </w:p>
        </w:tc>
        <w:tc>
          <w:tcPr>
            <w:tcW w:w="1843" w:type="dxa"/>
          </w:tcPr>
          <w:p w14:paraId="539173BD" w14:textId="7361FEFF" w:rsidR="005762A0" w:rsidRPr="005762A0" w:rsidRDefault="00353F88" w:rsidP="005762A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szCs w:val="24"/>
                <w:lang w:eastAsia="en-GB"/>
              </w:rPr>
            </w:pPr>
            <w:r>
              <w:rPr>
                <w:rFonts w:ascii="Calibri" w:eastAsia="Times New Roman" w:hAnsi="Calibri" w:cs="Calibri"/>
                <w:b/>
                <w:bCs/>
                <w:color w:val="F79646" w:themeColor="accent6"/>
                <w:kern w:val="24"/>
                <w:szCs w:val="24"/>
                <w:lang w:eastAsia="en-GB"/>
              </w:rPr>
              <w:t>Minor Slippage</w:t>
            </w:r>
          </w:p>
        </w:tc>
        <w:tc>
          <w:tcPr>
            <w:tcW w:w="3118" w:type="dxa"/>
          </w:tcPr>
          <w:p w14:paraId="0E11EE08" w14:textId="797D4205" w:rsidR="005762A0" w:rsidRPr="00B6615A" w:rsidRDefault="005762A0" w:rsidP="005762A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 xml:space="preserve">Health, Safety and </w:t>
            </w:r>
            <w:r w:rsidRPr="00B6615A">
              <w:rPr>
                <w:rFonts w:ascii="Calibri" w:hAnsi="Calibri" w:cs="Calibri"/>
                <w:szCs w:val="24"/>
              </w:rPr>
              <w:t>Wellbeing</w:t>
            </w:r>
          </w:p>
        </w:tc>
        <w:tc>
          <w:tcPr>
            <w:tcW w:w="1843" w:type="dxa"/>
          </w:tcPr>
          <w:p w14:paraId="60E5709C" w14:textId="3E4665FE" w:rsidR="005762A0" w:rsidRPr="005449FE" w:rsidRDefault="006A3B65" w:rsidP="005762A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B050"/>
                <w:szCs w:val="24"/>
              </w:rPr>
            </w:pPr>
            <w:r>
              <w:rPr>
                <w:rFonts w:ascii="Calibri" w:hAnsi="Calibri" w:cs="Calibri"/>
                <w:b/>
                <w:bCs/>
                <w:color w:val="00B050"/>
                <w:szCs w:val="24"/>
              </w:rPr>
              <w:t>On Track</w:t>
            </w:r>
          </w:p>
        </w:tc>
      </w:tr>
      <w:tr w:rsidR="00841ED2" w:rsidRPr="00B6615A" w14:paraId="015CDD45" w14:textId="77777777" w:rsidTr="00145331">
        <w:trPr>
          <w:cantSpli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0FFFB28" w14:textId="3FB2D767" w:rsidR="00841ED2" w:rsidRPr="00300974" w:rsidRDefault="00841ED2" w:rsidP="00841ED2">
            <w:pPr>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Capital</w:t>
            </w:r>
          </w:p>
        </w:tc>
        <w:tc>
          <w:tcPr>
            <w:tcW w:w="1843" w:type="dxa"/>
          </w:tcPr>
          <w:p w14:paraId="6752F769" w14:textId="756C3F17" w:rsidR="00841ED2" w:rsidRPr="005762A0" w:rsidRDefault="00841ED2" w:rsidP="00841E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0000"/>
                <w:szCs w:val="24"/>
                <w:lang w:eastAsia="en-GB"/>
              </w:rPr>
            </w:pPr>
            <w:r w:rsidRPr="006A3B65">
              <w:rPr>
                <w:rFonts w:ascii="Calibri" w:hAnsi="Calibri" w:cs="Calibri"/>
                <w:b/>
                <w:bCs/>
                <w:color w:val="00B050"/>
                <w:szCs w:val="24"/>
              </w:rPr>
              <w:t>On Track</w:t>
            </w:r>
          </w:p>
        </w:tc>
        <w:tc>
          <w:tcPr>
            <w:tcW w:w="3118" w:type="dxa"/>
          </w:tcPr>
          <w:p w14:paraId="74EA54BA" w14:textId="2A2831A9" w:rsidR="00841ED2" w:rsidRPr="00B6615A" w:rsidRDefault="00841ED2" w:rsidP="00841E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Attendance</w:t>
            </w:r>
          </w:p>
        </w:tc>
        <w:tc>
          <w:tcPr>
            <w:tcW w:w="1843" w:type="dxa"/>
          </w:tcPr>
          <w:p w14:paraId="5CC15EC0" w14:textId="74012FF0" w:rsidR="00841ED2" w:rsidRPr="006A3B65" w:rsidRDefault="00841ED2" w:rsidP="00841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B050"/>
                <w:szCs w:val="24"/>
              </w:rPr>
            </w:pPr>
            <w:r w:rsidRPr="006A3B65">
              <w:rPr>
                <w:rFonts w:ascii="Calibri" w:hAnsi="Calibri" w:cs="Calibri"/>
                <w:b/>
                <w:bCs/>
                <w:color w:val="00B050"/>
                <w:szCs w:val="24"/>
              </w:rPr>
              <w:t>On Track</w:t>
            </w:r>
          </w:p>
        </w:tc>
      </w:tr>
      <w:tr w:rsidR="00841ED2" w:rsidRPr="00B6615A" w14:paraId="64155784" w14:textId="77777777" w:rsidTr="001453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4801E4C" w14:textId="1D479EEB" w:rsidR="00841ED2" w:rsidRPr="00300974" w:rsidRDefault="00841ED2" w:rsidP="00841ED2">
            <w:pPr>
              <w:spacing w:line="276" w:lineRule="auto"/>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Indirect Capital</w:t>
            </w:r>
          </w:p>
        </w:tc>
        <w:tc>
          <w:tcPr>
            <w:tcW w:w="1843" w:type="dxa"/>
          </w:tcPr>
          <w:p w14:paraId="22173043" w14:textId="54BD4FF0" w:rsidR="00841ED2" w:rsidRPr="005762A0" w:rsidRDefault="00841ED2" w:rsidP="00841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0000"/>
                <w:kern w:val="24"/>
                <w:szCs w:val="24"/>
                <w:lang w:eastAsia="en-GB"/>
              </w:rPr>
            </w:pPr>
            <w:r>
              <w:rPr>
                <w:rFonts w:ascii="Calibri" w:hAnsi="Calibri" w:cs="Calibri"/>
                <w:b/>
                <w:bCs/>
                <w:color w:val="00B050"/>
                <w:szCs w:val="24"/>
              </w:rPr>
              <w:t>On Track</w:t>
            </w:r>
          </w:p>
        </w:tc>
        <w:tc>
          <w:tcPr>
            <w:tcW w:w="3118" w:type="dxa"/>
          </w:tcPr>
          <w:p w14:paraId="6EA34E55" w14:textId="3933E897" w:rsidR="00841ED2" w:rsidRPr="00B6615A" w:rsidRDefault="00841ED2" w:rsidP="00841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Workforce Profile</w:t>
            </w:r>
          </w:p>
        </w:tc>
        <w:tc>
          <w:tcPr>
            <w:tcW w:w="1843" w:type="dxa"/>
          </w:tcPr>
          <w:p w14:paraId="0A010479" w14:textId="4B90F2F9" w:rsidR="00841ED2" w:rsidRPr="006A3B65" w:rsidRDefault="00841ED2" w:rsidP="00841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B050"/>
                <w:szCs w:val="24"/>
              </w:rPr>
            </w:pPr>
            <w:r w:rsidRPr="006A3B65">
              <w:rPr>
                <w:rFonts w:ascii="Calibri" w:hAnsi="Calibri" w:cs="Calibri"/>
                <w:b/>
                <w:bCs/>
                <w:color w:val="00B050"/>
                <w:szCs w:val="24"/>
              </w:rPr>
              <w:t>On Track</w:t>
            </w:r>
          </w:p>
        </w:tc>
      </w:tr>
      <w:tr w:rsidR="005762A0" w:rsidRPr="00B6615A" w14:paraId="6A89972D" w14:textId="77777777" w:rsidTr="00145331">
        <w:trPr>
          <w:cantSpli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1CB60AF" w14:textId="579CC1B8" w:rsidR="005762A0" w:rsidRPr="00300974" w:rsidRDefault="005762A0" w:rsidP="005762A0">
            <w:pPr>
              <w:spacing w:line="276" w:lineRule="auto"/>
              <w:jc w:val="center"/>
              <w:rPr>
                <w:rFonts w:ascii="Calibri" w:hAnsi="Calibri" w:cs="Calibri"/>
                <w:b w:val="0"/>
                <w:bCs w:val="0"/>
                <w:szCs w:val="24"/>
              </w:rPr>
            </w:pPr>
            <w:r w:rsidRPr="00300974">
              <w:rPr>
                <w:rFonts w:ascii="Calibri" w:eastAsia="Times New Roman" w:hAnsi="Calibri" w:cs="Calibri"/>
                <w:b w:val="0"/>
                <w:bCs w:val="0"/>
                <w:color w:val="000000" w:themeColor="dark1"/>
                <w:kern w:val="24"/>
                <w:szCs w:val="24"/>
                <w:lang w:eastAsia="en-GB"/>
              </w:rPr>
              <w:t>Paybill</w:t>
            </w:r>
          </w:p>
        </w:tc>
        <w:tc>
          <w:tcPr>
            <w:tcW w:w="1843" w:type="dxa"/>
          </w:tcPr>
          <w:p w14:paraId="1248EB79" w14:textId="3ACD28B4" w:rsidR="005762A0" w:rsidRPr="005762A0" w:rsidRDefault="00841ED2" w:rsidP="005762A0">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B050"/>
                <w:kern w:val="24"/>
                <w:szCs w:val="24"/>
                <w:lang w:eastAsia="en-GB"/>
              </w:rPr>
            </w:pPr>
            <w:r>
              <w:rPr>
                <w:rFonts w:ascii="Calibri" w:eastAsia="Times New Roman" w:hAnsi="Calibri" w:cs="Calibri"/>
                <w:b/>
                <w:bCs/>
                <w:color w:val="F79646" w:themeColor="accent6"/>
                <w:kern w:val="24"/>
                <w:szCs w:val="24"/>
                <w:lang w:eastAsia="en-GB"/>
              </w:rPr>
              <w:t>Minor Slippage</w:t>
            </w:r>
          </w:p>
        </w:tc>
        <w:tc>
          <w:tcPr>
            <w:tcW w:w="3118" w:type="dxa"/>
          </w:tcPr>
          <w:p w14:paraId="127E48E4" w14:textId="176EC877" w:rsidR="005762A0" w:rsidRPr="00B6615A" w:rsidRDefault="005762A0" w:rsidP="005762A0">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Employee Relation</w:t>
            </w:r>
            <w:r w:rsidR="00C67655">
              <w:rPr>
                <w:rFonts w:ascii="Calibri" w:hAnsi="Calibri" w:cs="Calibri"/>
                <w:szCs w:val="24"/>
              </w:rPr>
              <w:t>s</w:t>
            </w:r>
          </w:p>
        </w:tc>
        <w:tc>
          <w:tcPr>
            <w:tcW w:w="1843" w:type="dxa"/>
          </w:tcPr>
          <w:p w14:paraId="11BF14B1" w14:textId="15E3D05D" w:rsidR="005762A0" w:rsidRPr="005449FE" w:rsidRDefault="006A3B65" w:rsidP="005762A0">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B050"/>
                <w:szCs w:val="24"/>
              </w:rPr>
            </w:pPr>
            <w:r>
              <w:rPr>
                <w:rFonts w:ascii="Calibri" w:hAnsi="Calibri" w:cs="Calibri"/>
                <w:b/>
                <w:bCs/>
                <w:color w:val="00B050"/>
                <w:szCs w:val="24"/>
              </w:rPr>
              <w:t>On Track</w:t>
            </w:r>
          </w:p>
        </w:tc>
      </w:tr>
      <w:tr w:rsidR="00133656" w:rsidRPr="00B6615A" w14:paraId="5AB02384" w14:textId="77777777" w:rsidTr="001453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B798120" w14:textId="33C08A35" w:rsidR="00133656" w:rsidRPr="00300974" w:rsidRDefault="00133656" w:rsidP="00133656">
            <w:pPr>
              <w:spacing w:line="276" w:lineRule="auto"/>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Project Allocation</w:t>
            </w:r>
          </w:p>
        </w:tc>
        <w:tc>
          <w:tcPr>
            <w:tcW w:w="1843" w:type="dxa"/>
          </w:tcPr>
          <w:p w14:paraId="3F5B720E" w14:textId="4A94CA27" w:rsidR="00133656" w:rsidRPr="005762A0" w:rsidRDefault="00841ED2" w:rsidP="0013365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kern w:val="24"/>
                <w:szCs w:val="24"/>
                <w:lang w:eastAsia="en-GB"/>
              </w:rPr>
            </w:pPr>
            <w:r w:rsidRPr="006A3B65">
              <w:rPr>
                <w:rFonts w:ascii="Calibri" w:hAnsi="Calibri" w:cs="Calibri"/>
                <w:b/>
                <w:bCs/>
                <w:color w:val="00B050"/>
                <w:szCs w:val="24"/>
              </w:rPr>
              <w:t>On Track</w:t>
            </w:r>
          </w:p>
        </w:tc>
        <w:tc>
          <w:tcPr>
            <w:tcW w:w="3118" w:type="dxa"/>
          </w:tcPr>
          <w:p w14:paraId="32335D3A" w14:textId="39851542" w:rsidR="00133656" w:rsidRPr="00B6615A" w:rsidRDefault="00C67655" w:rsidP="0013365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Internal Movement</w:t>
            </w:r>
          </w:p>
        </w:tc>
        <w:tc>
          <w:tcPr>
            <w:tcW w:w="1843" w:type="dxa"/>
          </w:tcPr>
          <w:p w14:paraId="778C4140" w14:textId="22A76865" w:rsidR="00133656" w:rsidRPr="005449FE" w:rsidRDefault="006A3B65" w:rsidP="00C6765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79646" w:themeColor="accent6"/>
                <w:kern w:val="24"/>
                <w:szCs w:val="24"/>
                <w:lang w:eastAsia="en-GB"/>
              </w:rPr>
            </w:pPr>
            <w:r>
              <w:rPr>
                <w:rFonts w:ascii="Calibri" w:eastAsia="Times New Roman" w:hAnsi="Calibri" w:cs="Calibri"/>
                <w:b/>
                <w:bCs/>
                <w:color w:val="F79646" w:themeColor="accent6"/>
                <w:kern w:val="24"/>
                <w:szCs w:val="24"/>
                <w:lang w:eastAsia="en-GB"/>
              </w:rPr>
              <w:t>Minor Slippage</w:t>
            </w:r>
          </w:p>
        </w:tc>
      </w:tr>
      <w:tr w:rsidR="00133656" w:rsidRPr="00B6615A" w14:paraId="3F332BA0" w14:textId="77777777" w:rsidTr="00145331">
        <w:trPr>
          <w:cantSplit/>
        </w:trPr>
        <w:tc>
          <w:tcPr>
            <w:cnfStyle w:val="001000000000" w:firstRow="0" w:lastRow="0" w:firstColumn="1" w:lastColumn="0" w:oddVBand="0" w:evenVBand="0" w:oddHBand="0" w:evenHBand="0" w:firstRowFirstColumn="0" w:firstRowLastColumn="0" w:lastRowFirstColumn="0" w:lastRowLastColumn="0"/>
            <w:tcW w:w="2547" w:type="dxa"/>
          </w:tcPr>
          <w:p w14:paraId="5D58709E" w14:textId="77777777" w:rsidR="00133656" w:rsidRPr="00B6615A" w:rsidRDefault="00133656" w:rsidP="00133656">
            <w:pPr>
              <w:jc w:val="center"/>
              <w:rPr>
                <w:rFonts w:ascii="Calibri" w:hAnsi="Calibri" w:cs="Calibri"/>
                <w:b w:val="0"/>
                <w:szCs w:val="24"/>
              </w:rPr>
            </w:pPr>
          </w:p>
        </w:tc>
        <w:tc>
          <w:tcPr>
            <w:tcW w:w="1843" w:type="dxa"/>
          </w:tcPr>
          <w:p w14:paraId="24E532BE" w14:textId="77777777" w:rsidR="00133656" w:rsidRPr="00E52E7B" w:rsidRDefault="00133656" w:rsidP="0013365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B050"/>
                <w:kern w:val="24"/>
                <w:szCs w:val="24"/>
                <w:lang w:eastAsia="en-GB"/>
              </w:rPr>
            </w:pPr>
          </w:p>
        </w:tc>
        <w:tc>
          <w:tcPr>
            <w:tcW w:w="3118" w:type="dxa"/>
          </w:tcPr>
          <w:p w14:paraId="07D87898" w14:textId="676FC964" w:rsidR="00133656" w:rsidRDefault="00C67655" w:rsidP="001336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Retirement Profile</w:t>
            </w:r>
          </w:p>
        </w:tc>
        <w:tc>
          <w:tcPr>
            <w:tcW w:w="1843" w:type="dxa"/>
          </w:tcPr>
          <w:p w14:paraId="16972355" w14:textId="20882505" w:rsidR="00133656" w:rsidRPr="005449FE" w:rsidRDefault="006A3B65" w:rsidP="006A3B65">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F79646" w:themeColor="accent6"/>
                <w:szCs w:val="24"/>
              </w:rPr>
            </w:pPr>
            <w:r w:rsidRPr="006A3B65">
              <w:rPr>
                <w:rFonts w:ascii="Calibri" w:hAnsi="Calibri" w:cs="Calibri"/>
                <w:b/>
                <w:bCs/>
                <w:color w:val="00B050"/>
                <w:szCs w:val="24"/>
              </w:rPr>
              <w:t>On Track</w:t>
            </w:r>
          </w:p>
        </w:tc>
      </w:tr>
      <w:tr w:rsidR="00133656" w:rsidRPr="00B6615A" w14:paraId="54963359" w14:textId="77777777" w:rsidTr="001453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5DE46371" w14:textId="77777777" w:rsidR="00133656" w:rsidRPr="00B6615A" w:rsidRDefault="00133656" w:rsidP="00133656">
            <w:pPr>
              <w:jc w:val="center"/>
              <w:rPr>
                <w:rFonts w:ascii="Calibri" w:hAnsi="Calibri" w:cs="Calibri"/>
                <w:b w:val="0"/>
                <w:szCs w:val="24"/>
              </w:rPr>
            </w:pPr>
          </w:p>
        </w:tc>
        <w:tc>
          <w:tcPr>
            <w:tcW w:w="1843" w:type="dxa"/>
          </w:tcPr>
          <w:p w14:paraId="1DC7BD0C" w14:textId="77777777" w:rsidR="00133656" w:rsidRPr="00E52E7B" w:rsidRDefault="00133656" w:rsidP="001336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kern w:val="24"/>
                <w:szCs w:val="24"/>
                <w:lang w:eastAsia="en-GB"/>
              </w:rPr>
            </w:pPr>
          </w:p>
        </w:tc>
        <w:tc>
          <w:tcPr>
            <w:tcW w:w="3118" w:type="dxa"/>
          </w:tcPr>
          <w:p w14:paraId="12AC246B" w14:textId="32ED5D4A" w:rsidR="00133656" w:rsidRDefault="00C67655" w:rsidP="001336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Employee Engagement</w:t>
            </w:r>
          </w:p>
        </w:tc>
        <w:tc>
          <w:tcPr>
            <w:tcW w:w="1843" w:type="dxa"/>
          </w:tcPr>
          <w:p w14:paraId="70FDD30B" w14:textId="1DE72848" w:rsidR="00133656" w:rsidRPr="005449FE" w:rsidRDefault="00133656" w:rsidP="001336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szCs w:val="24"/>
                <w:lang w:eastAsia="en-GB"/>
              </w:rPr>
            </w:pPr>
          </w:p>
        </w:tc>
      </w:tr>
    </w:tbl>
    <w:p w14:paraId="2D4CC489" w14:textId="17EBB8D3" w:rsidR="008D20BE" w:rsidRDefault="008D20BE" w:rsidP="008D20BE">
      <w:pPr>
        <w:spacing w:after="0" w:line="240" w:lineRule="auto"/>
        <w:jc w:val="both"/>
        <w:rPr>
          <w:rFonts w:cstheme="minorHAnsi"/>
          <w:szCs w:val="24"/>
        </w:rPr>
        <w:sectPr w:rsidR="008D20BE" w:rsidSect="006B70EE">
          <w:headerReference w:type="default" r:id="rId10"/>
          <w:footerReference w:type="default" r:id="rId11"/>
          <w:pgSz w:w="11906" w:h="16838"/>
          <w:pgMar w:top="993" w:right="1440" w:bottom="1440" w:left="1440" w:header="567" w:footer="708" w:gutter="0"/>
          <w:cols w:space="708"/>
          <w:docGrid w:linePitch="360"/>
        </w:sectPr>
      </w:pPr>
    </w:p>
    <w:p w14:paraId="751C7DEE" w14:textId="77777777" w:rsidR="008D20BE" w:rsidRDefault="008D20BE" w:rsidP="008D20BE">
      <w:pPr>
        <w:keepNext/>
        <w:keepLines/>
        <w:spacing w:before="40" w:after="0" w:line="259" w:lineRule="auto"/>
        <w:outlineLvl w:val="1"/>
        <w:rPr>
          <w:rFonts w:ascii="Calibri" w:eastAsiaTheme="majorEastAsia" w:hAnsi="Calibri" w:cs="Calibri"/>
          <w:b/>
          <w:color w:val="007DC3"/>
          <w:sz w:val="28"/>
          <w:szCs w:val="28"/>
        </w:rPr>
      </w:pPr>
      <w:r w:rsidRPr="004C035F">
        <w:rPr>
          <w:rFonts w:ascii="Calibri" w:eastAsiaTheme="majorEastAsia" w:hAnsi="Calibri" w:cs="Calibri"/>
          <w:b/>
          <w:color w:val="007DC3"/>
          <w:sz w:val="28"/>
          <w:szCs w:val="28"/>
        </w:rPr>
        <w:lastRenderedPageBreak/>
        <w:t>PERFORMANCE REPORT</w:t>
      </w:r>
    </w:p>
    <w:p w14:paraId="362A90D0" w14:textId="77777777" w:rsidR="00875678" w:rsidRPr="004C035F" w:rsidRDefault="00875678" w:rsidP="008D20BE">
      <w:pPr>
        <w:keepNext/>
        <w:keepLines/>
        <w:spacing w:before="40" w:after="0" w:line="259" w:lineRule="auto"/>
        <w:outlineLvl w:val="1"/>
        <w:rPr>
          <w:rFonts w:ascii="Calibri" w:eastAsiaTheme="majorEastAsia" w:hAnsi="Calibri" w:cs="Calibri"/>
          <w:b/>
          <w:color w:val="007DC3"/>
          <w:sz w:val="28"/>
          <w:szCs w:val="28"/>
        </w:rPr>
      </w:pPr>
    </w:p>
    <w:p w14:paraId="1563F320" w14:textId="73BFF23A" w:rsidR="001428C1" w:rsidRPr="00875678" w:rsidRDefault="001428C1" w:rsidP="00875678">
      <w:pPr>
        <w:pStyle w:val="Heading2"/>
        <w:rPr>
          <w:rFonts w:ascii="Calibri" w:hAnsi="Calibri" w:cs="Calibri"/>
          <w:b w:val="0"/>
          <w:bCs/>
        </w:rPr>
      </w:pPr>
    </w:p>
    <w:tbl>
      <w:tblPr>
        <w:tblStyle w:val="PlainTable1"/>
        <w:tblW w:w="14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76"/>
        <w:gridCol w:w="992"/>
        <w:gridCol w:w="8930"/>
      </w:tblGrid>
      <w:tr w:rsidR="00875678" w:rsidRPr="001428C1" w14:paraId="0A34F5AC" w14:textId="77777777" w:rsidTr="0087567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742" w:type="dxa"/>
            <w:gridSpan w:val="4"/>
            <w:shd w:val="clear" w:color="auto" w:fill="548DD4" w:themeFill="text2" w:themeFillTint="99"/>
            <w:vAlign w:val="center"/>
          </w:tcPr>
          <w:p w14:paraId="31043A15" w14:textId="7B88D10B" w:rsidR="00875678" w:rsidRPr="00875678" w:rsidRDefault="00875678" w:rsidP="0011387D">
            <w:pPr>
              <w:jc w:val="center"/>
              <w:rPr>
                <w:rFonts w:ascii="Calibri" w:hAnsi="Calibri" w:cs="Calibri"/>
                <w:szCs w:val="26"/>
              </w:rPr>
            </w:pPr>
            <w:r>
              <w:rPr>
                <w:rFonts w:ascii="Calibri" w:hAnsi="Calibri" w:cs="Calibri"/>
                <w:szCs w:val="26"/>
              </w:rPr>
              <w:t>WE HAVE PROTECTED NATURE</w:t>
            </w:r>
          </w:p>
        </w:tc>
      </w:tr>
      <w:tr w:rsidR="001428C1" w:rsidRPr="001428C1" w14:paraId="5B69CD2F" w14:textId="77777777" w:rsidTr="00DD124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70337B0E" w14:textId="77777777" w:rsidR="008D20BE" w:rsidRPr="00875678" w:rsidRDefault="008D20BE" w:rsidP="008D20BE">
            <w:pPr>
              <w:jc w:val="center"/>
              <w:rPr>
                <w:rFonts w:ascii="Calibri" w:hAnsi="Calibri" w:cs="Calibri"/>
                <w:szCs w:val="26"/>
              </w:rPr>
            </w:pPr>
            <w:r w:rsidRPr="00875678">
              <w:rPr>
                <w:rFonts w:ascii="Calibri" w:hAnsi="Calibri" w:cs="Calibri"/>
                <w:szCs w:val="26"/>
              </w:rPr>
              <w:t>CORPORATE PLAN OBJECTIVE</w:t>
            </w:r>
          </w:p>
        </w:tc>
        <w:tc>
          <w:tcPr>
            <w:tcW w:w="1276" w:type="dxa"/>
            <w:vAlign w:val="center"/>
          </w:tcPr>
          <w:p w14:paraId="0204C751" w14:textId="77777777" w:rsidR="008D20BE" w:rsidRPr="00875678"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875678">
              <w:rPr>
                <w:rFonts w:ascii="Calibri" w:hAnsi="Calibri" w:cs="Calibri"/>
                <w:szCs w:val="26"/>
              </w:rPr>
              <w:t>SLT LEAD</w:t>
            </w:r>
          </w:p>
        </w:tc>
        <w:tc>
          <w:tcPr>
            <w:tcW w:w="992" w:type="dxa"/>
            <w:vAlign w:val="center"/>
          </w:tcPr>
          <w:p w14:paraId="0C5F3264" w14:textId="77777777" w:rsidR="008D20BE" w:rsidRPr="00875678"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875678">
              <w:rPr>
                <w:rFonts w:ascii="Calibri" w:hAnsi="Calibri" w:cs="Calibri"/>
                <w:szCs w:val="26"/>
              </w:rPr>
              <w:t>RAG SCORE</w:t>
            </w:r>
          </w:p>
        </w:tc>
        <w:tc>
          <w:tcPr>
            <w:tcW w:w="8930" w:type="dxa"/>
            <w:vAlign w:val="center"/>
          </w:tcPr>
          <w:p w14:paraId="3B1CD024" w14:textId="6C4FF1DB" w:rsidR="008D20BE" w:rsidRPr="001428C1" w:rsidRDefault="00701FAD" w:rsidP="0011387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875678">
              <w:rPr>
                <w:rFonts w:ascii="Calibri" w:hAnsi="Calibri" w:cs="Calibri"/>
                <w:szCs w:val="26"/>
              </w:rPr>
              <w:t>Q</w:t>
            </w:r>
            <w:r w:rsidR="00352305">
              <w:rPr>
                <w:rFonts w:ascii="Calibri" w:hAnsi="Calibri" w:cs="Calibri"/>
                <w:szCs w:val="26"/>
              </w:rPr>
              <w:t>3</w:t>
            </w:r>
            <w:r w:rsidR="0011387D" w:rsidRPr="00875678">
              <w:rPr>
                <w:rFonts w:ascii="Calibri" w:hAnsi="Calibri" w:cs="Calibri"/>
                <w:szCs w:val="26"/>
              </w:rPr>
              <w:t xml:space="preserve"> </w:t>
            </w:r>
            <w:r w:rsidR="008D20BE" w:rsidRPr="00875678">
              <w:rPr>
                <w:rFonts w:ascii="Calibri" w:hAnsi="Calibri" w:cs="Calibri"/>
                <w:szCs w:val="26"/>
              </w:rPr>
              <w:t>UPDATE</w:t>
            </w:r>
          </w:p>
        </w:tc>
      </w:tr>
      <w:tr w:rsidR="008D20BE" w:rsidRPr="00F550D1" w14:paraId="74A216B2" w14:textId="77777777" w:rsidTr="009446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4F16602" w14:textId="5B922BB0" w:rsidR="008D20BE" w:rsidRPr="008D1895" w:rsidRDefault="008D1895" w:rsidP="008D1895">
            <w:pPr>
              <w:rPr>
                <w:rFonts w:ascii="Calibri" w:hAnsi="Calibri" w:cs="Calibri"/>
                <w:color w:val="000000"/>
              </w:rPr>
            </w:pPr>
            <w:r w:rsidRPr="008D1895">
              <w:rPr>
                <w:rFonts w:ascii="Calibri" w:hAnsi="Calibri" w:cs="Calibri"/>
                <w:b w:val="0"/>
                <w:color w:val="000000"/>
              </w:rPr>
              <w:t xml:space="preserve">1. </w:t>
            </w:r>
            <w:r w:rsidR="008D20BE" w:rsidRPr="008D1895">
              <w:rPr>
                <w:rFonts w:ascii="Calibri" w:hAnsi="Calibri" w:cs="Calibri"/>
                <w:b w:val="0"/>
                <w:color w:val="000000"/>
              </w:rPr>
              <w:t>Lead the delivery of 30% of land and sea being protected by 2030</w:t>
            </w:r>
          </w:p>
        </w:tc>
        <w:tc>
          <w:tcPr>
            <w:tcW w:w="1276" w:type="dxa"/>
            <w:vAlign w:val="center"/>
          </w:tcPr>
          <w:p w14:paraId="3BE31DB7"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550D1">
              <w:rPr>
                <w:rFonts w:ascii="Calibri" w:hAnsi="Calibri" w:cs="Calibri"/>
                <w:color w:val="000000"/>
              </w:rPr>
              <w:t>Nick Halfhide</w:t>
            </w:r>
          </w:p>
        </w:tc>
        <w:tc>
          <w:tcPr>
            <w:tcW w:w="992" w:type="dxa"/>
            <w:shd w:val="clear" w:color="auto" w:fill="F79646" w:themeFill="accent6"/>
            <w:vAlign w:val="center"/>
          </w:tcPr>
          <w:p w14:paraId="12F7B7CC" w14:textId="7574F682" w:rsidR="008D20BE" w:rsidRPr="00F550D1" w:rsidRDefault="009446F2"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s="Calibri"/>
                <w:b/>
              </w:rPr>
              <w:t>AMBER</w:t>
            </w:r>
          </w:p>
        </w:tc>
        <w:tc>
          <w:tcPr>
            <w:tcW w:w="8930" w:type="dxa"/>
            <w:vAlign w:val="center"/>
          </w:tcPr>
          <w:p w14:paraId="279CACD0" w14:textId="5D12AA9F" w:rsidR="00F00C23" w:rsidRPr="00EC2352" w:rsidRDefault="00F00C23" w:rsidP="00EC23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00C23">
              <w:rPr>
                <w:rFonts w:ascii="Calibri" w:hAnsi="Calibri" w:cs="Calibri"/>
                <w:color w:val="000000"/>
                <w:szCs w:val="24"/>
              </w:rPr>
              <w:t>National Park: Prepare and commence 12</w:t>
            </w:r>
            <w:r w:rsidR="00E03B0A">
              <w:rPr>
                <w:rFonts w:ascii="Calibri" w:hAnsi="Calibri" w:cs="Calibri"/>
                <w:color w:val="000000"/>
                <w:szCs w:val="24"/>
              </w:rPr>
              <w:t xml:space="preserve"> </w:t>
            </w:r>
            <w:r w:rsidRPr="00F00C23">
              <w:rPr>
                <w:rFonts w:ascii="Calibri" w:hAnsi="Calibri" w:cs="Calibri"/>
                <w:color w:val="000000"/>
                <w:szCs w:val="24"/>
              </w:rPr>
              <w:t>week public consultation</w:t>
            </w:r>
            <w:r w:rsidR="00EC2352">
              <w:rPr>
                <w:rFonts w:ascii="Calibri" w:hAnsi="Calibri" w:cs="Calibri"/>
                <w:color w:val="000000"/>
                <w:szCs w:val="24"/>
              </w:rPr>
              <w:t>. L</w:t>
            </w:r>
            <w:r w:rsidRPr="00EC2352">
              <w:rPr>
                <w:rFonts w:ascii="Calibri" w:hAnsi="Calibri" w:cs="Calibri"/>
                <w:color w:val="000000"/>
                <w:szCs w:val="24"/>
              </w:rPr>
              <w:t>aunched on 7th November, running to 14th February.</w:t>
            </w:r>
          </w:p>
          <w:p w14:paraId="32AF1BAA" w14:textId="6D920862" w:rsidR="00F00C23" w:rsidRPr="00EC2352" w:rsidRDefault="00F00C23" w:rsidP="00EC23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00C23">
              <w:rPr>
                <w:rFonts w:ascii="Calibri" w:hAnsi="Calibri" w:cs="Calibri"/>
                <w:color w:val="000000"/>
                <w:szCs w:val="24"/>
              </w:rPr>
              <w:t>30x30: Agree Delivery plans with SG</w:t>
            </w:r>
            <w:r w:rsidR="00E03B0A">
              <w:rPr>
                <w:rFonts w:ascii="Calibri" w:hAnsi="Calibri" w:cs="Calibri"/>
                <w:color w:val="000000"/>
                <w:szCs w:val="24"/>
              </w:rPr>
              <w:t xml:space="preserve"> - </w:t>
            </w:r>
            <w:r w:rsidR="00EC2352">
              <w:rPr>
                <w:rFonts w:ascii="Calibri" w:hAnsi="Calibri" w:cs="Calibri"/>
                <w:color w:val="000000"/>
                <w:szCs w:val="24"/>
              </w:rPr>
              <w:t>c</w:t>
            </w:r>
            <w:r w:rsidRPr="00EC2352">
              <w:rPr>
                <w:rFonts w:ascii="Calibri" w:hAnsi="Calibri" w:cs="Calibri"/>
                <w:color w:val="000000"/>
                <w:szCs w:val="24"/>
              </w:rPr>
              <w:t>omplete</w:t>
            </w:r>
            <w:r w:rsidR="00E03B0A">
              <w:rPr>
                <w:rFonts w:ascii="Calibri" w:hAnsi="Calibri" w:cs="Calibri"/>
                <w:color w:val="000000"/>
                <w:szCs w:val="24"/>
              </w:rPr>
              <w:t>, enabling work to commence across ten workstreams.</w:t>
            </w:r>
          </w:p>
          <w:p w14:paraId="57550B5F" w14:textId="31019B31" w:rsidR="005455BF" w:rsidRPr="00EC2352" w:rsidRDefault="00F00C23" w:rsidP="00EC235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00C23">
              <w:rPr>
                <w:rFonts w:ascii="Calibri" w:hAnsi="Calibri" w:cs="Calibri"/>
                <w:color w:val="000000"/>
                <w:szCs w:val="24"/>
              </w:rPr>
              <w:t>30x30: Agree CNPA pilot project</w:t>
            </w:r>
            <w:r w:rsidR="00EC2352">
              <w:rPr>
                <w:rFonts w:ascii="Calibri" w:hAnsi="Calibri" w:cs="Calibri"/>
                <w:color w:val="000000"/>
                <w:szCs w:val="24"/>
              </w:rPr>
              <w:t xml:space="preserve">. </w:t>
            </w:r>
            <w:r w:rsidRPr="00EC2352">
              <w:rPr>
                <w:rFonts w:ascii="Calibri" w:hAnsi="Calibri" w:cs="Calibri"/>
                <w:color w:val="000000"/>
                <w:szCs w:val="24"/>
              </w:rPr>
              <w:t>Plan has changed, now seeking SG approval for nationwide approach to flexible P</w:t>
            </w:r>
            <w:r w:rsidR="00B27229">
              <w:rPr>
                <w:rFonts w:ascii="Calibri" w:hAnsi="Calibri" w:cs="Calibri"/>
                <w:color w:val="000000"/>
                <w:szCs w:val="24"/>
              </w:rPr>
              <w:t xml:space="preserve">rotected </w:t>
            </w:r>
            <w:r w:rsidRPr="00EC2352">
              <w:rPr>
                <w:rFonts w:ascii="Calibri" w:hAnsi="Calibri" w:cs="Calibri"/>
                <w:color w:val="000000"/>
                <w:szCs w:val="24"/>
              </w:rPr>
              <w:t>A</w:t>
            </w:r>
            <w:r w:rsidR="00B27229">
              <w:rPr>
                <w:rFonts w:ascii="Calibri" w:hAnsi="Calibri" w:cs="Calibri"/>
                <w:color w:val="000000"/>
                <w:szCs w:val="24"/>
              </w:rPr>
              <w:t>reas</w:t>
            </w:r>
            <w:r w:rsidRPr="00EC2352">
              <w:rPr>
                <w:rFonts w:ascii="Calibri" w:hAnsi="Calibri" w:cs="Calibri"/>
                <w:color w:val="000000"/>
                <w:szCs w:val="24"/>
              </w:rPr>
              <w:t xml:space="preserve"> management. Currently under consideration by SG legal team.</w:t>
            </w:r>
          </w:p>
        </w:tc>
      </w:tr>
      <w:tr w:rsidR="008D20BE" w:rsidRPr="00F550D1" w14:paraId="7D502F11" w14:textId="77777777" w:rsidTr="00725A02">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94DAD0B" w14:textId="70F3B648" w:rsidR="008D20BE" w:rsidRPr="00F550D1" w:rsidRDefault="008D1895" w:rsidP="008D20BE">
            <w:pPr>
              <w:rPr>
                <w:rFonts w:ascii="Calibri" w:hAnsi="Calibri" w:cs="Calibri"/>
                <w:b w:val="0"/>
                <w:color w:val="000000"/>
              </w:rPr>
            </w:pPr>
            <w:r>
              <w:rPr>
                <w:rFonts w:ascii="Calibri" w:hAnsi="Calibri" w:cs="Calibri"/>
                <w:b w:val="0"/>
                <w:color w:val="000000"/>
              </w:rPr>
              <w:t xml:space="preserve">2. </w:t>
            </w:r>
            <w:r w:rsidR="008D20BE" w:rsidRPr="00F550D1">
              <w:rPr>
                <w:rFonts w:ascii="Calibri" w:hAnsi="Calibri" w:cs="Calibri"/>
                <w:b w:val="0"/>
                <w:color w:val="000000"/>
              </w:rPr>
              <w:t>Build stronger collaboration reducing the impacts of deer and modernise our wildlife management and underpinning licencing functions to enable a net zero and nature positive future</w:t>
            </w:r>
          </w:p>
        </w:tc>
        <w:tc>
          <w:tcPr>
            <w:tcW w:w="1276" w:type="dxa"/>
            <w:vAlign w:val="center"/>
          </w:tcPr>
          <w:p w14:paraId="03F43493"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50D1">
              <w:rPr>
                <w:rFonts w:ascii="Calibri" w:hAnsi="Calibri" w:cs="Calibri"/>
                <w:color w:val="000000"/>
              </w:rPr>
              <w:t>Robbie Kernahan</w:t>
            </w:r>
          </w:p>
        </w:tc>
        <w:tc>
          <w:tcPr>
            <w:tcW w:w="992" w:type="dxa"/>
            <w:shd w:val="clear" w:color="auto" w:fill="F79646"/>
            <w:vAlign w:val="center"/>
          </w:tcPr>
          <w:p w14:paraId="4A919A02" w14:textId="527B9B49" w:rsidR="008D20BE" w:rsidRPr="00725A02" w:rsidRDefault="00725A02" w:rsidP="00725A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AMBER</w:t>
            </w:r>
          </w:p>
        </w:tc>
        <w:tc>
          <w:tcPr>
            <w:tcW w:w="8930" w:type="dxa"/>
            <w:vAlign w:val="center"/>
          </w:tcPr>
          <w:p w14:paraId="634F677D" w14:textId="3E4D0F05" w:rsidR="00725A02" w:rsidRPr="00725A02" w:rsidRDefault="00725A02" w:rsidP="00725A0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725A02">
              <w:rPr>
                <w:rFonts w:eastAsia="Times New Roman"/>
              </w:rPr>
              <w:t>Pilot deer incentive schemes now running in Central Scotland and South Loch Ness; Cairngorms National Park (CNPA) scheme in place. The Loch Choire S8 proposal awaits Ministerial decision.</w:t>
            </w:r>
          </w:p>
          <w:p w14:paraId="78420AD0" w14:textId="565EA7AD" w:rsidR="00725A02" w:rsidRPr="00725A02" w:rsidRDefault="00725A02" w:rsidP="00725A0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725A02">
              <w:rPr>
                <w:rFonts w:eastAsia="Times New Roman"/>
              </w:rPr>
              <w:t>Stakeholder consultation on the Species Licensing Review regarding licensing of lethal control, charging and cost recovery options was undertaken in Q3 with over 200 responses. First year review of Hunting with Dogs largely complete.</w:t>
            </w:r>
          </w:p>
          <w:p w14:paraId="18A5B6B1" w14:textId="638AA244" w:rsidR="00725A02" w:rsidRPr="00725A02" w:rsidRDefault="00725A02" w:rsidP="00725A0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725A02">
              <w:rPr>
                <w:rFonts w:eastAsia="Times New Roman"/>
              </w:rPr>
              <w:t xml:space="preserve">New conditions have been added to Grouse licences regarding wildlife crime out with the applicant determined area of the licence. </w:t>
            </w:r>
          </w:p>
          <w:p w14:paraId="192D4BDF" w14:textId="2BE61CF8" w:rsidR="00725A02" w:rsidRPr="00725A02" w:rsidRDefault="00725A02" w:rsidP="00725A0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725A02">
              <w:rPr>
                <w:rFonts w:eastAsia="Times New Roman"/>
              </w:rPr>
              <w:t>Sea Eagle Management Scheme review completed and with Ministers.</w:t>
            </w:r>
          </w:p>
          <w:p w14:paraId="79C45A43" w14:textId="7DDE4820" w:rsidR="00725A02" w:rsidRPr="00725A02" w:rsidRDefault="00725A02" w:rsidP="00725A0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725A02">
              <w:rPr>
                <w:rFonts w:eastAsia="Times New Roman"/>
              </w:rPr>
              <w:t xml:space="preserve">New tracking research providing useful data on Icelandic Greylag will be considered </w:t>
            </w:r>
            <w:r w:rsidR="0079492C">
              <w:rPr>
                <w:rFonts w:eastAsia="Times New Roman"/>
              </w:rPr>
              <w:t xml:space="preserve">re </w:t>
            </w:r>
            <w:r w:rsidRPr="00725A02">
              <w:rPr>
                <w:rFonts w:eastAsia="Times New Roman"/>
              </w:rPr>
              <w:t>next steps for population status and requirements for species plan.</w:t>
            </w:r>
          </w:p>
          <w:p w14:paraId="526EBCDC" w14:textId="3BD6CC95" w:rsidR="00773B62" w:rsidRPr="0022798B" w:rsidRDefault="00725A02" w:rsidP="00725A0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725A02">
              <w:rPr>
                <w:rFonts w:eastAsia="Times New Roman"/>
              </w:rPr>
              <w:t>First meeting of Land Manager Wildlife Forum held with both Ministers in attendance. Agreement for 3 monthly meets.</w:t>
            </w:r>
          </w:p>
        </w:tc>
      </w:tr>
      <w:tr w:rsidR="009D523D" w:rsidRPr="00F550D1" w14:paraId="6573E668" w14:textId="77777777" w:rsidTr="00DD12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82A95A4" w14:textId="6A27B8B2" w:rsidR="009D523D" w:rsidRPr="00F550D1" w:rsidRDefault="008D1895" w:rsidP="009D523D">
            <w:pPr>
              <w:rPr>
                <w:rFonts w:ascii="Calibri" w:hAnsi="Calibri" w:cs="Calibri"/>
                <w:b w:val="0"/>
                <w:color w:val="000000"/>
              </w:rPr>
            </w:pPr>
            <w:r>
              <w:rPr>
                <w:rFonts w:ascii="Calibri" w:hAnsi="Calibri" w:cs="Calibri"/>
                <w:b w:val="0"/>
                <w:color w:val="000000"/>
              </w:rPr>
              <w:t xml:space="preserve">3. </w:t>
            </w:r>
            <w:r w:rsidR="009D523D" w:rsidRPr="00CA47FF">
              <w:rPr>
                <w:rFonts w:ascii="Calibri" w:hAnsi="Calibri" w:cs="Calibri"/>
                <w:b w:val="0"/>
                <w:color w:val="000000"/>
              </w:rPr>
              <w:t>Engage and influence planning and other regulatory systems to ensure they deliver for nature and climate</w:t>
            </w:r>
          </w:p>
        </w:tc>
        <w:tc>
          <w:tcPr>
            <w:tcW w:w="1276" w:type="dxa"/>
            <w:vAlign w:val="center"/>
          </w:tcPr>
          <w:p w14:paraId="64BB6ECC" w14:textId="77777777" w:rsidR="009D523D" w:rsidRPr="00FF6F46"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F6F46">
              <w:rPr>
                <w:rFonts w:ascii="Calibri" w:hAnsi="Calibri" w:cs="Calibri"/>
                <w:color w:val="000000"/>
              </w:rPr>
              <w:t>Robbie Kernahan</w:t>
            </w:r>
          </w:p>
        </w:tc>
        <w:tc>
          <w:tcPr>
            <w:tcW w:w="992" w:type="dxa"/>
            <w:shd w:val="clear" w:color="auto" w:fill="9BBB59" w:themeFill="accent3"/>
            <w:vAlign w:val="center"/>
          </w:tcPr>
          <w:p w14:paraId="0596671F" w14:textId="2B28B03E" w:rsidR="009D523D" w:rsidRPr="00F550D1"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b/>
              </w:rPr>
              <w:t>GREEN</w:t>
            </w:r>
          </w:p>
        </w:tc>
        <w:tc>
          <w:tcPr>
            <w:tcW w:w="8930" w:type="dxa"/>
            <w:vAlign w:val="center"/>
          </w:tcPr>
          <w:p w14:paraId="7948448D" w14:textId="3DBDBDCB" w:rsidR="00B12158" w:rsidRPr="00860202" w:rsidRDefault="00B12158" w:rsidP="00860202">
            <w:pPr>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60202">
              <w:rPr>
                <w:rFonts w:cstheme="minorHAnsi"/>
                <w:color w:val="000000"/>
                <w:szCs w:val="24"/>
              </w:rPr>
              <w:t xml:space="preserve">Development Planning </w:t>
            </w:r>
            <w:r w:rsidR="00B354FF" w:rsidRPr="00860202">
              <w:rPr>
                <w:rFonts w:cstheme="minorHAnsi"/>
                <w:color w:val="000000"/>
                <w:szCs w:val="24"/>
              </w:rPr>
              <w:t>–</w:t>
            </w:r>
            <w:r w:rsidRPr="00860202">
              <w:rPr>
                <w:rFonts w:cstheme="minorHAnsi"/>
                <w:color w:val="000000"/>
                <w:szCs w:val="24"/>
              </w:rPr>
              <w:t xml:space="preserve"> </w:t>
            </w:r>
            <w:r w:rsidR="00B354FF" w:rsidRPr="00860202">
              <w:rPr>
                <w:rFonts w:cstheme="minorHAnsi"/>
                <w:color w:val="000000"/>
                <w:szCs w:val="24"/>
              </w:rPr>
              <w:t>We are</w:t>
            </w:r>
            <w:r w:rsidRPr="00860202">
              <w:rPr>
                <w:rFonts w:cstheme="minorHAnsi"/>
                <w:color w:val="000000"/>
                <w:szCs w:val="24"/>
              </w:rPr>
              <w:t xml:space="preserve"> gathering </w:t>
            </w:r>
            <w:r w:rsidR="00FD56A3" w:rsidRPr="00860202">
              <w:rPr>
                <w:rFonts w:cstheme="minorHAnsi"/>
                <w:color w:val="000000"/>
                <w:szCs w:val="24"/>
              </w:rPr>
              <w:t xml:space="preserve">evidence </w:t>
            </w:r>
            <w:r w:rsidRPr="00860202">
              <w:rPr>
                <w:rFonts w:cstheme="minorHAnsi"/>
                <w:color w:val="000000"/>
                <w:szCs w:val="24"/>
              </w:rPr>
              <w:t xml:space="preserve">for Local Development Plans as the new model come forward from Local Authorities. </w:t>
            </w:r>
            <w:r w:rsidR="00B354FF" w:rsidRPr="00860202">
              <w:rPr>
                <w:rFonts w:cstheme="minorHAnsi"/>
                <w:color w:val="000000"/>
                <w:szCs w:val="24"/>
              </w:rPr>
              <w:t xml:space="preserve">We </w:t>
            </w:r>
            <w:r w:rsidRPr="00860202">
              <w:rPr>
                <w:rFonts w:cstheme="minorHAnsi"/>
                <w:color w:val="000000"/>
                <w:szCs w:val="24"/>
              </w:rPr>
              <w:t xml:space="preserve">formally responded </w:t>
            </w:r>
            <w:r w:rsidR="00B354FF" w:rsidRPr="00860202">
              <w:rPr>
                <w:rFonts w:cstheme="minorHAnsi"/>
                <w:color w:val="000000"/>
                <w:szCs w:val="24"/>
              </w:rPr>
              <w:t>to five Plans in</w:t>
            </w:r>
            <w:r w:rsidRPr="00860202">
              <w:rPr>
                <w:rFonts w:cstheme="minorHAnsi"/>
                <w:color w:val="000000"/>
                <w:szCs w:val="24"/>
              </w:rPr>
              <w:t xml:space="preserve"> Q3</w:t>
            </w:r>
            <w:r w:rsidR="00B354FF" w:rsidRPr="00860202">
              <w:rPr>
                <w:rFonts w:cstheme="minorHAnsi"/>
                <w:color w:val="000000"/>
                <w:szCs w:val="24"/>
              </w:rPr>
              <w:t xml:space="preserve">. </w:t>
            </w:r>
            <w:r w:rsidRPr="00860202">
              <w:rPr>
                <w:rFonts w:cstheme="minorHAnsi"/>
                <w:color w:val="000000"/>
                <w:szCs w:val="24"/>
              </w:rPr>
              <w:t xml:space="preserve">Strategic responses included </w:t>
            </w:r>
            <w:r w:rsidR="00B354FF" w:rsidRPr="00860202">
              <w:rPr>
                <w:rFonts w:cstheme="minorHAnsi"/>
                <w:color w:val="000000"/>
                <w:szCs w:val="24"/>
              </w:rPr>
              <w:t>that</w:t>
            </w:r>
            <w:r w:rsidRPr="00860202">
              <w:rPr>
                <w:rFonts w:cstheme="minorHAnsi"/>
                <w:color w:val="000000"/>
                <w:szCs w:val="24"/>
              </w:rPr>
              <w:t xml:space="preserve"> to</w:t>
            </w:r>
            <w:r w:rsidR="00B354FF" w:rsidRPr="00860202">
              <w:rPr>
                <w:rFonts w:cstheme="minorHAnsi"/>
                <w:color w:val="000000"/>
                <w:szCs w:val="24"/>
              </w:rPr>
              <w:t xml:space="preserve"> the</w:t>
            </w:r>
            <w:r w:rsidRPr="00860202">
              <w:rPr>
                <w:rFonts w:cstheme="minorHAnsi"/>
                <w:color w:val="000000"/>
                <w:szCs w:val="24"/>
              </w:rPr>
              <w:t xml:space="preserve"> joint SG/UK Government proposals for changes to the Electricity Act.</w:t>
            </w:r>
          </w:p>
          <w:p w14:paraId="51C1FBC5" w14:textId="26870E7B" w:rsidR="00B12158" w:rsidRPr="00860202" w:rsidRDefault="00B12158" w:rsidP="00860202">
            <w:pPr>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60202">
              <w:rPr>
                <w:rFonts w:cstheme="minorHAnsi"/>
                <w:color w:val="000000"/>
                <w:szCs w:val="24"/>
              </w:rPr>
              <w:lastRenderedPageBreak/>
              <w:t xml:space="preserve">Biodiversity metric </w:t>
            </w:r>
            <w:r w:rsidR="00B354FF" w:rsidRPr="00860202">
              <w:rPr>
                <w:rFonts w:cstheme="minorHAnsi"/>
                <w:color w:val="000000"/>
                <w:szCs w:val="24"/>
              </w:rPr>
              <w:t>–</w:t>
            </w:r>
            <w:r w:rsidRPr="00860202">
              <w:rPr>
                <w:rFonts w:cstheme="minorHAnsi"/>
                <w:color w:val="000000"/>
                <w:szCs w:val="24"/>
              </w:rPr>
              <w:t xml:space="preserve"> </w:t>
            </w:r>
            <w:r w:rsidR="00B354FF" w:rsidRPr="00860202">
              <w:rPr>
                <w:rFonts w:cstheme="minorHAnsi"/>
                <w:color w:val="000000"/>
                <w:szCs w:val="24"/>
              </w:rPr>
              <w:t>we are in</w:t>
            </w:r>
            <w:r w:rsidRPr="00860202">
              <w:rPr>
                <w:rFonts w:cstheme="minorHAnsi"/>
                <w:color w:val="000000"/>
                <w:szCs w:val="24"/>
              </w:rPr>
              <w:t xml:space="preserve"> discussion with external stakeholders to understand issues with the English metric and how </w:t>
            </w:r>
            <w:r w:rsidR="00B354FF" w:rsidRPr="00860202">
              <w:rPr>
                <w:rFonts w:cstheme="minorHAnsi"/>
                <w:color w:val="000000"/>
                <w:szCs w:val="24"/>
              </w:rPr>
              <w:t>to</w:t>
            </w:r>
            <w:r w:rsidRPr="00860202">
              <w:rPr>
                <w:rFonts w:cstheme="minorHAnsi"/>
                <w:color w:val="000000"/>
                <w:szCs w:val="24"/>
              </w:rPr>
              <w:t xml:space="preserve"> adapt for Scotland</w:t>
            </w:r>
            <w:r w:rsidR="00B354FF" w:rsidRPr="00860202">
              <w:rPr>
                <w:rFonts w:cstheme="minorHAnsi"/>
                <w:color w:val="000000"/>
                <w:szCs w:val="24"/>
              </w:rPr>
              <w:t xml:space="preserve">. </w:t>
            </w:r>
            <w:r w:rsidRPr="00860202">
              <w:rPr>
                <w:rFonts w:cstheme="minorHAnsi"/>
                <w:color w:val="000000"/>
                <w:szCs w:val="24"/>
              </w:rPr>
              <w:t xml:space="preserve"> </w:t>
            </w:r>
            <w:r w:rsidR="00B354FF" w:rsidRPr="00860202">
              <w:rPr>
                <w:rFonts w:cstheme="minorHAnsi"/>
                <w:color w:val="000000"/>
                <w:szCs w:val="24"/>
              </w:rPr>
              <w:t>We are</w:t>
            </w:r>
            <w:r w:rsidRPr="00860202">
              <w:rPr>
                <w:rFonts w:cstheme="minorHAnsi"/>
                <w:color w:val="000000"/>
                <w:szCs w:val="24"/>
              </w:rPr>
              <w:t xml:space="preserve"> raising awareness </w:t>
            </w:r>
            <w:r w:rsidR="00B354FF" w:rsidRPr="00860202">
              <w:rPr>
                <w:rFonts w:cstheme="minorHAnsi"/>
                <w:color w:val="000000"/>
                <w:szCs w:val="24"/>
              </w:rPr>
              <w:t>via</w:t>
            </w:r>
            <w:r w:rsidRPr="00860202">
              <w:rPr>
                <w:rFonts w:cstheme="minorHAnsi"/>
                <w:color w:val="000000"/>
                <w:szCs w:val="24"/>
              </w:rPr>
              <w:t xml:space="preserve"> external webinars for the Improvement Service.</w:t>
            </w:r>
          </w:p>
          <w:p w14:paraId="3B0792C5" w14:textId="65385FFE" w:rsidR="00B12158" w:rsidRPr="00860202" w:rsidRDefault="00B12158" w:rsidP="00860202">
            <w:pPr>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60202">
              <w:rPr>
                <w:rFonts w:cstheme="minorHAnsi"/>
                <w:color w:val="000000"/>
                <w:szCs w:val="24"/>
              </w:rPr>
              <w:t xml:space="preserve">Engagement with the Renewables Sector – Sector Deal discussions </w:t>
            </w:r>
            <w:r w:rsidR="000D555D">
              <w:rPr>
                <w:rFonts w:cstheme="minorHAnsi"/>
                <w:color w:val="000000"/>
                <w:szCs w:val="24"/>
              </w:rPr>
              <w:t>require</w:t>
            </w:r>
            <w:r w:rsidR="002C09F5">
              <w:rPr>
                <w:rFonts w:cstheme="minorHAnsi"/>
                <w:color w:val="000000"/>
                <w:szCs w:val="24"/>
              </w:rPr>
              <w:t>s</w:t>
            </w:r>
            <w:r w:rsidR="000D555D">
              <w:rPr>
                <w:rFonts w:cstheme="minorHAnsi"/>
                <w:color w:val="000000"/>
                <w:szCs w:val="24"/>
              </w:rPr>
              <w:t xml:space="preserve"> addressing</w:t>
            </w:r>
            <w:r w:rsidR="00A538D3" w:rsidRPr="00860202">
              <w:rPr>
                <w:rFonts w:cstheme="minorHAnsi"/>
                <w:color w:val="000000"/>
                <w:szCs w:val="24"/>
              </w:rPr>
              <w:t>.</w:t>
            </w:r>
            <w:r w:rsidR="00B354FF" w:rsidRPr="00860202">
              <w:rPr>
                <w:rFonts w:cstheme="minorHAnsi"/>
                <w:color w:val="000000"/>
                <w:szCs w:val="24"/>
              </w:rPr>
              <w:t xml:space="preserve"> </w:t>
            </w:r>
            <w:r w:rsidR="000D555D">
              <w:rPr>
                <w:rFonts w:cstheme="minorHAnsi"/>
                <w:color w:val="000000"/>
                <w:szCs w:val="24"/>
              </w:rPr>
              <w:t>Additional</w:t>
            </w:r>
            <w:r w:rsidR="000D555D" w:rsidRPr="00860202">
              <w:rPr>
                <w:rFonts w:cstheme="minorHAnsi"/>
                <w:color w:val="000000"/>
                <w:szCs w:val="24"/>
              </w:rPr>
              <w:t xml:space="preserve"> </w:t>
            </w:r>
            <w:r w:rsidRPr="00860202">
              <w:rPr>
                <w:rFonts w:cstheme="minorHAnsi"/>
                <w:color w:val="000000"/>
                <w:szCs w:val="24"/>
              </w:rPr>
              <w:t xml:space="preserve">effort is needed with Scottish Government to ensure the wider Peatland Expert Advisory Group work delivers </w:t>
            </w:r>
            <w:r w:rsidR="00521912">
              <w:rPr>
                <w:rFonts w:cstheme="minorHAnsi"/>
                <w:color w:val="000000"/>
                <w:szCs w:val="24"/>
              </w:rPr>
              <w:t>“</w:t>
            </w:r>
            <w:r w:rsidRPr="00860202">
              <w:rPr>
                <w:rFonts w:cstheme="minorHAnsi"/>
                <w:color w:val="000000"/>
                <w:szCs w:val="24"/>
              </w:rPr>
              <w:t>win wins</w:t>
            </w:r>
            <w:r w:rsidR="00521912">
              <w:rPr>
                <w:rFonts w:cstheme="minorHAnsi"/>
                <w:color w:val="000000"/>
                <w:szCs w:val="24"/>
              </w:rPr>
              <w:t>”</w:t>
            </w:r>
            <w:r w:rsidRPr="00860202">
              <w:rPr>
                <w:rFonts w:cstheme="minorHAnsi"/>
                <w:color w:val="000000"/>
                <w:szCs w:val="24"/>
              </w:rPr>
              <w:t>.</w:t>
            </w:r>
          </w:p>
          <w:p w14:paraId="6CDF6AAC" w14:textId="3EC77A13" w:rsidR="001F01A7" w:rsidRDefault="00B12158" w:rsidP="00860202">
            <w:pPr>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860202">
              <w:rPr>
                <w:rFonts w:cstheme="minorHAnsi"/>
                <w:color w:val="000000"/>
                <w:szCs w:val="24"/>
              </w:rPr>
              <w:t>Inquiries - Coul golf links and Kirkton Windfarm (affecting the Flow Country World Heritage</w:t>
            </w:r>
            <w:r w:rsidRPr="00B12158">
              <w:rPr>
                <w:rFonts w:ascii="Calibri" w:hAnsi="Calibri" w:cs="Calibri"/>
                <w:color w:val="000000"/>
                <w:szCs w:val="24"/>
              </w:rPr>
              <w:t xml:space="preserve"> Site) sessions completed and final submissions </w:t>
            </w:r>
            <w:r w:rsidR="00521912">
              <w:rPr>
                <w:rFonts w:ascii="Calibri" w:hAnsi="Calibri" w:cs="Calibri"/>
                <w:color w:val="000000"/>
                <w:szCs w:val="24"/>
              </w:rPr>
              <w:t>in</w:t>
            </w:r>
            <w:r w:rsidRPr="00B12158">
              <w:rPr>
                <w:rFonts w:ascii="Calibri" w:hAnsi="Calibri" w:cs="Calibri"/>
                <w:color w:val="000000"/>
                <w:szCs w:val="24"/>
              </w:rPr>
              <w:t xml:space="preserve"> Q4</w:t>
            </w:r>
            <w:r>
              <w:rPr>
                <w:rFonts w:ascii="Calibri" w:hAnsi="Calibri" w:cs="Calibri"/>
                <w:color w:val="000000"/>
                <w:szCs w:val="24"/>
              </w:rPr>
              <w:t>.</w:t>
            </w:r>
          </w:p>
          <w:p w14:paraId="410B316C" w14:textId="186B96D9" w:rsidR="009D523D" w:rsidRPr="00B12158" w:rsidRDefault="009D523D" w:rsidP="004A2AB7">
            <w:pPr>
              <w:cnfStyle w:val="000000100000" w:firstRow="0" w:lastRow="0" w:firstColumn="0" w:lastColumn="0" w:oddVBand="0" w:evenVBand="0" w:oddHBand="1" w:evenHBand="0" w:firstRowFirstColumn="0" w:firstRowLastColumn="0" w:lastRowFirstColumn="0" w:lastRowLastColumn="0"/>
            </w:pPr>
          </w:p>
        </w:tc>
      </w:tr>
      <w:tr w:rsidR="009D523D" w:rsidRPr="00F550D1" w14:paraId="3ECA2FB1" w14:textId="77777777" w:rsidTr="0046619F">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14:paraId="2A5B0C62" w14:textId="21EEC49B" w:rsidR="009D523D" w:rsidRPr="008D1895" w:rsidRDefault="008D1895" w:rsidP="008D1895">
            <w:pPr>
              <w:rPr>
                <w:rFonts w:ascii="Calibri" w:hAnsi="Calibri" w:cs="Calibri"/>
                <w:color w:val="000000"/>
              </w:rPr>
            </w:pPr>
            <w:r>
              <w:rPr>
                <w:rFonts w:ascii="Calibri" w:hAnsi="Calibri" w:cs="Calibri"/>
                <w:b w:val="0"/>
                <w:color w:val="000000"/>
              </w:rPr>
              <w:lastRenderedPageBreak/>
              <w:t xml:space="preserve">4. </w:t>
            </w:r>
            <w:r w:rsidR="009D523D" w:rsidRPr="008D1895">
              <w:rPr>
                <w:rFonts w:ascii="Calibri" w:hAnsi="Calibri" w:cs="Calibri"/>
                <w:b w:val="0"/>
                <w:color w:val="000000"/>
              </w:rPr>
              <w:t>Influence the transformation of marine management through new marine planning, protection and fisheries management frameworks, and working with the marine renewable energy sector</w:t>
            </w:r>
          </w:p>
        </w:tc>
        <w:tc>
          <w:tcPr>
            <w:tcW w:w="1276" w:type="dxa"/>
            <w:shd w:val="clear" w:color="auto" w:fill="auto"/>
            <w:vAlign w:val="center"/>
          </w:tcPr>
          <w:p w14:paraId="01F6D4F6" w14:textId="77777777"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50D1">
              <w:rPr>
                <w:rFonts w:ascii="Calibri" w:hAnsi="Calibri" w:cs="Calibri"/>
                <w:color w:val="000000"/>
              </w:rPr>
              <w:t>Nick Halfhide</w:t>
            </w:r>
          </w:p>
        </w:tc>
        <w:tc>
          <w:tcPr>
            <w:tcW w:w="992" w:type="dxa"/>
            <w:shd w:val="clear" w:color="auto" w:fill="9BBB59" w:themeFill="accent3"/>
            <w:vAlign w:val="center"/>
          </w:tcPr>
          <w:p w14:paraId="75548E2C" w14:textId="393D327E" w:rsidR="009D523D" w:rsidRPr="0046619F" w:rsidRDefault="009D523D" w:rsidP="009D52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GREEN</w:t>
            </w:r>
          </w:p>
        </w:tc>
        <w:tc>
          <w:tcPr>
            <w:tcW w:w="8930" w:type="dxa"/>
            <w:vAlign w:val="center"/>
          </w:tcPr>
          <w:p w14:paraId="77B93E47" w14:textId="70919C70" w:rsidR="004A2AB7" w:rsidRPr="004A2AB7" w:rsidRDefault="004A2AB7" w:rsidP="004A2AB7">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4A2AB7">
              <w:rPr>
                <w:rFonts w:ascii="Calibri" w:hAnsi="Calibri" w:cs="Calibri"/>
                <w:color w:val="000000"/>
                <w:szCs w:val="24"/>
              </w:rPr>
              <w:t>Marine energy - Displacement workshop held. Application advice provided on West of Orkney additional information. Application advice for Ossian provided. Charging contract - draft report received</w:t>
            </w:r>
            <w:r w:rsidR="009E274F">
              <w:rPr>
                <w:rFonts w:ascii="Calibri" w:hAnsi="Calibri" w:cs="Calibri"/>
                <w:color w:val="000000"/>
                <w:szCs w:val="24"/>
              </w:rPr>
              <w:t xml:space="preserve"> </w:t>
            </w:r>
            <w:r w:rsidRPr="004A2AB7">
              <w:rPr>
                <w:rFonts w:ascii="Calibri" w:hAnsi="Calibri" w:cs="Calibri"/>
                <w:color w:val="000000"/>
                <w:szCs w:val="24"/>
              </w:rPr>
              <w:t xml:space="preserve">and </w:t>
            </w:r>
            <w:r w:rsidR="009E274F">
              <w:rPr>
                <w:rFonts w:ascii="Calibri" w:hAnsi="Calibri" w:cs="Calibri"/>
                <w:color w:val="000000"/>
                <w:szCs w:val="24"/>
              </w:rPr>
              <w:t>discussed with steering group</w:t>
            </w:r>
            <w:r w:rsidRPr="004A2AB7">
              <w:rPr>
                <w:rFonts w:ascii="Calibri" w:hAnsi="Calibri" w:cs="Calibri"/>
                <w:color w:val="000000"/>
                <w:szCs w:val="24"/>
              </w:rPr>
              <w:t>.</w:t>
            </w:r>
          </w:p>
          <w:p w14:paraId="18971C10" w14:textId="77777777" w:rsidR="004A2AB7" w:rsidRPr="004A2AB7" w:rsidRDefault="004A2AB7" w:rsidP="004A2AB7">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4A2AB7">
              <w:rPr>
                <w:rFonts w:ascii="Calibri" w:hAnsi="Calibri" w:cs="Calibri"/>
                <w:color w:val="000000"/>
                <w:szCs w:val="24"/>
              </w:rPr>
              <w:t>Enhancement - Provided initial advice to Marine Directorate towards the Marine and Coastal Restoration Plan; contributed to first advisory group meeting.</w:t>
            </w:r>
          </w:p>
          <w:p w14:paraId="6FA0B94B" w14:textId="13DB62E3" w:rsidR="004A2AB7" w:rsidRPr="004A2AB7" w:rsidRDefault="004A2AB7" w:rsidP="004A2AB7">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4A2AB7">
              <w:rPr>
                <w:rFonts w:ascii="Calibri" w:hAnsi="Calibri" w:cs="Calibri"/>
                <w:color w:val="000000"/>
                <w:szCs w:val="24"/>
              </w:rPr>
              <w:t xml:space="preserve">Marine planning: Responded to Orkney Islands Regional Marine Plan consultation, including the SEA and spatial guidance for aquaculture. </w:t>
            </w:r>
          </w:p>
          <w:p w14:paraId="03F169C3" w14:textId="0284929B" w:rsidR="004A2AB7" w:rsidRPr="004A2AB7" w:rsidRDefault="004A2AB7" w:rsidP="004A2AB7">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4A2AB7">
              <w:rPr>
                <w:rFonts w:ascii="Calibri" w:hAnsi="Calibri" w:cs="Calibri"/>
                <w:color w:val="000000"/>
                <w:szCs w:val="24"/>
              </w:rPr>
              <w:t>Marine protection - Completed PMF guidance documents</w:t>
            </w:r>
            <w:r w:rsidR="00A538D3">
              <w:rPr>
                <w:rFonts w:ascii="Calibri" w:hAnsi="Calibri" w:cs="Calibri"/>
                <w:color w:val="000000"/>
                <w:szCs w:val="24"/>
              </w:rPr>
              <w:t xml:space="preserve"> and </w:t>
            </w:r>
            <w:r w:rsidRPr="004A2AB7">
              <w:rPr>
                <w:rFonts w:ascii="Calibri" w:hAnsi="Calibri" w:cs="Calibri"/>
                <w:color w:val="000000"/>
                <w:szCs w:val="24"/>
              </w:rPr>
              <w:t xml:space="preserve">documents for fisheries assessment contract. </w:t>
            </w:r>
          </w:p>
          <w:p w14:paraId="5F730686" w14:textId="1099EBEF" w:rsidR="004A2AB7" w:rsidRPr="004A2AB7" w:rsidRDefault="004A2AB7" w:rsidP="004A2AB7">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4A2AB7">
              <w:rPr>
                <w:rFonts w:ascii="Calibri" w:hAnsi="Calibri" w:cs="Calibri"/>
                <w:color w:val="000000"/>
                <w:szCs w:val="24"/>
              </w:rPr>
              <w:t xml:space="preserve">Reporting </w:t>
            </w:r>
            <w:r w:rsidR="00A538D3">
              <w:rPr>
                <w:rFonts w:ascii="Calibri" w:hAnsi="Calibri" w:cs="Calibri"/>
                <w:color w:val="000000"/>
                <w:szCs w:val="24"/>
              </w:rPr>
              <w:t>and</w:t>
            </w:r>
            <w:r w:rsidRPr="004A2AB7">
              <w:rPr>
                <w:rFonts w:ascii="Calibri" w:hAnsi="Calibri" w:cs="Calibri"/>
                <w:color w:val="000000"/>
                <w:szCs w:val="24"/>
              </w:rPr>
              <w:t xml:space="preserve"> assessment - MPA report to parliament published on 17th December by Scottish Government. Marine reporting and assessment programme delayed due to increased work required on </w:t>
            </w:r>
            <w:proofErr w:type="spellStart"/>
            <w:r w:rsidRPr="004A2AB7">
              <w:rPr>
                <w:rFonts w:ascii="Calibri" w:hAnsi="Calibri" w:cs="Calibri"/>
                <w:color w:val="000000"/>
                <w:szCs w:val="24"/>
              </w:rPr>
              <w:t>Habs</w:t>
            </w:r>
            <w:proofErr w:type="spellEnd"/>
            <w:r w:rsidRPr="004A2AB7">
              <w:rPr>
                <w:rFonts w:ascii="Calibri" w:hAnsi="Calibri" w:cs="Calibri"/>
                <w:color w:val="000000"/>
                <w:szCs w:val="24"/>
              </w:rPr>
              <w:t xml:space="preserve"> Regs reporting data.</w:t>
            </w:r>
          </w:p>
          <w:p w14:paraId="5ACE34B8" w14:textId="2E5E4185" w:rsidR="004A2AB7" w:rsidRPr="004A2AB7" w:rsidRDefault="004A2AB7" w:rsidP="004A2AB7">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4A2AB7">
              <w:rPr>
                <w:rFonts w:ascii="Calibri" w:hAnsi="Calibri" w:cs="Calibri"/>
                <w:color w:val="000000"/>
                <w:szCs w:val="24"/>
              </w:rPr>
              <w:t xml:space="preserve">Marine development - Advice for the re-submitted application for </w:t>
            </w:r>
            <w:r w:rsidR="00A538D3" w:rsidRPr="004A2AB7">
              <w:rPr>
                <w:rFonts w:ascii="Calibri" w:hAnsi="Calibri" w:cs="Calibri"/>
                <w:color w:val="000000"/>
                <w:szCs w:val="24"/>
              </w:rPr>
              <w:t>Haston</w:t>
            </w:r>
            <w:r w:rsidRPr="004A2AB7">
              <w:rPr>
                <w:rFonts w:ascii="Calibri" w:hAnsi="Calibri" w:cs="Calibri"/>
                <w:color w:val="000000"/>
                <w:szCs w:val="24"/>
              </w:rPr>
              <w:t xml:space="preserve"> and Scapa port developments provided.</w:t>
            </w:r>
          </w:p>
          <w:p w14:paraId="00F7D59A" w14:textId="1705466A" w:rsidR="009D523D" w:rsidRPr="0042182D" w:rsidRDefault="004A2AB7" w:rsidP="004A2AB7">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4A2AB7">
              <w:rPr>
                <w:rFonts w:ascii="Calibri" w:hAnsi="Calibri" w:cs="Calibri"/>
                <w:color w:val="000000"/>
                <w:szCs w:val="24"/>
              </w:rPr>
              <w:t xml:space="preserve">Marine fisheries </w:t>
            </w:r>
            <w:r w:rsidR="009E274F">
              <w:rPr>
                <w:rFonts w:ascii="Calibri" w:hAnsi="Calibri" w:cs="Calibri"/>
                <w:color w:val="000000"/>
                <w:szCs w:val="24"/>
              </w:rPr>
              <w:t>–</w:t>
            </w:r>
            <w:r w:rsidRPr="004A2AB7">
              <w:rPr>
                <w:rFonts w:ascii="Calibri" w:hAnsi="Calibri" w:cs="Calibri"/>
                <w:color w:val="000000"/>
                <w:szCs w:val="24"/>
              </w:rPr>
              <w:t xml:space="preserve"> </w:t>
            </w:r>
            <w:r w:rsidR="009E274F">
              <w:rPr>
                <w:rFonts w:ascii="Calibri" w:hAnsi="Calibri" w:cs="Calibri"/>
                <w:color w:val="000000"/>
                <w:szCs w:val="24"/>
              </w:rPr>
              <w:t xml:space="preserve">Completed environmental advice on </w:t>
            </w:r>
            <w:r w:rsidRPr="004A2AB7">
              <w:rPr>
                <w:rFonts w:ascii="Calibri" w:hAnsi="Calibri" w:cs="Calibri"/>
                <w:color w:val="000000"/>
                <w:szCs w:val="24"/>
              </w:rPr>
              <w:t>Fisher</w:t>
            </w:r>
            <w:r w:rsidR="009E274F">
              <w:rPr>
                <w:rFonts w:ascii="Calibri" w:hAnsi="Calibri" w:cs="Calibri"/>
                <w:color w:val="000000"/>
                <w:szCs w:val="24"/>
              </w:rPr>
              <w:t xml:space="preserve">ies </w:t>
            </w:r>
            <w:r w:rsidRPr="004A2AB7">
              <w:rPr>
                <w:rFonts w:ascii="Calibri" w:hAnsi="Calibri" w:cs="Calibri"/>
                <w:color w:val="000000"/>
                <w:szCs w:val="24"/>
              </w:rPr>
              <w:t>Management Plan</w:t>
            </w:r>
            <w:r w:rsidR="009E274F">
              <w:rPr>
                <w:rFonts w:ascii="Calibri" w:hAnsi="Calibri" w:cs="Calibri"/>
                <w:color w:val="000000"/>
                <w:szCs w:val="24"/>
              </w:rPr>
              <w:t>s</w:t>
            </w:r>
            <w:r w:rsidRPr="004A2AB7">
              <w:rPr>
                <w:rFonts w:ascii="Calibri" w:hAnsi="Calibri" w:cs="Calibri"/>
                <w:color w:val="000000"/>
                <w:szCs w:val="24"/>
              </w:rPr>
              <w:t xml:space="preserve"> to Marine Directorate (with JNCC).</w:t>
            </w:r>
          </w:p>
        </w:tc>
      </w:tr>
    </w:tbl>
    <w:p w14:paraId="6FA83087" w14:textId="2961FF9D" w:rsidR="00875678" w:rsidRDefault="00875678" w:rsidP="00875678">
      <w:pPr>
        <w:pStyle w:val="Heading2"/>
        <w:rPr>
          <w:rFonts w:ascii="Calibri" w:hAnsi="Calibri" w:cs="Calibri"/>
          <w:b w:val="0"/>
        </w:rPr>
      </w:pPr>
    </w:p>
    <w:p w14:paraId="2F97F5DD" w14:textId="77777777" w:rsidR="00875678" w:rsidRDefault="00875678">
      <w:pPr>
        <w:rPr>
          <w:rFonts w:ascii="Calibri" w:hAnsi="Calibri" w:cs="Calibri"/>
          <w:b/>
        </w:rPr>
      </w:pPr>
      <w:r>
        <w:rPr>
          <w:rFonts w:ascii="Calibri" w:hAnsi="Calibri" w:cs="Calibri"/>
          <w:b/>
        </w:rPr>
        <w:br w:type="page"/>
      </w:r>
    </w:p>
    <w:p w14:paraId="311A03E0" w14:textId="77777777" w:rsidR="00875678" w:rsidRDefault="00875678">
      <w:pPr>
        <w:rPr>
          <w:rFonts w:ascii="Calibri" w:eastAsiaTheme="majorEastAsia" w:hAnsi="Calibri" w:cs="Calibri"/>
          <w:szCs w:val="26"/>
        </w:rPr>
      </w:pPr>
    </w:p>
    <w:p w14:paraId="6757ABAD" w14:textId="77777777" w:rsidR="008D20BE" w:rsidRPr="00F550D1" w:rsidRDefault="008D20BE" w:rsidP="00875678">
      <w:pPr>
        <w:pStyle w:val="Heading2"/>
        <w:jc w:val="center"/>
        <w:rPr>
          <w:rFonts w:ascii="Calibri" w:hAnsi="Calibri" w:cs="Calibri"/>
          <w:b w:val="0"/>
        </w:rPr>
      </w:pPr>
    </w:p>
    <w:tbl>
      <w:tblPr>
        <w:tblStyle w:val="PlainTable1"/>
        <w:tblW w:w="14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76"/>
        <w:gridCol w:w="992"/>
        <w:gridCol w:w="8930"/>
      </w:tblGrid>
      <w:tr w:rsidR="00875678" w:rsidRPr="00F550D1" w14:paraId="5E046349" w14:textId="77777777" w:rsidTr="0087567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742" w:type="dxa"/>
            <w:gridSpan w:val="4"/>
            <w:shd w:val="clear" w:color="auto" w:fill="548DD4" w:themeFill="text2" w:themeFillTint="99"/>
            <w:vAlign w:val="center"/>
          </w:tcPr>
          <w:p w14:paraId="6E02019A" w14:textId="5ED6B78B" w:rsidR="00875678" w:rsidRDefault="00875678" w:rsidP="0011387D">
            <w:pPr>
              <w:jc w:val="center"/>
              <w:rPr>
                <w:rFonts w:ascii="Calibri" w:hAnsi="Calibri" w:cs="Calibri"/>
                <w:szCs w:val="26"/>
              </w:rPr>
            </w:pPr>
            <w:r>
              <w:rPr>
                <w:rFonts w:ascii="Calibri" w:hAnsi="Calibri" w:cs="Calibri"/>
                <w:szCs w:val="26"/>
              </w:rPr>
              <w:t>WE HAVE RESTORED NATURE</w:t>
            </w:r>
          </w:p>
        </w:tc>
      </w:tr>
      <w:tr w:rsidR="008D20BE" w:rsidRPr="00F550D1" w14:paraId="24FA7C11" w14:textId="77777777" w:rsidTr="00C3498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225A95AB" w14:textId="77777777" w:rsidR="008D20BE" w:rsidRPr="00F550D1" w:rsidRDefault="008D20BE" w:rsidP="008D20BE">
            <w:pPr>
              <w:jc w:val="center"/>
              <w:rPr>
                <w:rFonts w:ascii="Calibri" w:hAnsi="Calibri" w:cs="Calibri"/>
                <w:szCs w:val="26"/>
              </w:rPr>
            </w:pPr>
            <w:r w:rsidRPr="00F550D1">
              <w:rPr>
                <w:rFonts w:ascii="Calibri" w:hAnsi="Calibri" w:cs="Calibri"/>
                <w:szCs w:val="26"/>
              </w:rPr>
              <w:t>CORPORATE PLAN OBJECTIVE</w:t>
            </w:r>
          </w:p>
        </w:tc>
        <w:tc>
          <w:tcPr>
            <w:tcW w:w="1276" w:type="dxa"/>
            <w:vAlign w:val="center"/>
          </w:tcPr>
          <w:p w14:paraId="082C86E2"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2" w:type="dxa"/>
            <w:vAlign w:val="center"/>
          </w:tcPr>
          <w:p w14:paraId="2F3F43B3"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930" w:type="dxa"/>
            <w:vAlign w:val="center"/>
          </w:tcPr>
          <w:p w14:paraId="2914FB54" w14:textId="226FE8D2" w:rsidR="008D20BE" w:rsidRPr="00F550D1" w:rsidRDefault="00701FAD" w:rsidP="0011387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w:t>
            </w:r>
            <w:r w:rsidR="00352305">
              <w:rPr>
                <w:rFonts w:ascii="Calibri" w:hAnsi="Calibri" w:cs="Calibri"/>
                <w:szCs w:val="26"/>
              </w:rPr>
              <w:t>3</w:t>
            </w:r>
            <w:r w:rsidR="0011387D">
              <w:rPr>
                <w:rFonts w:ascii="Calibri" w:hAnsi="Calibri" w:cs="Calibri"/>
                <w:szCs w:val="26"/>
              </w:rPr>
              <w:t xml:space="preserve"> </w:t>
            </w:r>
            <w:r w:rsidR="008D20BE" w:rsidRPr="00F550D1">
              <w:rPr>
                <w:rFonts w:ascii="Calibri" w:hAnsi="Calibri" w:cs="Calibri"/>
                <w:szCs w:val="26"/>
              </w:rPr>
              <w:t>UPDATE</w:t>
            </w:r>
          </w:p>
        </w:tc>
      </w:tr>
      <w:tr w:rsidR="009D523D" w:rsidRPr="00F550D1" w14:paraId="5D1D3751" w14:textId="77777777" w:rsidTr="008824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87654A5" w14:textId="1F5A8065" w:rsidR="009D523D" w:rsidRPr="008D1895" w:rsidRDefault="008D1895" w:rsidP="008D1895">
            <w:pPr>
              <w:rPr>
                <w:rFonts w:ascii="Calibri" w:hAnsi="Calibri" w:cs="Calibri"/>
                <w:color w:val="000000"/>
                <w:szCs w:val="24"/>
                <w:highlight w:val="yellow"/>
              </w:rPr>
            </w:pPr>
            <w:r>
              <w:rPr>
                <w:rFonts w:ascii="Calibri" w:hAnsi="Calibri" w:cs="Calibri"/>
                <w:b w:val="0"/>
                <w:color w:val="000000"/>
                <w:szCs w:val="24"/>
              </w:rPr>
              <w:t xml:space="preserve">5. </w:t>
            </w:r>
            <w:r w:rsidR="009D523D" w:rsidRPr="008D1895">
              <w:rPr>
                <w:rFonts w:ascii="Calibri" w:hAnsi="Calibri" w:cs="Calibri"/>
                <w:b w:val="0"/>
                <w:color w:val="000000"/>
                <w:szCs w:val="24"/>
              </w:rPr>
              <w:t>Co-lead the production of the new Scottish Biodiversity Strategy (SBS) and develop targets to include in a new Natural Environment Bill</w:t>
            </w:r>
          </w:p>
        </w:tc>
        <w:tc>
          <w:tcPr>
            <w:tcW w:w="1276" w:type="dxa"/>
            <w:vAlign w:val="center"/>
          </w:tcPr>
          <w:p w14:paraId="2E9A07D2" w14:textId="77777777" w:rsidR="009D523D" w:rsidRPr="00F550D1"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Nick Halfhide</w:t>
            </w:r>
          </w:p>
        </w:tc>
        <w:tc>
          <w:tcPr>
            <w:tcW w:w="992" w:type="dxa"/>
            <w:shd w:val="clear" w:color="auto" w:fill="9BBB59" w:themeFill="accent3"/>
            <w:vAlign w:val="center"/>
          </w:tcPr>
          <w:p w14:paraId="662AE0DF" w14:textId="2B2FA42B" w:rsidR="009D523D" w:rsidRPr="00F550D1" w:rsidRDefault="00882475"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rPr>
              <w:t>GREEN</w:t>
            </w:r>
          </w:p>
        </w:tc>
        <w:tc>
          <w:tcPr>
            <w:tcW w:w="8930" w:type="dxa"/>
            <w:vAlign w:val="center"/>
          </w:tcPr>
          <w:p w14:paraId="162557EF" w14:textId="661EF0FE" w:rsidR="002B6135" w:rsidRDefault="002B613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B6135">
              <w:rPr>
                <w:rFonts w:ascii="Calibri" w:hAnsi="Calibri" w:cs="Calibri"/>
                <w:color w:val="000000"/>
                <w:szCs w:val="24"/>
              </w:rPr>
              <w:t>SBS and Delivery Plan documents have been published.</w:t>
            </w:r>
          </w:p>
          <w:p w14:paraId="155D05DF" w14:textId="6D933D25" w:rsidR="002B6135" w:rsidRDefault="00A538D3">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D</w:t>
            </w:r>
            <w:r w:rsidR="002B6135" w:rsidRPr="002B6135">
              <w:rPr>
                <w:rFonts w:ascii="Calibri" w:hAnsi="Calibri" w:cs="Calibri"/>
                <w:color w:val="000000"/>
                <w:szCs w:val="24"/>
              </w:rPr>
              <w:t xml:space="preserve">iscussed the programme management of the 138 projects </w:t>
            </w:r>
            <w:r w:rsidR="00B27229">
              <w:rPr>
                <w:rFonts w:ascii="Calibri" w:hAnsi="Calibri" w:cs="Calibri"/>
                <w:color w:val="000000"/>
                <w:szCs w:val="24"/>
              </w:rPr>
              <w:t xml:space="preserve">in the Delivery Plan </w:t>
            </w:r>
            <w:r w:rsidR="002B6135" w:rsidRPr="002B6135">
              <w:rPr>
                <w:rFonts w:ascii="Calibri" w:hAnsi="Calibri" w:cs="Calibri"/>
                <w:color w:val="000000"/>
                <w:szCs w:val="24"/>
              </w:rPr>
              <w:t>with SG and with other partners.</w:t>
            </w:r>
          </w:p>
          <w:p w14:paraId="1601C632" w14:textId="4AF081C1" w:rsidR="00E555C3" w:rsidRPr="00470228" w:rsidRDefault="00E555C3" w:rsidP="007755BC">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p>
        </w:tc>
      </w:tr>
      <w:tr w:rsidR="009D523D" w:rsidRPr="00F550D1" w14:paraId="4F83D9E2" w14:textId="77777777" w:rsidTr="002062E0">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44DFFF62" w14:textId="5C17F025" w:rsidR="009D523D" w:rsidRPr="00F550D1" w:rsidRDefault="008D1895" w:rsidP="009D523D">
            <w:pPr>
              <w:rPr>
                <w:rFonts w:ascii="Calibri" w:hAnsi="Calibri" w:cs="Calibri"/>
                <w:b w:val="0"/>
                <w:color w:val="000000"/>
                <w:szCs w:val="24"/>
              </w:rPr>
            </w:pPr>
            <w:r>
              <w:rPr>
                <w:rFonts w:ascii="Calibri" w:hAnsi="Calibri" w:cs="Calibri"/>
                <w:b w:val="0"/>
                <w:color w:val="000000"/>
                <w:szCs w:val="24"/>
              </w:rPr>
              <w:t xml:space="preserve">6. </w:t>
            </w:r>
            <w:r w:rsidR="009D523D" w:rsidRPr="00DC3DFD">
              <w:rPr>
                <w:rFonts w:ascii="Calibri" w:hAnsi="Calibri" w:cs="Calibri"/>
                <w:b w:val="0"/>
                <w:color w:val="000000"/>
                <w:szCs w:val="24"/>
              </w:rPr>
              <w:t>Scale up Peatland Restoration by delivering Peatland ACTION funding to projects</w:t>
            </w:r>
          </w:p>
        </w:tc>
        <w:tc>
          <w:tcPr>
            <w:tcW w:w="1276" w:type="dxa"/>
            <w:vAlign w:val="center"/>
          </w:tcPr>
          <w:p w14:paraId="60552E16" w14:textId="77777777"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Robbie Kernahan</w:t>
            </w:r>
          </w:p>
        </w:tc>
        <w:tc>
          <w:tcPr>
            <w:tcW w:w="992" w:type="dxa"/>
            <w:shd w:val="clear" w:color="auto" w:fill="9BBB59" w:themeFill="accent3"/>
            <w:vAlign w:val="center"/>
          </w:tcPr>
          <w:p w14:paraId="31DFF831" w14:textId="44811BF0"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b/>
              </w:rPr>
              <w:t>GREEN</w:t>
            </w:r>
          </w:p>
        </w:tc>
        <w:tc>
          <w:tcPr>
            <w:tcW w:w="8930" w:type="dxa"/>
            <w:vAlign w:val="center"/>
          </w:tcPr>
          <w:p w14:paraId="41B4DADA" w14:textId="47963F84" w:rsidR="00D11C86" w:rsidRPr="00D11C86" w:rsidRDefault="00A538D3" w:rsidP="00D11C86">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O</w:t>
            </w:r>
            <w:r w:rsidR="000550A2">
              <w:rPr>
                <w:rFonts w:cstheme="minorHAnsi"/>
                <w:color w:val="000000"/>
                <w:szCs w:val="24"/>
              </w:rPr>
              <w:t xml:space="preserve">n track to </w:t>
            </w:r>
            <w:r>
              <w:rPr>
                <w:rFonts w:cstheme="minorHAnsi"/>
                <w:color w:val="000000"/>
                <w:szCs w:val="24"/>
              </w:rPr>
              <w:t xml:space="preserve">meet </w:t>
            </w:r>
            <w:r w:rsidR="000550A2">
              <w:rPr>
                <w:rFonts w:cstheme="minorHAnsi"/>
                <w:color w:val="000000"/>
                <w:szCs w:val="24"/>
              </w:rPr>
              <w:t>our target of</w:t>
            </w:r>
            <w:r w:rsidR="00D11C86" w:rsidRPr="00D11C86">
              <w:rPr>
                <w:rFonts w:cstheme="minorHAnsi"/>
                <w:color w:val="000000"/>
                <w:szCs w:val="24"/>
              </w:rPr>
              <w:t xml:space="preserve"> 7,400 hectares </w:t>
            </w:r>
            <w:r>
              <w:rPr>
                <w:rFonts w:cstheme="minorHAnsi"/>
                <w:color w:val="000000"/>
                <w:szCs w:val="24"/>
              </w:rPr>
              <w:t>restored</w:t>
            </w:r>
          </w:p>
          <w:p w14:paraId="2509371F" w14:textId="56FFAF50" w:rsidR="00D11C86" w:rsidRPr="00D11C86" w:rsidRDefault="00A538D3" w:rsidP="00D11C86">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S</w:t>
            </w:r>
            <w:r w:rsidR="00D11C86" w:rsidRPr="00D11C86">
              <w:rPr>
                <w:rFonts w:cstheme="minorHAnsi"/>
                <w:color w:val="000000"/>
                <w:szCs w:val="24"/>
              </w:rPr>
              <w:t xml:space="preserve">ubmitted revised guidance on peat and development to the </w:t>
            </w:r>
            <w:r w:rsidR="00275CCD">
              <w:rPr>
                <w:rFonts w:cstheme="minorHAnsi"/>
                <w:color w:val="000000"/>
                <w:szCs w:val="24"/>
              </w:rPr>
              <w:t>Peatland Expert Advisory Group (</w:t>
            </w:r>
            <w:r w:rsidR="00D11C86" w:rsidRPr="00D11C86">
              <w:rPr>
                <w:rFonts w:cstheme="minorHAnsi"/>
                <w:color w:val="000000"/>
                <w:szCs w:val="24"/>
              </w:rPr>
              <w:t>PEAG</w:t>
            </w:r>
            <w:r w:rsidR="00275CCD">
              <w:rPr>
                <w:rFonts w:cstheme="minorHAnsi"/>
                <w:color w:val="000000"/>
                <w:szCs w:val="24"/>
              </w:rPr>
              <w:t xml:space="preserve">) </w:t>
            </w:r>
            <w:r w:rsidR="00D11C86" w:rsidRPr="00D11C86">
              <w:rPr>
                <w:rFonts w:cstheme="minorHAnsi"/>
                <w:color w:val="000000"/>
                <w:szCs w:val="24"/>
              </w:rPr>
              <w:t>- to balance competing interests. The PEAG have asked for further consideration in response to ongoing concerns raised by the renewables industry about the 1 to 10 compensation ratio.</w:t>
            </w:r>
          </w:p>
          <w:p w14:paraId="40F808FB" w14:textId="7BE824A7" w:rsidR="000550A2" w:rsidRDefault="00A538D3" w:rsidP="00D11C86">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Su</w:t>
            </w:r>
            <w:r w:rsidRPr="00D11C86">
              <w:rPr>
                <w:rFonts w:cstheme="minorHAnsi"/>
                <w:color w:val="000000"/>
                <w:szCs w:val="24"/>
              </w:rPr>
              <w:t>pported</w:t>
            </w:r>
            <w:r w:rsidR="00D11C86" w:rsidRPr="00D11C86">
              <w:rPr>
                <w:rFonts w:cstheme="minorHAnsi"/>
                <w:color w:val="000000"/>
                <w:szCs w:val="24"/>
              </w:rPr>
              <w:t xml:space="preserve"> </w:t>
            </w:r>
            <w:r w:rsidR="000550A2">
              <w:rPr>
                <w:rFonts w:cstheme="minorHAnsi"/>
                <w:color w:val="000000"/>
                <w:szCs w:val="24"/>
              </w:rPr>
              <w:t xml:space="preserve">a </w:t>
            </w:r>
            <w:r w:rsidR="00D11C86" w:rsidRPr="00D11C86">
              <w:rPr>
                <w:rFonts w:cstheme="minorHAnsi"/>
                <w:color w:val="000000"/>
                <w:szCs w:val="24"/>
              </w:rPr>
              <w:t xml:space="preserve">series of </w:t>
            </w:r>
            <w:r w:rsidR="00242C9C">
              <w:rPr>
                <w:rFonts w:cstheme="minorHAnsi"/>
                <w:color w:val="000000"/>
                <w:szCs w:val="24"/>
              </w:rPr>
              <w:t>Scottish Land and Estates</w:t>
            </w:r>
            <w:r w:rsidR="00242C9C" w:rsidRPr="00D11C86">
              <w:rPr>
                <w:rFonts w:cstheme="minorHAnsi"/>
                <w:color w:val="000000"/>
                <w:szCs w:val="24"/>
              </w:rPr>
              <w:t xml:space="preserve"> </w:t>
            </w:r>
            <w:r w:rsidR="00D11C86" w:rsidRPr="00D11C86">
              <w:rPr>
                <w:rFonts w:cstheme="minorHAnsi"/>
                <w:color w:val="000000"/>
                <w:szCs w:val="24"/>
              </w:rPr>
              <w:t>regional Peat Workshops and filming for case studies to be released in Q4.</w:t>
            </w:r>
            <w:r w:rsidR="00D11C86">
              <w:rPr>
                <w:rFonts w:cstheme="minorHAnsi"/>
                <w:color w:val="000000"/>
                <w:szCs w:val="24"/>
              </w:rPr>
              <w:t xml:space="preserve"> </w:t>
            </w:r>
          </w:p>
          <w:p w14:paraId="2388D8BE" w14:textId="44D8F37F" w:rsidR="00D11C86" w:rsidRPr="00D11C86" w:rsidRDefault="00A538D3" w:rsidP="00D11C86">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R</w:t>
            </w:r>
            <w:r w:rsidR="000550A2">
              <w:rPr>
                <w:rFonts w:cstheme="minorHAnsi"/>
                <w:color w:val="000000"/>
                <w:szCs w:val="24"/>
              </w:rPr>
              <w:t xml:space="preserve">eceived 30 submission responses to our </w:t>
            </w:r>
            <w:r w:rsidR="00D11C86" w:rsidRPr="00D11C86">
              <w:rPr>
                <w:rFonts w:cstheme="minorHAnsi"/>
                <w:color w:val="000000"/>
                <w:szCs w:val="24"/>
              </w:rPr>
              <w:t xml:space="preserve">Update </w:t>
            </w:r>
            <w:r>
              <w:rPr>
                <w:rFonts w:cstheme="minorHAnsi"/>
                <w:color w:val="000000"/>
                <w:szCs w:val="24"/>
              </w:rPr>
              <w:t>and</w:t>
            </w:r>
            <w:r w:rsidR="00D11C86" w:rsidRPr="00D11C86">
              <w:rPr>
                <w:rFonts w:cstheme="minorHAnsi"/>
                <w:color w:val="000000"/>
                <w:szCs w:val="24"/>
              </w:rPr>
              <w:t xml:space="preserve"> Conversation on Change </w:t>
            </w:r>
            <w:r w:rsidR="00275CCD">
              <w:rPr>
                <w:rFonts w:cstheme="minorHAnsi"/>
                <w:color w:val="000000"/>
                <w:szCs w:val="24"/>
              </w:rPr>
              <w:t xml:space="preserve">to </w:t>
            </w:r>
            <w:r w:rsidR="00D11C86" w:rsidRPr="00D11C86">
              <w:rPr>
                <w:rFonts w:cstheme="minorHAnsi"/>
                <w:color w:val="000000"/>
                <w:szCs w:val="24"/>
              </w:rPr>
              <w:t>confirm</w:t>
            </w:r>
            <w:r w:rsidR="00275CCD">
              <w:rPr>
                <w:rFonts w:cstheme="minorHAnsi"/>
                <w:color w:val="000000"/>
                <w:szCs w:val="24"/>
              </w:rPr>
              <w:t xml:space="preserve"> </w:t>
            </w:r>
            <w:r w:rsidR="00D11C86" w:rsidRPr="00D11C86">
              <w:rPr>
                <w:rFonts w:cstheme="minorHAnsi"/>
                <w:color w:val="000000"/>
                <w:szCs w:val="24"/>
              </w:rPr>
              <w:t>the changes we have introduced</w:t>
            </w:r>
            <w:r w:rsidR="00275CCD">
              <w:rPr>
                <w:rFonts w:cstheme="minorHAnsi"/>
                <w:color w:val="000000"/>
                <w:szCs w:val="24"/>
              </w:rPr>
              <w:t xml:space="preserve"> and </w:t>
            </w:r>
            <w:r w:rsidR="000550A2">
              <w:rPr>
                <w:rFonts w:cstheme="minorHAnsi"/>
                <w:color w:val="000000"/>
                <w:szCs w:val="24"/>
              </w:rPr>
              <w:t xml:space="preserve">seek feedback on proposed future changes. </w:t>
            </w:r>
          </w:p>
          <w:p w14:paraId="30CAB785" w14:textId="7F00440D" w:rsidR="00D11C86" w:rsidRPr="00D11C86" w:rsidRDefault="00A538D3" w:rsidP="00D11C86">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P</w:t>
            </w:r>
            <w:r w:rsidR="000550A2">
              <w:rPr>
                <w:rFonts w:cstheme="minorHAnsi"/>
                <w:color w:val="000000"/>
                <w:szCs w:val="24"/>
              </w:rPr>
              <w:t>repared</w:t>
            </w:r>
            <w:r w:rsidR="00D11C86" w:rsidRPr="00D11C86">
              <w:rPr>
                <w:rFonts w:cstheme="minorHAnsi"/>
                <w:color w:val="000000"/>
                <w:szCs w:val="24"/>
              </w:rPr>
              <w:t xml:space="preserve"> a first draft of the new Scottish Peat Standard and shared with the Technical Advice Group for comment.</w:t>
            </w:r>
          </w:p>
          <w:p w14:paraId="52AE6132" w14:textId="774559F1" w:rsidR="00D11C86" w:rsidRPr="00D11C86" w:rsidRDefault="00A538D3" w:rsidP="00D11C86">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C</w:t>
            </w:r>
            <w:r w:rsidR="00D11C86" w:rsidRPr="00D11C86">
              <w:rPr>
                <w:rFonts w:cstheme="minorHAnsi"/>
                <w:color w:val="000000"/>
                <w:szCs w:val="24"/>
              </w:rPr>
              <w:t xml:space="preserve">ommissioned </w:t>
            </w:r>
            <w:r w:rsidR="000550A2">
              <w:rPr>
                <w:rFonts w:cstheme="minorHAnsi"/>
                <w:color w:val="000000"/>
                <w:szCs w:val="24"/>
              </w:rPr>
              <w:t>research</w:t>
            </w:r>
            <w:r w:rsidR="000550A2" w:rsidRPr="00D11C86">
              <w:rPr>
                <w:rFonts w:cstheme="minorHAnsi"/>
                <w:color w:val="000000"/>
                <w:szCs w:val="24"/>
              </w:rPr>
              <w:t xml:space="preserve"> </w:t>
            </w:r>
            <w:r w:rsidR="00D11C86" w:rsidRPr="00D11C86">
              <w:rPr>
                <w:rFonts w:cstheme="minorHAnsi"/>
                <w:color w:val="000000"/>
                <w:szCs w:val="24"/>
              </w:rPr>
              <w:t xml:space="preserve">to assess </w:t>
            </w:r>
            <w:r w:rsidR="000550A2">
              <w:rPr>
                <w:rFonts w:cstheme="minorHAnsi"/>
                <w:color w:val="000000"/>
                <w:szCs w:val="24"/>
              </w:rPr>
              <w:t xml:space="preserve">the </w:t>
            </w:r>
            <w:r w:rsidR="00D11C86" w:rsidRPr="00D11C86">
              <w:rPr>
                <w:rFonts w:cstheme="minorHAnsi"/>
                <w:color w:val="000000"/>
                <w:szCs w:val="24"/>
              </w:rPr>
              <w:t>long-term workforce capacity needs.</w:t>
            </w:r>
          </w:p>
          <w:p w14:paraId="0160B280" w14:textId="1E192ADF" w:rsidR="00D11C86" w:rsidRPr="00D11C86" w:rsidRDefault="00A538D3" w:rsidP="00D11C86">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S</w:t>
            </w:r>
            <w:r w:rsidR="00D11C86" w:rsidRPr="00D11C86">
              <w:rPr>
                <w:rFonts w:cstheme="minorHAnsi"/>
                <w:color w:val="000000"/>
                <w:szCs w:val="24"/>
              </w:rPr>
              <w:t>upported SG to engage with stakeholders considering private finance options</w:t>
            </w:r>
            <w:r w:rsidR="000550A2">
              <w:rPr>
                <w:rFonts w:cstheme="minorHAnsi"/>
                <w:color w:val="000000"/>
                <w:szCs w:val="24"/>
              </w:rPr>
              <w:t xml:space="preserve"> including the development to pilot Carbon Contracts in 2025.</w:t>
            </w:r>
            <w:r w:rsidR="00D11C86" w:rsidRPr="00D11C86">
              <w:rPr>
                <w:rFonts w:cstheme="minorHAnsi"/>
                <w:color w:val="000000"/>
                <w:szCs w:val="24"/>
              </w:rPr>
              <w:t xml:space="preserve"> </w:t>
            </w:r>
          </w:p>
          <w:p w14:paraId="0CF28924" w14:textId="1D3B10F8" w:rsidR="009D523D" w:rsidRPr="00882475" w:rsidRDefault="00A538D3" w:rsidP="00400FD4">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szCs w:val="24"/>
              </w:rPr>
              <w:t>P</w:t>
            </w:r>
            <w:r w:rsidR="00D11C86" w:rsidRPr="00D11C86">
              <w:rPr>
                <w:rFonts w:cstheme="minorHAnsi"/>
                <w:color w:val="000000"/>
                <w:szCs w:val="24"/>
              </w:rPr>
              <w:t xml:space="preserve">ublished the </w:t>
            </w:r>
            <w:r w:rsidR="00400FD4">
              <w:rPr>
                <w:rFonts w:cstheme="minorHAnsi"/>
                <w:color w:val="000000"/>
                <w:szCs w:val="24"/>
              </w:rPr>
              <w:t xml:space="preserve">Peatland Action </w:t>
            </w:r>
            <w:r w:rsidR="00D11C86" w:rsidRPr="00D11C86">
              <w:rPr>
                <w:rFonts w:cstheme="minorHAnsi"/>
                <w:color w:val="000000"/>
                <w:szCs w:val="24"/>
              </w:rPr>
              <w:t>Partnership Monitoring Strategy.</w:t>
            </w:r>
          </w:p>
        </w:tc>
      </w:tr>
      <w:tr w:rsidR="009D523D" w:rsidRPr="00F550D1" w14:paraId="3D95AFB8" w14:textId="77777777" w:rsidTr="004741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104A8899" w14:textId="5167DB4B" w:rsidR="009D523D" w:rsidRPr="00F550D1" w:rsidRDefault="008D1895" w:rsidP="009D523D">
            <w:pPr>
              <w:rPr>
                <w:rFonts w:ascii="Calibri" w:hAnsi="Calibri" w:cs="Calibri"/>
                <w:b w:val="0"/>
                <w:color w:val="000000"/>
                <w:szCs w:val="24"/>
              </w:rPr>
            </w:pPr>
            <w:r>
              <w:rPr>
                <w:rFonts w:ascii="Calibri" w:hAnsi="Calibri" w:cs="Calibri"/>
                <w:b w:val="0"/>
                <w:color w:val="000000"/>
                <w:szCs w:val="24"/>
              </w:rPr>
              <w:t xml:space="preserve">7. </w:t>
            </w:r>
            <w:r w:rsidR="009D523D" w:rsidRPr="00F550D1">
              <w:rPr>
                <w:rFonts w:ascii="Calibri" w:hAnsi="Calibri" w:cs="Calibri"/>
                <w:b w:val="0"/>
                <w:color w:val="000000"/>
                <w:szCs w:val="24"/>
              </w:rPr>
              <w:t xml:space="preserve">Lead, enable and convene others around the development of ambitious and coherent actions to restore nature.  Deliver a major Nature Restoration Fund (NRF) targeted at high impact </w:t>
            </w:r>
            <w:r w:rsidR="009D523D" w:rsidRPr="00F550D1">
              <w:rPr>
                <w:rFonts w:ascii="Calibri" w:hAnsi="Calibri" w:cs="Calibri"/>
                <w:b w:val="0"/>
                <w:color w:val="000000"/>
                <w:szCs w:val="24"/>
              </w:rPr>
              <w:lastRenderedPageBreak/>
              <w:t>nature recovery projects and seeding greater investment from the private sector</w:t>
            </w:r>
          </w:p>
        </w:tc>
        <w:tc>
          <w:tcPr>
            <w:tcW w:w="1276" w:type="dxa"/>
            <w:vAlign w:val="center"/>
          </w:tcPr>
          <w:p w14:paraId="166712BA" w14:textId="77777777" w:rsidR="009D523D" w:rsidRPr="00F550D1"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lastRenderedPageBreak/>
              <w:t>Nick Halfhide</w:t>
            </w:r>
          </w:p>
        </w:tc>
        <w:tc>
          <w:tcPr>
            <w:tcW w:w="992" w:type="dxa"/>
            <w:shd w:val="clear" w:color="auto" w:fill="9BBB59" w:themeFill="accent3"/>
            <w:vAlign w:val="center"/>
          </w:tcPr>
          <w:p w14:paraId="0B462571" w14:textId="13212FA8" w:rsidR="009D523D" w:rsidRPr="00F550D1"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rPr>
              <w:t>GREEN</w:t>
            </w:r>
          </w:p>
        </w:tc>
        <w:tc>
          <w:tcPr>
            <w:tcW w:w="8930" w:type="dxa"/>
          </w:tcPr>
          <w:p w14:paraId="3A7415A2" w14:textId="7E06BFA0" w:rsidR="00343E5C" w:rsidRPr="00343E5C" w:rsidRDefault="00343E5C" w:rsidP="00343E5C">
            <w:pPr>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Pr>
                <w:rFonts w:cstheme="minorHAnsi"/>
                <w:color w:val="000000"/>
                <w:szCs w:val="24"/>
              </w:rPr>
              <w:t xml:space="preserve">NRF </w:t>
            </w:r>
            <w:r w:rsidRPr="00343E5C">
              <w:rPr>
                <w:rFonts w:cstheme="minorHAnsi"/>
                <w:color w:val="000000"/>
                <w:szCs w:val="24"/>
              </w:rPr>
              <w:t>Decision Board approved funding for a number of delivery and development projects, fully committing all of this year's NRF funds, and forward committing most of next year's budget.</w:t>
            </w:r>
          </w:p>
          <w:p w14:paraId="036C56AE" w14:textId="06191031" w:rsidR="009D523D" w:rsidRDefault="00A538D3" w:rsidP="00343E5C">
            <w:pPr>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C</w:t>
            </w:r>
            <w:r w:rsidR="002B6135" w:rsidRPr="002B6135">
              <w:rPr>
                <w:rFonts w:ascii="Calibri" w:hAnsi="Calibri" w:cs="Calibri"/>
                <w:color w:val="000000"/>
                <w:szCs w:val="24"/>
              </w:rPr>
              <w:t>ompleted the creation of a GIS layer showing partnership working on nature restoration as part of the nature restoration 6 areas of SBS priority work.</w:t>
            </w:r>
          </w:p>
          <w:p w14:paraId="417EEEA3" w14:textId="51845819" w:rsidR="002B6135" w:rsidRPr="008261E5" w:rsidRDefault="00A538D3" w:rsidP="00343E5C">
            <w:pPr>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lastRenderedPageBreak/>
              <w:t>W</w:t>
            </w:r>
            <w:r w:rsidR="002B6135" w:rsidRPr="002B6135">
              <w:rPr>
                <w:rFonts w:ascii="Calibri" w:hAnsi="Calibri" w:cs="Calibri"/>
                <w:color w:val="000000"/>
                <w:szCs w:val="24"/>
              </w:rPr>
              <w:t>orked with Wildlife management to progress work on threatened species management. Wildcats are currently proving challenging to reach an agreement on with landowners.</w:t>
            </w:r>
          </w:p>
        </w:tc>
      </w:tr>
      <w:tr w:rsidR="009D523D" w:rsidRPr="00F550D1" w14:paraId="219D7521" w14:textId="77777777" w:rsidTr="001F21FE">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282EAC7" w14:textId="00662D2A" w:rsidR="009D523D" w:rsidRPr="00B837E7" w:rsidRDefault="008D1895" w:rsidP="009D523D">
            <w:pPr>
              <w:rPr>
                <w:rFonts w:ascii="Calibri" w:hAnsi="Calibri" w:cs="Calibri"/>
                <w:b w:val="0"/>
                <w:color w:val="000000"/>
                <w:szCs w:val="24"/>
                <w:highlight w:val="yellow"/>
              </w:rPr>
            </w:pPr>
            <w:r>
              <w:rPr>
                <w:rFonts w:ascii="Calibri" w:hAnsi="Calibri" w:cs="Calibri"/>
                <w:b w:val="0"/>
                <w:color w:val="000000"/>
                <w:szCs w:val="24"/>
              </w:rPr>
              <w:lastRenderedPageBreak/>
              <w:t xml:space="preserve">8. </w:t>
            </w:r>
            <w:r w:rsidR="009D523D" w:rsidRPr="00D51F4A">
              <w:rPr>
                <w:rFonts w:ascii="Calibri" w:hAnsi="Calibri" w:cs="Calibri"/>
                <w:b w:val="0"/>
                <w:color w:val="000000"/>
                <w:szCs w:val="24"/>
              </w:rPr>
              <w:t>Demonstrate how agriculture can be transformed with new approaches to deliver targeted outcomes for nature and climate</w:t>
            </w:r>
          </w:p>
        </w:tc>
        <w:tc>
          <w:tcPr>
            <w:tcW w:w="1276" w:type="dxa"/>
            <w:vAlign w:val="center"/>
          </w:tcPr>
          <w:p w14:paraId="6375B253" w14:textId="77777777"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Robbie Kernahan</w:t>
            </w:r>
          </w:p>
        </w:tc>
        <w:tc>
          <w:tcPr>
            <w:tcW w:w="992" w:type="dxa"/>
            <w:shd w:val="clear" w:color="auto" w:fill="9BBB59" w:themeFill="accent3"/>
            <w:vAlign w:val="center"/>
          </w:tcPr>
          <w:p w14:paraId="354718C8" w14:textId="240339E7" w:rsidR="009D523D" w:rsidRPr="00F550D1" w:rsidRDefault="009D523D" w:rsidP="009D52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Pr>
                <w:rFonts w:ascii="Calibri" w:hAnsi="Calibri" w:cs="Calibri"/>
                <w:b/>
              </w:rPr>
              <w:t>GREEN</w:t>
            </w:r>
          </w:p>
        </w:tc>
        <w:tc>
          <w:tcPr>
            <w:tcW w:w="8930" w:type="dxa"/>
            <w:vAlign w:val="center"/>
          </w:tcPr>
          <w:p w14:paraId="4EB5FAD8" w14:textId="38969B3A" w:rsidR="002B6135" w:rsidRDefault="002B613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B6135">
              <w:rPr>
                <w:rFonts w:ascii="Calibri" w:hAnsi="Calibri" w:cs="Calibri"/>
                <w:color w:val="000000"/>
                <w:szCs w:val="24"/>
              </w:rPr>
              <w:t>Agri-Environment Climate Scheme (AECS) - 2024 Application assessment process has been completed and recommendations for approval await ministerial sign off.</w:t>
            </w:r>
          </w:p>
          <w:p w14:paraId="35850D2D" w14:textId="7DC0E836" w:rsidR="002B6135" w:rsidRDefault="002B613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B6135">
              <w:rPr>
                <w:rFonts w:ascii="Calibri" w:hAnsi="Calibri" w:cs="Calibri"/>
                <w:color w:val="000000"/>
                <w:szCs w:val="24"/>
              </w:rPr>
              <w:t>Farming with Nature (</w:t>
            </w:r>
            <w:proofErr w:type="spellStart"/>
            <w:r w:rsidRPr="002B6135">
              <w:rPr>
                <w:rFonts w:ascii="Calibri" w:hAnsi="Calibri" w:cs="Calibri"/>
                <w:color w:val="000000"/>
                <w:szCs w:val="24"/>
              </w:rPr>
              <w:t>FwN</w:t>
            </w:r>
            <w:proofErr w:type="spellEnd"/>
            <w:r w:rsidRPr="002B6135">
              <w:rPr>
                <w:rFonts w:ascii="Calibri" w:hAnsi="Calibri" w:cs="Calibri"/>
                <w:color w:val="000000"/>
                <w:szCs w:val="24"/>
              </w:rPr>
              <w:t xml:space="preserve">) Biodiversity Audit and App - Farmers and crofters have completed their </w:t>
            </w:r>
            <w:r w:rsidR="00860202">
              <w:rPr>
                <w:rFonts w:ascii="Calibri" w:hAnsi="Calibri" w:cs="Calibri"/>
                <w:color w:val="000000"/>
                <w:szCs w:val="24"/>
              </w:rPr>
              <w:t xml:space="preserve">app </w:t>
            </w:r>
            <w:r w:rsidRPr="002B6135">
              <w:rPr>
                <w:rFonts w:ascii="Calibri" w:hAnsi="Calibri" w:cs="Calibri"/>
                <w:color w:val="000000"/>
                <w:szCs w:val="24"/>
              </w:rPr>
              <w:t>testing and the results have been collated and being reviewed. Further work now underway to develop the app ready for wider use in 2025.</w:t>
            </w:r>
          </w:p>
          <w:p w14:paraId="1D0345E7" w14:textId="56828A7C" w:rsidR="009D523D" w:rsidRPr="003874ED" w:rsidRDefault="002B613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B6135">
              <w:rPr>
                <w:rFonts w:ascii="Calibri" w:hAnsi="Calibri" w:cs="Calibri"/>
                <w:color w:val="000000"/>
                <w:szCs w:val="24"/>
              </w:rPr>
              <w:t xml:space="preserve">Agriculture Reform Programme - Supported SG develop guidance to accompany the recommendations for amending the Greening Scheme for 2026. </w:t>
            </w:r>
            <w:r w:rsidR="00860202">
              <w:rPr>
                <w:rFonts w:ascii="Calibri" w:hAnsi="Calibri" w:cs="Calibri"/>
                <w:color w:val="000000"/>
                <w:szCs w:val="24"/>
              </w:rPr>
              <w:t>S</w:t>
            </w:r>
            <w:r w:rsidRPr="002B6135">
              <w:rPr>
                <w:rFonts w:ascii="Calibri" w:hAnsi="Calibri" w:cs="Calibri"/>
                <w:color w:val="000000"/>
                <w:szCs w:val="24"/>
              </w:rPr>
              <w:t>tarted working with SG to develop options for revising the Elective tier schemes for future delivery under the Rural Support Framework.</w:t>
            </w:r>
          </w:p>
        </w:tc>
      </w:tr>
    </w:tbl>
    <w:p w14:paraId="71CE70A7" w14:textId="045DA553" w:rsidR="00875678" w:rsidRDefault="00875678">
      <w:pPr>
        <w:rPr>
          <w:rFonts w:ascii="Calibri" w:eastAsiaTheme="majorEastAsia" w:hAnsi="Calibri" w:cs="Calibri"/>
          <w:b/>
          <w:szCs w:val="26"/>
        </w:rPr>
      </w:pPr>
    </w:p>
    <w:p w14:paraId="179C07BE" w14:textId="77777777" w:rsidR="00875678" w:rsidRDefault="00875678">
      <w:pPr>
        <w:rPr>
          <w:rFonts w:ascii="Calibri" w:eastAsiaTheme="majorEastAsia" w:hAnsi="Calibri" w:cs="Calibri"/>
          <w:b/>
          <w:szCs w:val="26"/>
        </w:rPr>
      </w:pPr>
      <w:r>
        <w:rPr>
          <w:rFonts w:ascii="Calibri" w:eastAsiaTheme="majorEastAsia" w:hAnsi="Calibri" w:cs="Calibri"/>
          <w:b/>
          <w:szCs w:val="26"/>
        </w:rPr>
        <w:br w:type="page"/>
      </w:r>
    </w:p>
    <w:p w14:paraId="779AAFF8" w14:textId="77777777" w:rsidR="00F0315A" w:rsidRDefault="00F0315A">
      <w:pPr>
        <w:rPr>
          <w:rFonts w:ascii="Calibri" w:eastAsiaTheme="majorEastAsia" w:hAnsi="Calibri" w:cs="Calibri"/>
          <w:b/>
          <w:szCs w:val="26"/>
        </w:rPr>
      </w:pPr>
    </w:p>
    <w:p w14:paraId="7F29C7D6" w14:textId="57E1CC67" w:rsidR="008D20BE" w:rsidRPr="00F550D1" w:rsidRDefault="008D20BE" w:rsidP="00875678">
      <w:pPr>
        <w:keepNext/>
        <w:keepLines/>
        <w:spacing w:before="40" w:after="0" w:line="259" w:lineRule="auto"/>
        <w:outlineLvl w:val="1"/>
        <w:rPr>
          <w:rFonts w:ascii="Calibri" w:eastAsiaTheme="majorEastAsia" w:hAnsi="Calibri" w:cs="Calibri"/>
          <w:b/>
          <w:szCs w:val="26"/>
        </w:rPr>
      </w:pPr>
    </w:p>
    <w:tbl>
      <w:tblPr>
        <w:tblStyle w:val="PlainTable1"/>
        <w:tblW w:w="145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559"/>
        <w:gridCol w:w="993"/>
        <w:gridCol w:w="8466"/>
      </w:tblGrid>
      <w:tr w:rsidR="00875678" w:rsidRPr="00F550D1" w14:paraId="6DC818B7" w14:textId="77777777" w:rsidTr="0087567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562" w:type="dxa"/>
            <w:gridSpan w:val="4"/>
            <w:shd w:val="clear" w:color="auto" w:fill="548DD4" w:themeFill="text2" w:themeFillTint="99"/>
            <w:vAlign w:val="center"/>
          </w:tcPr>
          <w:p w14:paraId="179C99E1" w14:textId="4B1CC43B" w:rsidR="00875678" w:rsidRDefault="00875678" w:rsidP="008D20BE">
            <w:pPr>
              <w:jc w:val="center"/>
              <w:rPr>
                <w:rFonts w:ascii="Calibri" w:hAnsi="Calibri" w:cs="Calibri"/>
                <w:szCs w:val="26"/>
              </w:rPr>
            </w:pPr>
            <w:r>
              <w:rPr>
                <w:rFonts w:ascii="Calibri" w:hAnsi="Calibri" w:cs="Calibri"/>
                <w:szCs w:val="26"/>
              </w:rPr>
              <w:t>THE VALUE OF NATURE IS RECOGNISED</w:t>
            </w:r>
          </w:p>
        </w:tc>
      </w:tr>
      <w:tr w:rsidR="008D20BE" w:rsidRPr="00F550D1" w14:paraId="6255B615" w14:textId="77777777" w:rsidTr="00041A5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0E46245" w14:textId="77777777" w:rsidR="008D20BE" w:rsidRPr="00F550D1" w:rsidRDefault="008D20BE" w:rsidP="008D20BE">
            <w:pPr>
              <w:jc w:val="center"/>
              <w:rPr>
                <w:rFonts w:ascii="Calibri" w:hAnsi="Calibri" w:cs="Calibri"/>
                <w:szCs w:val="26"/>
              </w:rPr>
            </w:pPr>
            <w:r w:rsidRPr="00F550D1">
              <w:rPr>
                <w:rFonts w:ascii="Calibri" w:hAnsi="Calibri" w:cs="Calibri"/>
                <w:szCs w:val="26"/>
              </w:rPr>
              <w:t>CORPORATE PLAN OBJECTIVE</w:t>
            </w:r>
          </w:p>
        </w:tc>
        <w:tc>
          <w:tcPr>
            <w:tcW w:w="1559" w:type="dxa"/>
            <w:vAlign w:val="center"/>
          </w:tcPr>
          <w:p w14:paraId="549A988D"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3" w:type="dxa"/>
            <w:vAlign w:val="center"/>
          </w:tcPr>
          <w:p w14:paraId="49DB4EDC"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466" w:type="dxa"/>
            <w:vAlign w:val="center"/>
          </w:tcPr>
          <w:p w14:paraId="7D6D39F7" w14:textId="72AF8221" w:rsidR="008D20BE" w:rsidRPr="00F550D1" w:rsidRDefault="00701FAD"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w:t>
            </w:r>
            <w:r w:rsidR="00352305">
              <w:rPr>
                <w:rFonts w:ascii="Calibri" w:hAnsi="Calibri" w:cs="Calibri"/>
                <w:szCs w:val="26"/>
              </w:rPr>
              <w:t>3</w:t>
            </w:r>
            <w:r w:rsidR="008D20BE" w:rsidRPr="00F550D1">
              <w:rPr>
                <w:rFonts w:ascii="Calibri" w:hAnsi="Calibri" w:cs="Calibri"/>
                <w:szCs w:val="26"/>
              </w:rPr>
              <w:t xml:space="preserve"> UPDATE</w:t>
            </w:r>
          </w:p>
        </w:tc>
      </w:tr>
      <w:tr w:rsidR="009D523D" w:rsidRPr="00F550D1" w14:paraId="1919863C" w14:textId="77777777" w:rsidTr="00041A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D373F7D" w14:textId="4E39329E" w:rsidR="009D523D" w:rsidRPr="00B837E7" w:rsidRDefault="008D1895" w:rsidP="009D523D">
            <w:pPr>
              <w:rPr>
                <w:rFonts w:ascii="Calibri" w:hAnsi="Calibri" w:cs="Calibri"/>
                <w:b w:val="0"/>
                <w:color w:val="000000"/>
                <w:szCs w:val="24"/>
              </w:rPr>
            </w:pPr>
            <w:r>
              <w:rPr>
                <w:rFonts w:ascii="Calibri" w:hAnsi="Calibri" w:cs="Calibri"/>
                <w:b w:val="0"/>
                <w:color w:val="000000"/>
                <w:szCs w:val="24"/>
              </w:rPr>
              <w:t xml:space="preserve">9. </w:t>
            </w:r>
            <w:r w:rsidR="009D523D" w:rsidRPr="00B837E7">
              <w:rPr>
                <w:rFonts w:ascii="Calibri" w:hAnsi="Calibri" w:cs="Calibri"/>
                <w:b w:val="0"/>
                <w:color w:val="000000"/>
                <w:szCs w:val="24"/>
              </w:rPr>
              <w:t>Inspire people to connect with nature, increasing appreciation of nature’s value through impactful delivery and communication of our work</w:t>
            </w:r>
          </w:p>
        </w:tc>
        <w:tc>
          <w:tcPr>
            <w:tcW w:w="1559" w:type="dxa"/>
            <w:vAlign w:val="center"/>
          </w:tcPr>
          <w:p w14:paraId="1B8B5B8E" w14:textId="77777777" w:rsidR="009D523D" w:rsidRPr="00F550D1"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Nick Halfhide</w:t>
            </w:r>
          </w:p>
        </w:tc>
        <w:tc>
          <w:tcPr>
            <w:tcW w:w="993" w:type="dxa"/>
            <w:shd w:val="clear" w:color="auto" w:fill="9BBB59" w:themeFill="accent3"/>
            <w:vAlign w:val="center"/>
          </w:tcPr>
          <w:p w14:paraId="4C441274" w14:textId="49CE3D35" w:rsidR="009D523D" w:rsidRPr="00F550D1"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rPr>
              <w:t>GREEN</w:t>
            </w:r>
          </w:p>
        </w:tc>
        <w:tc>
          <w:tcPr>
            <w:tcW w:w="8466" w:type="dxa"/>
            <w:vAlign w:val="center"/>
          </w:tcPr>
          <w:p w14:paraId="2636F36E" w14:textId="77777777" w:rsidR="009D523D" w:rsidRDefault="00F92245" w:rsidP="00F92245">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92245">
              <w:rPr>
                <w:rFonts w:ascii="Calibri" w:hAnsi="Calibri" w:cs="Calibri"/>
                <w:color w:val="000000"/>
                <w:szCs w:val="24"/>
              </w:rPr>
              <w:t>National Nature Reserves</w:t>
            </w:r>
            <w:r>
              <w:rPr>
                <w:rFonts w:ascii="Calibri" w:hAnsi="Calibri" w:cs="Calibri"/>
                <w:color w:val="000000"/>
                <w:szCs w:val="24"/>
              </w:rPr>
              <w:t xml:space="preserve"> - </w:t>
            </w:r>
            <w:r w:rsidRPr="00F92245">
              <w:rPr>
                <w:rFonts w:ascii="Calibri" w:hAnsi="Calibri" w:cs="Calibri"/>
                <w:color w:val="000000"/>
                <w:szCs w:val="24"/>
              </w:rPr>
              <w:t>Strategic NNR plan delayed until Q4 because of capacity issues.</w:t>
            </w:r>
            <w:r>
              <w:rPr>
                <w:rFonts w:ascii="Calibri" w:hAnsi="Calibri" w:cs="Calibri"/>
                <w:color w:val="000000"/>
                <w:szCs w:val="24"/>
              </w:rPr>
              <w:t xml:space="preserve"> </w:t>
            </w:r>
            <w:r w:rsidRPr="00F92245">
              <w:rPr>
                <w:rFonts w:ascii="Calibri" w:hAnsi="Calibri" w:cs="Calibri"/>
                <w:color w:val="000000"/>
                <w:szCs w:val="24"/>
              </w:rPr>
              <w:t>Car park income generation pilot on track for implementation from Q4</w:t>
            </w:r>
            <w:r>
              <w:rPr>
                <w:rFonts w:ascii="Calibri" w:hAnsi="Calibri" w:cs="Calibri"/>
                <w:color w:val="000000"/>
                <w:szCs w:val="24"/>
              </w:rPr>
              <w:t xml:space="preserve">. </w:t>
            </w:r>
            <w:r w:rsidRPr="00F92245">
              <w:rPr>
                <w:rFonts w:ascii="Calibri" w:hAnsi="Calibri" w:cs="Calibri"/>
                <w:color w:val="000000"/>
                <w:szCs w:val="24"/>
              </w:rPr>
              <w:t>Habitat management contracts completed at Loch Fleet and Flanders Moss and agreement reached with FLS</w:t>
            </w:r>
            <w:r>
              <w:rPr>
                <w:rFonts w:ascii="Calibri" w:hAnsi="Calibri" w:cs="Calibri"/>
                <w:color w:val="000000"/>
                <w:szCs w:val="24"/>
              </w:rPr>
              <w:t xml:space="preserve"> </w:t>
            </w:r>
            <w:r w:rsidRPr="00F92245">
              <w:rPr>
                <w:rFonts w:ascii="Calibri" w:hAnsi="Calibri" w:cs="Calibri"/>
                <w:color w:val="000000"/>
                <w:szCs w:val="24"/>
              </w:rPr>
              <w:t xml:space="preserve">for coastal habitat restoration project at </w:t>
            </w:r>
            <w:proofErr w:type="spellStart"/>
            <w:r w:rsidRPr="00F92245">
              <w:rPr>
                <w:rFonts w:ascii="Calibri" w:hAnsi="Calibri" w:cs="Calibri"/>
                <w:color w:val="000000"/>
                <w:szCs w:val="24"/>
              </w:rPr>
              <w:t>Tentsmuir</w:t>
            </w:r>
            <w:proofErr w:type="spellEnd"/>
            <w:r>
              <w:rPr>
                <w:rFonts w:ascii="Calibri" w:hAnsi="Calibri" w:cs="Calibri"/>
                <w:color w:val="000000"/>
                <w:szCs w:val="24"/>
              </w:rPr>
              <w:t xml:space="preserve">. </w:t>
            </w:r>
            <w:r w:rsidRPr="00F92245">
              <w:rPr>
                <w:rFonts w:ascii="Calibri" w:hAnsi="Calibri" w:cs="Calibri"/>
                <w:color w:val="000000"/>
                <w:szCs w:val="24"/>
              </w:rPr>
              <w:t xml:space="preserve">Refreshed 10-year management plans completed for </w:t>
            </w:r>
            <w:proofErr w:type="spellStart"/>
            <w:r w:rsidRPr="00F92245">
              <w:rPr>
                <w:rFonts w:ascii="Calibri" w:hAnsi="Calibri" w:cs="Calibri"/>
                <w:color w:val="000000"/>
                <w:szCs w:val="24"/>
              </w:rPr>
              <w:t>Tentsmuir</w:t>
            </w:r>
            <w:proofErr w:type="spellEnd"/>
            <w:r w:rsidRPr="00F92245">
              <w:rPr>
                <w:rFonts w:ascii="Calibri" w:hAnsi="Calibri" w:cs="Calibri"/>
                <w:color w:val="000000"/>
                <w:szCs w:val="24"/>
              </w:rPr>
              <w:t xml:space="preserve">, Muir of </w:t>
            </w:r>
            <w:proofErr w:type="spellStart"/>
            <w:r w:rsidRPr="00F92245">
              <w:rPr>
                <w:rFonts w:ascii="Calibri" w:hAnsi="Calibri" w:cs="Calibri"/>
                <w:color w:val="000000"/>
                <w:szCs w:val="24"/>
              </w:rPr>
              <w:t>Dinnet</w:t>
            </w:r>
            <w:proofErr w:type="spellEnd"/>
            <w:r w:rsidRPr="00F92245">
              <w:rPr>
                <w:rFonts w:ascii="Calibri" w:hAnsi="Calibri" w:cs="Calibri"/>
                <w:color w:val="000000"/>
                <w:szCs w:val="24"/>
              </w:rPr>
              <w:t xml:space="preserve"> and </w:t>
            </w:r>
            <w:proofErr w:type="spellStart"/>
            <w:r w:rsidRPr="00F92245">
              <w:rPr>
                <w:rFonts w:ascii="Calibri" w:hAnsi="Calibri" w:cs="Calibri"/>
                <w:color w:val="000000"/>
                <w:szCs w:val="24"/>
              </w:rPr>
              <w:t>Forvie</w:t>
            </w:r>
            <w:proofErr w:type="spellEnd"/>
            <w:r>
              <w:rPr>
                <w:rFonts w:ascii="Calibri" w:hAnsi="Calibri" w:cs="Calibri"/>
                <w:color w:val="000000"/>
                <w:szCs w:val="24"/>
              </w:rPr>
              <w:t xml:space="preserve">. </w:t>
            </w:r>
            <w:r w:rsidRPr="00F92245">
              <w:rPr>
                <w:rFonts w:ascii="Calibri" w:hAnsi="Calibri" w:cs="Calibri"/>
                <w:color w:val="000000"/>
                <w:szCs w:val="24"/>
              </w:rPr>
              <w:t>100th LNR in Scotland designated by Glasgow City Council</w:t>
            </w:r>
            <w:r>
              <w:rPr>
                <w:rFonts w:ascii="Calibri" w:hAnsi="Calibri" w:cs="Calibri"/>
                <w:color w:val="000000"/>
                <w:szCs w:val="24"/>
              </w:rPr>
              <w:t>.</w:t>
            </w:r>
          </w:p>
          <w:p w14:paraId="129035AD" w14:textId="49D93F39" w:rsidR="00F92245" w:rsidRDefault="00F92245" w:rsidP="00F92245">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92245">
              <w:rPr>
                <w:rFonts w:ascii="Calibri" w:hAnsi="Calibri" w:cs="Calibri"/>
                <w:color w:val="000000"/>
                <w:szCs w:val="24"/>
              </w:rPr>
              <w:t>Learning for Sustainability</w:t>
            </w:r>
            <w:r>
              <w:rPr>
                <w:rFonts w:ascii="Calibri" w:hAnsi="Calibri" w:cs="Calibri"/>
                <w:color w:val="000000"/>
                <w:szCs w:val="24"/>
              </w:rPr>
              <w:t xml:space="preserve"> </w:t>
            </w:r>
            <w:r w:rsidRPr="00F92245">
              <w:rPr>
                <w:rFonts w:ascii="Calibri" w:hAnsi="Calibri" w:cs="Calibri"/>
                <w:color w:val="000000"/>
                <w:szCs w:val="24"/>
              </w:rPr>
              <w:t>- Successful soft launch of the Nature Discovery Map Scotland (NDMS) app at Learning Places conference</w:t>
            </w:r>
            <w:r>
              <w:rPr>
                <w:rFonts w:ascii="Calibri" w:hAnsi="Calibri" w:cs="Calibri"/>
                <w:color w:val="000000"/>
                <w:szCs w:val="24"/>
              </w:rPr>
              <w:t xml:space="preserve"> </w:t>
            </w:r>
            <w:r w:rsidRPr="00F92245">
              <w:rPr>
                <w:rFonts w:ascii="Calibri" w:hAnsi="Calibri" w:cs="Calibri"/>
                <w:color w:val="000000"/>
                <w:szCs w:val="24"/>
              </w:rPr>
              <w:t>2024. Soft roll-out underway with several local authorities</w:t>
            </w:r>
            <w:r>
              <w:rPr>
                <w:rFonts w:ascii="Calibri" w:hAnsi="Calibri" w:cs="Calibri"/>
                <w:color w:val="000000"/>
                <w:szCs w:val="24"/>
              </w:rPr>
              <w:t>.</w:t>
            </w:r>
          </w:p>
          <w:p w14:paraId="5AF4FE47" w14:textId="38E8E43B" w:rsidR="00F92245" w:rsidRDefault="00F92245" w:rsidP="00F92245">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92245">
              <w:rPr>
                <w:rFonts w:ascii="Calibri" w:hAnsi="Calibri" w:cs="Calibri"/>
                <w:color w:val="000000"/>
                <w:szCs w:val="24"/>
              </w:rPr>
              <w:t>SOAC promotion</w:t>
            </w:r>
            <w:r>
              <w:rPr>
                <w:rFonts w:ascii="Calibri" w:hAnsi="Calibri" w:cs="Calibri"/>
                <w:color w:val="000000"/>
                <w:szCs w:val="24"/>
              </w:rPr>
              <w:t xml:space="preserve"> </w:t>
            </w:r>
            <w:r w:rsidRPr="00F92245">
              <w:rPr>
                <w:rFonts w:ascii="Calibri" w:hAnsi="Calibri" w:cs="Calibri"/>
                <w:color w:val="000000"/>
                <w:szCs w:val="24"/>
              </w:rPr>
              <w:t>- Autumn campaign successfully implemented using social media</w:t>
            </w:r>
            <w:r w:rsidR="00E03B0A">
              <w:rPr>
                <w:rFonts w:ascii="Calibri" w:hAnsi="Calibri" w:cs="Calibri"/>
                <w:color w:val="000000"/>
                <w:szCs w:val="24"/>
              </w:rPr>
              <w:t>. P</w:t>
            </w:r>
            <w:r w:rsidRPr="00F92245">
              <w:rPr>
                <w:rFonts w:ascii="Calibri" w:hAnsi="Calibri" w:cs="Calibri"/>
                <w:color w:val="000000"/>
                <w:szCs w:val="24"/>
              </w:rPr>
              <w:t>lanning</w:t>
            </w:r>
            <w:r w:rsidR="00B07EEB">
              <w:rPr>
                <w:rFonts w:ascii="Calibri" w:hAnsi="Calibri" w:cs="Calibri"/>
                <w:color w:val="000000"/>
                <w:szCs w:val="24"/>
              </w:rPr>
              <w:t xml:space="preserve"> for s</w:t>
            </w:r>
            <w:r w:rsidRPr="00F92245">
              <w:rPr>
                <w:rFonts w:ascii="Calibri" w:hAnsi="Calibri" w:cs="Calibri"/>
                <w:color w:val="000000"/>
                <w:szCs w:val="24"/>
              </w:rPr>
              <w:t>pring campaign in progress</w:t>
            </w:r>
            <w:r>
              <w:rPr>
                <w:rFonts w:ascii="Calibri" w:hAnsi="Calibri" w:cs="Calibri"/>
                <w:color w:val="000000"/>
                <w:szCs w:val="24"/>
              </w:rPr>
              <w:t xml:space="preserve">. </w:t>
            </w:r>
            <w:r w:rsidRPr="00F92245">
              <w:rPr>
                <w:rFonts w:ascii="Calibri" w:hAnsi="Calibri" w:cs="Calibri"/>
                <w:color w:val="000000"/>
                <w:szCs w:val="24"/>
              </w:rPr>
              <w:t>E</w:t>
            </w:r>
            <w:r w:rsidR="00E03B0A">
              <w:rPr>
                <w:rFonts w:ascii="Calibri" w:hAnsi="Calibri" w:cs="Calibri"/>
                <w:color w:val="000000"/>
                <w:szCs w:val="24"/>
              </w:rPr>
              <w:t xml:space="preserve">xpressions </w:t>
            </w:r>
            <w:r w:rsidRPr="00F92245">
              <w:rPr>
                <w:rFonts w:ascii="Calibri" w:hAnsi="Calibri" w:cs="Calibri"/>
                <w:color w:val="000000"/>
                <w:szCs w:val="24"/>
              </w:rPr>
              <w:t>o</w:t>
            </w:r>
            <w:r w:rsidR="00E03B0A">
              <w:rPr>
                <w:rFonts w:ascii="Calibri" w:hAnsi="Calibri" w:cs="Calibri"/>
                <w:color w:val="000000"/>
                <w:szCs w:val="24"/>
              </w:rPr>
              <w:t xml:space="preserve">f </w:t>
            </w:r>
            <w:r w:rsidRPr="00F92245">
              <w:rPr>
                <w:rFonts w:ascii="Calibri" w:hAnsi="Calibri" w:cs="Calibri"/>
                <w:color w:val="000000"/>
                <w:szCs w:val="24"/>
              </w:rPr>
              <w:t>I</w:t>
            </w:r>
            <w:r w:rsidR="00E03B0A">
              <w:rPr>
                <w:rFonts w:ascii="Calibri" w:hAnsi="Calibri" w:cs="Calibri"/>
                <w:color w:val="000000"/>
                <w:szCs w:val="24"/>
              </w:rPr>
              <w:t>nterest</w:t>
            </w:r>
            <w:r w:rsidRPr="00F92245">
              <w:rPr>
                <w:rFonts w:ascii="Calibri" w:hAnsi="Calibri" w:cs="Calibri"/>
                <w:color w:val="000000"/>
                <w:szCs w:val="24"/>
              </w:rPr>
              <w:t xml:space="preserve"> for funding gathered for SOAC anniversary activity</w:t>
            </w:r>
            <w:r>
              <w:rPr>
                <w:rFonts w:ascii="Calibri" w:hAnsi="Calibri" w:cs="Calibri"/>
                <w:color w:val="000000"/>
                <w:szCs w:val="24"/>
              </w:rPr>
              <w:t>.</w:t>
            </w:r>
          </w:p>
          <w:p w14:paraId="41B51B7E" w14:textId="77777777" w:rsidR="00F92245" w:rsidRDefault="00F92245" w:rsidP="00F92245">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92245">
              <w:rPr>
                <w:rFonts w:ascii="Calibri" w:hAnsi="Calibri" w:cs="Calibri"/>
                <w:color w:val="000000"/>
                <w:szCs w:val="24"/>
              </w:rPr>
              <w:t>Access and visitor management</w:t>
            </w:r>
            <w:r>
              <w:rPr>
                <w:rFonts w:ascii="Calibri" w:hAnsi="Calibri" w:cs="Calibri"/>
                <w:color w:val="000000"/>
                <w:szCs w:val="24"/>
              </w:rPr>
              <w:t xml:space="preserve"> </w:t>
            </w:r>
            <w:r w:rsidRPr="00F92245">
              <w:rPr>
                <w:rFonts w:ascii="Calibri" w:hAnsi="Calibri" w:cs="Calibri"/>
                <w:color w:val="000000"/>
                <w:szCs w:val="24"/>
              </w:rPr>
              <w:t>- Vis</w:t>
            </w:r>
            <w:r>
              <w:rPr>
                <w:rFonts w:ascii="Calibri" w:hAnsi="Calibri" w:cs="Calibri"/>
                <w:color w:val="000000"/>
                <w:szCs w:val="24"/>
              </w:rPr>
              <w:t>i</w:t>
            </w:r>
            <w:r w:rsidRPr="00F92245">
              <w:rPr>
                <w:rFonts w:ascii="Calibri" w:hAnsi="Calibri" w:cs="Calibri"/>
                <w:color w:val="000000"/>
                <w:szCs w:val="24"/>
              </w:rPr>
              <w:t>tor Management Strategy (VMS) Action Plan End of Season report complete for 2024 (Q3)</w:t>
            </w:r>
            <w:r>
              <w:rPr>
                <w:rFonts w:ascii="Calibri" w:hAnsi="Calibri" w:cs="Calibri"/>
                <w:color w:val="000000"/>
                <w:szCs w:val="24"/>
              </w:rPr>
              <w:t xml:space="preserve">. </w:t>
            </w:r>
            <w:r w:rsidRPr="00F92245">
              <w:rPr>
                <w:rFonts w:ascii="Calibri" w:hAnsi="Calibri" w:cs="Calibri"/>
                <w:color w:val="000000"/>
                <w:szCs w:val="24"/>
              </w:rPr>
              <w:t>Fires guidance in draft (Q3), due to complete Q4.</w:t>
            </w:r>
            <w:r>
              <w:rPr>
                <w:rFonts w:ascii="Calibri" w:hAnsi="Calibri" w:cs="Calibri"/>
                <w:color w:val="000000"/>
                <w:szCs w:val="24"/>
              </w:rPr>
              <w:t xml:space="preserve"> </w:t>
            </w:r>
            <w:r w:rsidRPr="00F92245">
              <w:rPr>
                <w:rFonts w:ascii="Calibri" w:hAnsi="Calibri" w:cs="Calibri"/>
                <w:color w:val="000000"/>
                <w:szCs w:val="24"/>
              </w:rPr>
              <w:t>New convenor of the National Access Forum elected</w:t>
            </w:r>
            <w:r>
              <w:rPr>
                <w:rFonts w:ascii="Calibri" w:hAnsi="Calibri" w:cs="Calibri"/>
                <w:color w:val="000000"/>
                <w:szCs w:val="24"/>
              </w:rPr>
              <w:t xml:space="preserve">. </w:t>
            </w:r>
            <w:r w:rsidRPr="00F92245">
              <w:rPr>
                <w:rFonts w:ascii="Calibri" w:hAnsi="Calibri" w:cs="Calibri"/>
                <w:color w:val="000000"/>
                <w:szCs w:val="24"/>
              </w:rPr>
              <w:t>We supported the Scottish Countryside Ranger Association (SCRA) in celebrating their 50th Anniversary</w:t>
            </w:r>
            <w:r>
              <w:rPr>
                <w:rFonts w:ascii="Calibri" w:hAnsi="Calibri" w:cs="Calibri"/>
                <w:color w:val="000000"/>
                <w:szCs w:val="24"/>
              </w:rPr>
              <w:t>.</w:t>
            </w:r>
          </w:p>
          <w:p w14:paraId="26151906" w14:textId="7801E287" w:rsidR="00F92245" w:rsidRDefault="00F92245" w:rsidP="00F92245">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92245">
              <w:rPr>
                <w:rFonts w:ascii="Calibri" w:hAnsi="Calibri" w:cs="Calibri"/>
                <w:color w:val="000000"/>
                <w:szCs w:val="24"/>
              </w:rPr>
              <w:t>Health and well-bein</w:t>
            </w:r>
            <w:r>
              <w:rPr>
                <w:rFonts w:ascii="Calibri" w:hAnsi="Calibri" w:cs="Calibri"/>
                <w:color w:val="000000"/>
                <w:szCs w:val="24"/>
              </w:rPr>
              <w:t xml:space="preserve">g </w:t>
            </w:r>
            <w:r w:rsidRPr="00F92245">
              <w:rPr>
                <w:rFonts w:ascii="Calibri" w:hAnsi="Calibri" w:cs="Calibri"/>
                <w:color w:val="000000"/>
                <w:szCs w:val="24"/>
              </w:rPr>
              <w:t xml:space="preserve">- </w:t>
            </w:r>
            <w:proofErr w:type="gramStart"/>
            <w:r w:rsidRPr="00F92245">
              <w:rPr>
                <w:rFonts w:ascii="Calibri" w:hAnsi="Calibri" w:cs="Calibri"/>
                <w:color w:val="000000"/>
                <w:szCs w:val="24"/>
              </w:rPr>
              <w:t>Green</w:t>
            </w:r>
            <w:proofErr w:type="gramEnd"/>
            <w:r w:rsidRPr="00F92245">
              <w:rPr>
                <w:rFonts w:ascii="Calibri" w:hAnsi="Calibri" w:cs="Calibri"/>
                <w:color w:val="000000"/>
                <w:szCs w:val="24"/>
              </w:rPr>
              <w:t xml:space="preserve"> health pilot overview report finalised with foreword from </w:t>
            </w:r>
            <w:r w:rsidR="00EE757D">
              <w:rPr>
                <w:rFonts w:ascii="Calibri" w:hAnsi="Calibri" w:cs="Calibri"/>
                <w:color w:val="000000"/>
                <w:szCs w:val="24"/>
              </w:rPr>
              <w:t xml:space="preserve">Chief </w:t>
            </w:r>
            <w:r w:rsidRPr="00F92245">
              <w:rPr>
                <w:rFonts w:ascii="Calibri" w:hAnsi="Calibri" w:cs="Calibri"/>
                <w:color w:val="000000"/>
                <w:szCs w:val="24"/>
              </w:rPr>
              <w:t>M</w:t>
            </w:r>
            <w:r w:rsidR="00EE757D">
              <w:rPr>
                <w:rFonts w:ascii="Calibri" w:hAnsi="Calibri" w:cs="Calibri"/>
                <w:color w:val="000000"/>
                <w:szCs w:val="24"/>
              </w:rPr>
              <w:t xml:space="preserve">edical </w:t>
            </w:r>
            <w:r w:rsidRPr="00F92245">
              <w:rPr>
                <w:rFonts w:ascii="Calibri" w:hAnsi="Calibri" w:cs="Calibri"/>
                <w:color w:val="000000"/>
                <w:szCs w:val="24"/>
              </w:rPr>
              <w:t>O</w:t>
            </w:r>
            <w:r w:rsidR="00EE757D">
              <w:rPr>
                <w:rFonts w:ascii="Calibri" w:hAnsi="Calibri" w:cs="Calibri"/>
                <w:color w:val="000000"/>
                <w:szCs w:val="24"/>
              </w:rPr>
              <w:t>fficer</w:t>
            </w:r>
            <w:r w:rsidR="0056333C">
              <w:rPr>
                <w:rFonts w:ascii="Calibri" w:hAnsi="Calibri" w:cs="Calibri"/>
                <w:color w:val="000000"/>
                <w:szCs w:val="24"/>
              </w:rPr>
              <w:t xml:space="preserve"> </w:t>
            </w:r>
            <w:r w:rsidRPr="00F92245">
              <w:rPr>
                <w:rFonts w:ascii="Calibri" w:hAnsi="Calibri" w:cs="Calibri"/>
                <w:color w:val="000000"/>
                <w:szCs w:val="24"/>
              </w:rPr>
              <w:t>with</w:t>
            </w:r>
            <w:r>
              <w:rPr>
                <w:rFonts w:ascii="Calibri" w:hAnsi="Calibri" w:cs="Calibri"/>
                <w:color w:val="000000"/>
                <w:szCs w:val="24"/>
              </w:rPr>
              <w:t xml:space="preserve"> </w:t>
            </w:r>
            <w:r w:rsidRPr="00F92245">
              <w:rPr>
                <w:rFonts w:ascii="Calibri" w:hAnsi="Calibri" w:cs="Calibri"/>
                <w:color w:val="000000"/>
                <w:szCs w:val="24"/>
              </w:rPr>
              <w:t>publication planned for January alongside the first Green Health learning network being</w:t>
            </w:r>
            <w:r>
              <w:rPr>
                <w:rFonts w:ascii="Calibri" w:hAnsi="Calibri" w:cs="Calibri"/>
                <w:color w:val="000000"/>
                <w:szCs w:val="24"/>
              </w:rPr>
              <w:t xml:space="preserve"> </w:t>
            </w:r>
            <w:r w:rsidRPr="00F92245">
              <w:rPr>
                <w:rFonts w:ascii="Calibri" w:hAnsi="Calibri" w:cs="Calibri"/>
                <w:color w:val="000000"/>
                <w:szCs w:val="24"/>
              </w:rPr>
              <w:t>organised by PHS</w:t>
            </w:r>
            <w:r>
              <w:rPr>
                <w:rFonts w:ascii="Calibri" w:hAnsi="Calibri" w:cs="Calibri"/>
                <w:color w:val="000000"/>
                <w:szCs w:val="24"/>
              </w:rPr>
              <w:t xml:space="preserve">. </w:t>
            </w:r>
            <w:r w:rsidRPr="00F92245">
              <w:rPr>
                <w:rFonts w:ascii="Calibri" w:hAnsi="Calibri" w:cs="Calibri"/>
                <w:color w:val="000000"/>
                <w:szCs w:val="24"/>
              </w:rPr>
              <w:t>First ever assessment of NHS greenspace published by PHS as part of the NHS</w:t>
            </w:r>
            <w:r>
              <w:rPr>
                <w:rFonts w:ascii="Calibri" w:hAnsi="Calibri" w:cs="Calibri"/>
                <w:color w:val="000000"/>
                <w:szCs w:val="24"/>
              </w:rPr>
              <w:t xml:space="preserve"> </w:t>
            </w:r>
            <w:r w:rsidRPr="00F92245">
              <w:rPr>
                <w:rFonts w:ascii="Calibri" w:hAnsi="Calibri" w:cs="Calibri"/>
                <w:color w:val="000000"/>
                <w:szCs w:val="24"/>
              </w:rPr>
              <w:t xml:space="preserve">Climate Emergency and Sustainability workstream </w:t>
            </w:r>
            <w:r w:rsidR="0056333C">
              <w:rPr>
                <w:rFonts w:ascii="Calibri" w:hAnsi="Calibri" w:cs="Calibri"/>
                <w:color w:val="000000"/>
                <w:szCs w:val="24"/>
              </w:rPr>
              <w:t xml:space="preserve">that </w:t>
            </w:r>
            <w:r w:rsidRPr="00F92245">
              <w:rPr>
                <w:rFonts w:ascii="Calibri" w:hAnsi="Calibri" w:cs="Calibri"/>
                <w:color w:val="000000"/>
                <w:szCs w:val="24"/>
              </w:rPr>
              <w:t>NatureScot chairs</w:t>
            </w:r>
            <w:r>
              <w:rPr>
                <w:rFonts w:ascii="Calibri" w:hAnsi="Calibri" w:cs="Calibri"/>
                <w:color w:val="000000"/>
                <w:szCs w:val="24"/>
              </w:rPr>
              <w:t>.</w:t>
            </w:r>
          </w:p>
          <w:p w14:paraId="16175B62" w14:textId="6FA279AD" w:rsidR="00F92245" w:rsidRPr="00F92245" w:rsidRDefault="00F92245" w:rsidP="00F92245">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92245">
              <w:rPr>
                <w:rFonts w:ascii="Calibri" w:hAnsi="Calibri" w:cs="Calibri"/>
                <w:color w:val="000000"/>
                <w:szCs w:val="24"/>
              </w:rPr>
              <w:t>Environmental Attitudes and Behaviours</w:t>
            </w:r>
            <w:r>
              <w:rPr>
                <w:rFonts w:ascii="Calibri" w:hAnsi="Calibri" w:cs="Calibri"/>
                <w:color w:val="000000"/>
                <w:szCs w:val="24"/>
              </w:rPr>
              <w:t xml:space="preserve"> </w:t>
            </w:r>
            <w:r w:rsidRPr="00F92245">
              <w:rPr>
                <w:rFonts w:ascii="Calibri" w:hAnsi="Calibri" w:cs="Calibri"/>
                <w:color w:val="000000"/>
                <w:szCs w:val="24"/>
              </w:rPr>
              <w:t>- NatureScot Opinion Survey (NOS)</w:t>
            </w:r>
            <w:r>
              <w:rPr>
                <w:rFonts w:ascii="Calibri" w:hAnsi="Calibri" w:cs="Calibri"/>
                <w:color w:val="000000"/>
                <w:szCs w:val="24"/>
              </w:rPr>
              <w:t xml:space="preserve"> </w:t>
            </w:r>
            <w:r w:rsidRPr="00F92245">
              <w:rPr>
                <w:rFonts w:ascii="Calibri" w:hAnsi="Calibri" w:cs="Calibri"/>
                <w:color w:val="000000"/>
                <w:szCs w:val="24"/>
              </w:rPr>
              <w:t>2024 survey fieldwork completed and raw data</w:t>
            </w:r>
            <w:r>
              <w:rPr>
                <w:rFonts w:ascii="Calibri" w:hAnsi="Calibri" w:cs="Calibri"/>
                <w:color w:val="000000"/>
                <w:szCs w:val="24"/>
              </w:rPr>
              <w:t xml:space="preserve"> </w:t>
            </w:r>
            <w:r w:rsidRPr="00F92245">
              <w:rPr>
                <w:rFonts w:ascii="Calibri" w:hAnsi="Calibri" w:cs="Calibri"/>
                <w:color w:val="000000"/>
                <w:szCs w:val="24"/>
              </w:rPr>
              <w:t>received.</w:t>
            </w:r>
            <w:r>
              <w:rPr>
                <w:rFonts w:ascii="Calibri" w:hAnsi="Calibri" w:cs="Calibri"/>
                <w:color w:val="000000"/>
                <w:szCs w:val="24"/>
              </w:rPr>
              <w:t xml:space="preserve"> </w:t>
            </w:r>
            <w:r w:rsidR="0056333C" w:rsidRPr="0056333C">
              <w:rPr>
                <w:rFonts w:ascii="Calibri" w:hAnsi="Calibri" w:cs="Calibri"/>
                <w:color w:val="000000"/>
                <w:szCs w:val="24"/>
              </w:rPr>
              <w:t>Scotland's People and Nature Survey</w:t>
            </w:r>
            <w:r w:rsidR="0056333C">
              <w:rPr>
                <w:rFonts w:ascii="Calibri" w:hAnsi="Calibri" w:cs="Calibri"/>
                <w:color w:val="000000"/>
                <w:szCs w:val="24"/>
              </w:rPr>
              <w:t xml:space="preserve"> (</w:t>
            </w:r>
            <w:r w:rsidRPr="00F92245">
              <w:rPr>
                <w:rFonts w:ascii="Calibri" w:hAnsi="Calibri" w:cs="Calibri"/>
                <w:color w:val="000000"/>
                <w:szCs w:val="24"/>
              </w:rPr>
              <w:t>SPAN</w:t>
            </w:r>
            <w:r w:rsidR="0056333C">
              <w:rPr>
                <w:rFonts w:ascii="Calibri" w:hAnsi="Calibri" w:cs="Calibri"/>
                <w:color w:val="000000"/>
                <w:szCs w:val="24"/>
              </w:rPr>
              <w:t>)</w:t>
            </w:r>
            <w:r w:rsidRPr="00F92245">
              <w:rPr>
                <w:rFonts w:ascii="Calibri" w:hAnsi="Calibri" w:cs="Calibri"/>
                <w:color w:val="000000"/>
                <w:szCs w:val="24"/>
              </w:rPr>
              <w:t xml:space="preserve"> headline report published and well attended webinar held</w:t>
            </w:r>
            <w:r>
              <w:rPr>
                <w:rFonts w:ascii="Calibri" w:hAnsi="Calibri" w:cs="Calibri"/>
                <w:color w:val="000000"/>
                <w:szCs w:val="24"/>
              </w:rPr>
              <w:t>.</w:t>
            </w:r>
          </w:p>
        </w:tc>
      </w:tr>
      <w:tr w:rsidR="009D523D" w:rsidRPr="00F550D1" w14:paraId="553D576D" w14:textId="77777777" w:rsidTr="00ED4335">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33F7827" w14:textId="79BCD418" w:rsidR="009D523D" w:rsidRPr="004F3330" w:rsidRDefault="008D1895" w:rsidP="009D523D">
            <w:pPr>
              <w:rPr>
                <w:rFonts w:ascii="Calibri" w:hAnsi="Calibri" w:cs="Calibri"/>
                <w:b w:val="0"/>
                <w:color w:val="000000"/>
                <w:szCs w:val="24"/>
                <w:highlight w:val="yellow"/>
              </w:rPr>
            </w:pPr>
            <w:r>
              <w:rPr>
                <w:rFonts w:ascii="Calibri" w:hAnsi="Calibri" w:cs="Calibri"/>
                <w:b w:val="0"/>
                <w:color w:val="000000"/>
                <w:szCs w:val="24"/>
              </w:rPr>
              <w:lastRenderedPageBreak/>
              <w:t xml:space="preserve">10. </w:t>
            </w:r>
            <w:r w:rsidR="009D523D" w:rsidRPr="00014497">
              <w:rPr>
                <w:rFonts w:ascii="Calibri" w:hAnsi="Calibri" w:cs="Calibri"/>
                <w:b w:val="0"/>
                <w:color w:val="000000"/>
                <w:szCs w:val="24"/>
              </w:rPr>
              <w:t>Influence the regulatory, policy, market and institutional infrastructure needed to stimulate private sector investment into nature</w:t>
            </w:r>
          </w:p>
        </w:tc>
        <w:tc>
          <w:tcPr>
            <w:tcW w:w="1559" w:type="dxa"/>
            <w:vAlign w:val="center"/>
          </w:tcPr>
          <w:p w14:paraId="34F1272B" w14:textId="77777777"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Robbie Kernahan</w:t>
            </w:r>
          </w:p>
        </w:tc>
        <w:tc>
          <w:tcPr>
            <w:tcW w:w="993" w:type="dxa"/>
            <w:shd w:val="clear" w:color="auto" w:fill="F79646" w:themeFill="accent6"/>
            <w:vAlign w:val="center"/>
          </w:tcPr>
          <w:p w14:paraId="22785C8A" w14:textId="7C9F240B" w:rsidR="009D523D" w:rsidRPr="00F550D1" w:rsidRDefault="00ED4335" w:rsidP="009D52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Pr>
                <w:rFonts w:ascii="Calibri" w:hAnsi="Calibri" w:cs="Calibri"/>
                <w:b/>
              </w:rPr>
              <w:t>AMBER</w:t>
            </w:r>
          </w:p>
        </w:tc>
        <w:tc>
          <w:tcPr>
            <w:tcW w:w="8466" w:type="dxa"/>
          </w:tcPr>
          <w:p w14:paraId="2F1221F4" w14:textId="718E7588" w:rsidR="00061BC9" w:rsidRPr="00F92245" w:rsidRDefault="00061BC9" w:rsidP="00F9224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061BC9">
              <w:rPr>
                <w:rFonts w:ascii="Calibri" w:hAnsi="Calibri" w:cs="Calibri"/>
                <w:color w:val="000000"/>
                <w:szCs w:val="24"/>
              </w:rPr>
              <w:t>FIRNS: All Round 2 projects continuing delivery. Second block of Community of Practice events delivered.</w:t>
            </w:r>
            <w:r w:rsidR="00860202">
              <w:rPr>
                <w:rFonts w:ascii="Calibri" w:hAnsi="Calibri" w:cs="Calibri"/>
                <w:color w:val="000000"/>
                <w:szCs w:val="24"/>
              </w:rPr>
              <w:t xml:space="preserve"> Represented</w:t>
            </w:r>
            <w:r w:rsidRPr="00061BC9">
              <w:rPr>
                <w:rFonts w:ascii="Calibri" w:hAnsi="Calibri" w:cs="Calibri"/>
                <w:color w:val="000000"/>
                <w:szCs w:val="24"/>
              </w:rPr>
              <w:t xml:space="preserve"> FIRNS </w:t>
            </w:r>
            <w:r w:rsidRPr="00F92245">
              <w:rPr>
                <w:rFonts w:ascii="Calibri" w:hAnsi="Calibri" w:cs="Calibri"/>
                <w:color w:val="000000"/>
                <w:szCs w:val="24"/>
              </w:rPr>
              <w:t>at the UK Nature Finance conference</w:t>
            </w:r>
            <w:r w:rsidR="00223927">
              <w:rPr>
                <w:rFonts w:ascii="Calibri" w:hAnsi="Calibri" w:cs="Calibri"/>
                <w:color w:val="000000"/>
                <w:szCs w:val="24"/>
              </w:rPr>
              <w:t>.</w:t>
            </w:r>
            <w:r w:rsidRPr="00F92245">
              <w:rPr>
                <w:rFonts w:ascii="Calibri" w:hAnsi="Calibri" w:cs="Calibri"/>
                <w:color w:val="000000"/>
                <w:szCs w:val="24"/>
              </w:rPr>
              <w:t xml:space="preserve"> Round 1 evaluation</w:t>
            </w:r>
            <w:r w:rsidR="00860202">
              <w:rPr>
                <w:rFonts w:ascii="Calibri" w:hAnsi="Calibri" w:cs="Calibri"/>
                <w:color w:val="000000"/>
                <w:szCs w:val="24"/>
              </w:rPr>
              <w:t xml:space="preserve">, </w:t>
            </w:r>
            <w:r w:rsidRPr="00F92245">
              <w:rPr>
                <w:rFonts w:ascii="Calibri" w:hAnsi="Calibri" w:cs="Calibri"/>
                <w:color w:val="000000"/>
                <w:szCs w:val="24"/>
              </w:rPr>
              <w:t>case studies and grants map being developed for publishing. Shortlisted for a Nature of Scotland Award.</w:t>
            </w:r>
          </w:p>
          <w:p w14:paraId="60B17D2D" w14:textId="33B9D4D1" w:rsidR="00061BC9" w:rsidRDefault="00061BC9">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061BC9">
              <w:rPr>
                <w:rFonts w:ascii="Calibri" w:hAnsi="Calibri" w:cs="Calibri"/>
                <w:color w:val="000000"/>
                <w:szCs w:val="24"/>
              </w:rPr>
              <w:t xml:space="preserve">SMEEF: </w:t>
            </w:r>
            <w:r w:rsidR="00223927" w:rsidRPr="00061BC9">
              <w:rPr>
                <w:rFonts w:ascii="Calibri" w:hAnsi="Calibri" w:cs="Calibri"/>
                <w:color w:val="000000"/>
                <w:szCs w:val="24"/>
              </w:rPr>
              <w:t xml:space="preserve">£157,000 of </w:t>
            </w:r>
            <w:r w:rsidR="00223927">
              <w:rPr>
                <w:rFonts w:ascii="Calibri" w:hAnsi="Calibri" w:cs="Calibri"/>
                <w:color w:val="000000"/>
                <w:szCs w:val="24"/>
              </w:rPr>
              <w:t xml:space="preserve">the </w:t>
            </w:r>
            <w:r w:rsidR="00223927" w:rsidRPr="00061BC9">
              <w:rPr>
                <w:rFonts w:ascii="Calibri" w:hAnsi="Calibri" w:cs="Calibri"/>
                <w:color w:val="000000"/>
                <w:szCs w:val="24"/>
              </w:rPr>
              <w:t xml:space="preserve">£268,000 awarded </w:t>
            </w:r>
            <w:r w:rsidR="00223927">
              <w:rPr>
                <w:rFonts w:ascii="Calibri" w:hAnsi="Calibri" w:cs="Calibri"/>
                <w:color w:val="000000"/>
                <w:szCs w:val="24"/>
              </w:rPr>
              <w:t xml:space="preserve">for the </w:t>
            </w:r>
            <w:r w:rsidRPr="00061BC9">
              <w:rPr>
                <w:rFonts w:ascii="Calibri" w:hAnsi="Calibri" w:cs="Calibri"/>
                <w:color w:val="000000"/>
                <w:szCs w:val="24"/>
              </w:rPr>
              <w:t xml:space="preserve">first privately funded grant round </w:t>
            </w:r>
            <w:r w:rsidR="00223927" w:rsidRPr="00061BC9">
              <w:rPr>
                <w:rFonts w:ascii="Calibri" w:hAnsi="Calibri" w:cs="Calibri"/>
                <w:color w:val="000000"/>
                <w:szCs w:val="24"/>
              </w:rPr>
              <w:t>now spent</w:t>
            </w:r>
            <w:r w:rsidRPr="00061BC9">
              <w:rPr>
                <w:rFonts w:ascii="Calibri" w:hAnsi="Calibri" w:cs="Calibri"/>
                <w:color w:val="000000"/>
                <w:szCs w:val="24"/>
              </w:rPr>
              <w:t>. The Grants Panel has discussed applications for Seagrass planting fund of £2.1m, allocated over four years. Minimum contributions of £1.65m over the next five years to the Seabird Resilience Fund have been agreed. £100,000 in unrestricted funds are yet to</w:t>
            </w:r>
            <w:r w:rsidR="00107E06">
              <w:rPr>
                <w:rFonts w:ascii="Calibri" w:hAnsi="Calibri" w:cs="Calibri"/>
                <w:color w:val="000000"/>
                <w:szCs w:val="24"/>
              </w:rPr>
              <w:t xml:space="preserve"> be</w:t>
            </w:r>
            <w:r w:rsidRPr="00061BC9">
              <w:rPr>
                <w:rFonts w:ascii="Calibri" w:hAnsi="Calibri" w:cs="Calibri"/>
                <w:color w:val="000000"/>
                <w:szCs w:val="24"/>
              </w:rPr>
              <w:t xml:space="preserve"> awarded</w:t>
            </w:r>
            <w:r>
              <w:rPr>
                <w:rFonts w:ascii="Calibri" w:hAnsi="Calibri" w:cs="Calibri"/>
                <w:color w:val="000000"/>
                <w:szCs w:val="24"/>
              </w:rPr>
              <w:t>.</w:t>
            </w:r>
          </w:p>
          <w:p w14:paraId="4C9AF928" w14:textId="215C0625" w:rsidR="00061BC9" w:rsidRDefault="0086020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T</w:t>
            </w:r>
            <w:r w:rsidR="00061BC9" w:rsidRPr="00061BC9">
              <w:rPr>
                <w:rFonts w:ascii="Calibri" w:hAnsi="Calibri" w:cs="Calibri"/>
                <w:color w:val="000000"/>
                <w:szCs w:val="24"/>
              </w:rPr>
              <w:t xml:space="preserve">he Flow Country: </w:t>
            </w:r>
            <w:r w:rsidR="00305AB7">
              <w:rPr>
                <w:rFonts w:ascii="Calibri" w:hAnsi="Calibri" w:cs="Calibri"/>
                <w:color w:val="000000"/>
                <w:szCs w:val="24"/>
              </w:rPr>
              <w:t>F</w:t>
            </w:r>
            <w:r w:rsidR="00061BC9" w:rsidRPr="00061BC9">
              <w:rPr>
                <w:rFonts w:ascii="Calibri" w:hAnsi="Calibri" w:cs="Calibri"/>
                <w:color w:val="000000"/>
                <w:szCs w:val="24"/>
              </w:rPr>
              <w:t>irst pilot phase 1 is complete</w:t>
            </w:r>
            <w:r w:rsidR="00305AB7">
              <w:rPr>
                <w:rFonts w:ascii="Calibri" w:hAnsi="Calibri" w:cs="Calibri"/>
                <w:color w:val="000000"/>
                <w:szCs w:val="24"/>
              </w:rPr>
              <w:t>, the s</w:t>
            </w:r>
            <w:r w:rsidR="00061BC9" w:rsidRPr="00061BC9">
              <w:rPr>
                <w:rFonts w:ascii="Calibri" w:hAnsi="Calibri" w:cs="Calibri"/>
                <w:color w:val="000000"/>
                <w:szCs w:val="24"/>
              </w:rPr>
              <w:t>econd underway</w:t>
            </w:r>
            <w:r w:rsidR="00305AB7">
              <w:rPr>
                <w:rFonts w:ascii="Calibri" w:hAnsi="Calibri" w:cs="Calibri"/>
                <w:color w:val="000000"/>
                <w:szCs w:val="24"/>
              </w:rPr>
              <w:t>.</w:t>
            </w:r>
            <w:r w:rsidR="00061BC9" w:rsidRPr="00061BC9">
              <w:rPr>
                <w:rFonts w:ascii="Calibri" w:hAnsi="Calibri" w:cs="Calibri"/>
                <w:color w:val="000000"/>
                <w:szCs w:val="24"/>
              </w:rPr>
              <w:t xml:space="preserve">  Letter of Intent </w:t>
            </w:r>
            <w:r w:rsidR="00305AB7">
              <w:rPr>
                <w:rFonts w:ascii="Calibri" w:hAnsi="Calibri" w:cs="Calibri"/>
                <w:color w:val="000000"/>
                <w:szCs w:val="24"/>
              </w:rPr>
              <w:t xml:space="preserve">is </w:t>
            </w:r>
            <w:r w:rsidR="00061BC9" w:rsidRPr="00061BC9">
              <w:rPr>
                <w:rFonts w:ascii="Calibri" w:hAnsi="Calibri" w:cs="Calibri"/>
                <w:color w:val="000000"/>
                <w:szCs w:val="24"/>
              </w:rPr>
              <w:t xml:space="preserve">signed </w:t>
            </w:r>
            <w:r w:rsidR="002C2101">
              <w:rPr>
                <w:rFonts w:ascii="Calibri" w:hAnsi="Calibri" w:cs="Calibri"/>
                <w:color w:val="000000"/>
                <w:szCs w:val="24"/>
              </w:rPr>
              <w:t>for</w:t>
            </w:r>
            <w:r w:rsidR="00061BC9" w:rsidRPr="00061BC9">
              <w:rPr>
                <w:rFonts w:ascii="Calibri" w:hAnsi="Calibri" w:cs="Calibri"/>
                <w:color w:val="000000"/>
                <w:szCs w:val="24"/>
              </w:rPr>
              <w:t xml:space="preserve"> third pilot. </w:t>
            </w:r>
            <w:r w:rsidR="00400FD4">
              <w:rPr>
                <w:rFonts w:ascii="Calibri" w:hAnsi="Calibri" w:cs="Calibri"/>
                <w:color w:val="000000"/>
                <w:szCs w:val="24"/>
              </w:rPr>
              <w:t>A</w:t>
            </w:r>
            <w:r w:rsidR="00061BC9" w:rsidRPr="00061BC9">
              <w:rPr>
                <w:rFonts w:ascii="Calibri" w:hAnsi="Calibri" w:cs="Calibri"/>
                <w:color w:val="000000"/>
                <w:szCs w:val="24"/>
              </w:rPr>
              <w:t>ctive discussion</w:t>
            </w:r>
            <w:r w:rsidR="00400FD4">
              <w:rPr>
                <w:rFonts w:ascii="Calibri" w:hAnsi="Calibri" w:cs="Calibri"/>
                <w:color w:val="000000"/>
                <w:szCs w:val="24"/>
              </w:rPr>
              <w:t>s</w:t>
            </w:r>
            <w:r w:rsidR="00061BC9" w:rsidRPr="00061BC9">
              <w:rPr>
                <w:rFonts w:ascii="Calibri" w:hAnsi="Calibri" w:cs="Calibri"/>
                <w:color w:val="000000"/>
                <w:szCs w:val="24"/>
              </w:rPr>
              <w:t xml:space="preserve"> through Nature Investment Partnership and other potential investors and carbon buyers</w:t>
            </w:r>
            <w:r w:rsidR="00305AB7">
              <w:rPr>
                <w:rFonts w:ascii="Calibri" w:hAnsi="Calibri" w:cs="Calibri"/>
                <w:color w:val="000000"/>
                <w:szCs w:val="24"/>
              </w:rPr>
              <w:t>.</w:t>
            </w:r>
            <w:r w:rsidR="00061BC9" w:rsidRPr="00061BC9">
              <w:rPr>
                <w:rFonts w:ascii="Calibri" w:hAnsi="Calibri" w:cs="Calibri"/>
                <w:color w:val="000000"/>
                <w:szCs w:val="24"/>
              </w:rPr>
              <w:t xml:space="preserve"> Amber rating </w:t>
            </w:r>
            <w:r w:rsidR="00305AB7">
              <w:rPr>
                <w:rFonts w:ascii="Calibri" w:hAnsi="Calibri" w:cs="Calibri"/>
                <w:color w:val="000000"/>
                <w:szCs w:val="24"/>
              </w:rPr>
              <w:t>as not</w:t>
            </w:r>
            <w:r w:rsidR="00061BC9" w:rsidRPr="00061BC9">
              <w:rPr>
                <w:rFonts w:ascii="Calibri" w:hAnsi="Calibri" w:cs="Calibri"/>
                <w:color w:val="000000"/>
                <w:szCs w:val="24"/>
              </w:rPr>
              <w:t xml:space="preserve"> yet secured funds for pipeline development beyond end of FIRNS, plus resourcing challenges </w:t>
            </w:r>
            <w:r w:rsidR="00305AB7">
              <w:rPr>
                <w:rFonts w:ascii="Calibri" w:hAnsi="Calibri" w:cs="Calibri"/>
                <w:color w:val="000000"/>
                <w:szCs w:val="24"/>
              </w:rPr>
              <w:t>with</w:t>
            </w:r>
            <w:r w:rsidR="00061BC9" w:rsidRPr="00061BC9">
              <w:rPr>
                <w:rFonts w:ascii="Calibri" w:hAnsi="Calibri" w:cs="Calibri"/>
                <w:color w:val="000000"/>
                <w:szCs w:val="24"/>
              </w:rPr>
              <w:t xml:space="preserve"> World Heritage Site </w:t>
            </w:r>
            <w:r w:rsidR="00305AB7">
              <w:rPr>
                <w:rFonts w:ascii="Calibri" w:hAnsi="Calibri" w:cs="Calibri"/>
                <w:color w:val="000000"/>
                <w:szCs w:val="24"/>
              </w:rPr>
              <w:t>team</w:t>
            </w:r>
            <w:r w:rsidR="00061BC9" w:rsidRPr="00061BC9">
              <w:rPr>
                <w:rFonts w:ascii="Calibri" w:hAnsi="Calibri" w:cs="Calibri"/>
                <w:color w:val="000000"/>
                <w:szCs w:val="24"/>
              </w:rPr>
              <w:t>. Awarded Nature and Climate Action prize at Nature of Scotland Awards</w:t>
            </w:r>
            <w:r w:rsidR="00061BC9">
              <w:rPr>
                <w:rFonts w:ascii="Calibri" w:hAnsi="Calibri" w:cs="Calibri"/>
                <w:color w:val="000000"/>
                <w:szCs w:val="24"/>
              </w:rPr>
              <w:t>.</w:t>
            </w:r>
          </w:p>
          <w:p w14:paraId="416AB6B9" w14:textId="38999FB7" w:rsidR="00061BC9" w:rsidRDefault="00061BC9">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proofErr w:type="spellStart"/>
            <w:r w:rsidRPr="00061BC9">
              <w:rPr>
                <w:rFonts w:ascii="Calibri" w:hAnsi="Calibri" w:cs="Calibri"/>
                <w:color w:val="000000"/>
                <w:szCs w:val="24"/>
              </w:rPr>
              <w:t>CreditNature</w:t>
            </w:r>
            <w:proofErr w:type="spellEnd"/>
            <w:r w:rsidRPr="00061BC9">
              <w:rPr>
                <w:rFonts w:ascii="Calibri" w:hAnsi="Calibri" w:cs="Calibri"/>
                <w:color w:val="000000"/>
                <w:szCs w:val="24"/>
              </w:rPr>
              <w:t>/</w:t>
            </w:r>
            <w:proofErr w:type="spellStart"/>
            <w:r w:rsidRPr="00061BC9">
              <w:rPr>
                <w:rFonts w:ascii="Calibri" w:hAnsi="Calibri" w:cs="Calibri"/>
                <w:color w:val="000000"/>
                <w:szCs w:val="24"/>
              </w:rPr>
              <w:t>CivTech</w:t>
            </w:r>
            <w:proofErr w:type="spellEnd"/>
            <w:r w:rsidRPr="00061BC9">
              <w:rPr>
                <w:rFonts w:ascii="Calibri" w:hAnsi="Calibri" w:cs="Calibri"/>
                <w:color w:val="000000"/>
                <w:szCs w:val="24"/>
              </w:rPr>
              <w:t xml:space="preserve">: All </w:t>
            </w:r>
            <w:r w:rsidR="0056333C" w:rsidRPr="0056333C">
              <w:rPr>
                <w:rFonts w:ascii="Calibri" w:hAnsi="Calibri" w:cs="Calibri"/>
                <w:color w:val="000000"/>
                <w:szCs w:val="24"/>
              </w:rPr>
              <w:t>Pre-commercial Agreements</w:t>
            </w:r>
            <w:r w:rsidR="0056333C">
              <w:rPr>
                <w:rFonts w:ascii="Calibri" w:hAnsi="Calibri" w:cs="Calibri"/>
                <w:color w:val="000000"/>
                <w:szCs w:val="24"/>
              </w:rPr>
              <w:t xml:space="preserve"> (</w:t>
            </w:r>
            <w:r w:rsidRPr="00061BC9">
              <w:rPr>
                <w:rFonts w:ascii="Calibri" w:hAnsi="Calibri" w:cs="Calibri"/>
                <w:color w:val="000000"/>
                <w:szCs w:val="24"/>
              </w:rPr>
              <w:t>PCA</w:t>
            </w:r>
            <w:r w:rsidR="0056333C">
              <w:rPr>
                <w:rFonts w:ascii="Calibri" w:hAnsi="Calibri" w:cs="Calibri"/>
                <w:color w:val="000000"/>
                <w:szCs w:val="24"/>
              </w:rPr>
              <w:t>)</w:t>
            </w:r>
            <w:r w:rsidRPr="00061BC9">
              <w:rPr>
                <w:rFonts w:ascii="Calibri" w:hAnsi="Calibri" w:cs="Calibri"/>
                <w:color w:val="000000"/>
                <w:szCs w:val="24"/>
              </w:rPr>
              <w:t xml:space="preserve"> deliverables have been completed.</w:t>
            </w:r>
          </w:p>
          <w:p w14:paraId="522A0ACF" w14:textId="65E36AB1" w:rsidR="00061BC9" w:rsidRDefault="00061BC9">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061BC9">
              <w:rPr>
                <w:rFonts w:ascii="Calibri" w:hAnsi="Calibri" w:cs="Calibri"/>
                <w:color w:val="000000"/>
                <w:szCs w:val="24"/>
              </w:rPr>
              <w:t>Market Framework</w:t>
            </w:r>
            <w:r w:rsidR="00400FD4">
              <w:rPr>
                <w:rFonts w:ascii="Calibri" w:hAnsi="Calibri" w:cs="Calibri"/>
                <w:color w:val="000000"/>
                <w:szCs w:val="24"/>
              </w:rPr>
              <w:t xml:space="preserve"> p</w:t>
            </w:r>
            <w:r w:rsidRPr="00061BC9">
              <w:rPr>
                <w:rFonts w:ascii="Calibri" w:hAnsi="Calibri" w:cs="Calibri"/>
                <w:color w:val="000000"/>
                <w:szCs w:val="24"/>
              </w:rPr>
              <w:t>ublished</w:t>
            </w:r>
          </w:p>
          <w:p w14:paraId="4F550EC0" w14:textId="5B379786" w:rsidR="009D523D" w:rsidRDefault="00061BC9">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061BC9">
              <w:rPr>
                <w:rFonts w:ascii="Calibri" w:hAnsi="Calibri" w:cs="Calibri"/>
                <w:color w:val="000000"/>
                <w:szCs w:val="24"/>
              </w:rPr>
              <w:t xml:space="preserve">PINC Peatland Programme: Work </w:t>
            </w:r>
            <w:r w:rsidR="00226B59">
              <w:rPr>
                <w:rFonts w:ascii="Calibri" w:hAnsi="Calibri" w:cs="Calibri"/>
                <w:color w:val="000000"/>
                <w:szCs w:val="24"/>
              </w:rPr>
              <w:t>on</w:t>
            </w:r>
            <w:r w:rsidRPr="00061BC9">
              <w:rPr>
                <w:rFonts w:ascii="Calibri" w:hAnsi="Calibri" w:cs="Calibri"/>
                <w:color w:val="000000"/>
                <w:szCs w:val="24"/>
              </w:rPr>
              <w:t xml:space="preserve"> financial models with First Loss Fund and loan being blended into one Public/Private Fun</w:t>
            </w:r>
            <w:r w:rsidR="00305AB7">
              <w:rPr>
                <w:rFonts w:ascii="Calibri" w:hAnsi="Calibri" w:cs="Calibri"/>
                <w:color w:val="000000"/>
                <w:szCs w:val="24"/>
              </w:rPr>
              <w:t>d</w:t>
            </w:r>
            <w:r w:rsidRPr="00061BC9">
              <w:rPr>
                <w:rFonts w:ascii="Calibri" w:hAnsi="Calibri" w:cs="Calibri"/>
                <w:color w:val="000000"/>
                <w:szCs w:val="24"/>
              </w:rPr>
              <w:t xml:space="preserve">. Individual Carbon Contracts </w:t>
            </w:r>
            <w:r w:rsidR="002C2101">
              <w:rPr>
                <w:rFonts w:ascii="Calibri" w:hAnsi="Calibri" w:cs="Calibri"/>
                <w:color w:val="000000"/>
                <w:szCs w:val="24"/>
              </w:rPr>
              <w:t>a</w:t>
            </w:r>
            <w:r w:rsidRPr="00061BC9">
              <w:rPr>
                <w:rFonts w:ascii="Calibri" w:hAnsi="Calibri" w:cs="Calibri"/>
                <w:color w:val="000000"/>
                <w:szCs w:val="24"/>
              </w:rPr>
              <w:t>s the favoured option</w:t>
            </w:r>
            <w:r w:rsidR="00305AB7">
              <w:rPr>
                <w:rFonts w:ascii="Calibri" w:hAnsi="Calibri" w:cs="Calibri"/>
                <w:color w:val="000000"/>
                <w:szCs w:val="24"/>
              </w:rPr>
              <w:t>.</w:t>
            </w:r>
            <w:r w:rsidRPr="00061BC9">
              <w:rPr>
                <w:rFonts w:ascii="Calibri" w:hAnsi="Calibri" w:cs="Calibri"/>
                <w:color w:val="000000"/>
                <w:szCs w:val="24"/>
              </w:rPr>
              <w:t xml:space="preserve"> </w:t>
            </w:r>
            <w:r w:rsidR="00305AB7">
              <w:rPr>
                <w:rFonts w:ascii="Calibri" w:hAnsi="Calibri" w:cs="Calibri"/>
                <w:color w:val="000000"/>
                <w:szCs w:val="24"/>
              </w:rPr>
              <w:t>S</w:t>
            </w:r>
            <w:r w:rsidRPr="00061BC9">
              <w:rPr>
                <w:rFonts w:ascii="Calibri" w:hAnsi="Calibri" w:cs="Calibri"/>
                <w:color w:val="000000"/>
                <w:szCs w:val="24"/>
              </w:rPr>
              <w:t>takeholder engagement along with SG Legal and financial teams</w:t>
            </w:r>
            <w:r w:rsidR="00226B59">
              <w:rPr>
                <w:rFonts w:ascii="Calibri" w:hAnsi="Calibri" w:cs="Calibri"/>
                <w:color w:val="000000"/>
                <w:szCs w:val="24"/>
              </w:rPr>
              <w:t>’</w:t>
            </w:r>
            <w:r w:rsidRPr="00061BC9">
              <w:rPr>
                <w:rFonts w:ascii="Calibri" w:hAnsi="Calibri" w:cs="Calibri"/>
                <w:color w:val="000000"/>
                <w:szCs w:val="24"/>
              </w:rPr>
              <w:t xml:space="preserve"> </w:t>
            </w:r>
            <w:r w:rsidR="00305AB7">
              <w:rPr>
                <w:rFonts w:ascii="Calibri" w:hAnsi="Calibri" w:cs="Calibri"/>
                <w:color w:val="000000"/>
                <w:szCs w:val="24"/>
              </w:rPr>
              <w:t xml:space="preserve">consultations on </w:t>
            </w:r>
            <w:r w:rsidR="002C2101">
              <w:rPr>
                <w:rFonts w:ascii="Calibri" w:hAnsi="Calibri" w:cs="Calibri"/>
                <w:color w:val="000000"/>
                <w:szCs w:val="24"/>
              </w:rPr>
              <w:t>options.</w:t>
            </w:r>
            <w:r w:rsidRPr="00061BC9">
              <w:rPr>
                <w:rFonts w:ascii="Calibri" w:hAnsi="Calibri" w:cs="Calibri"/>
                <w:color w:val="000000"/>
                <w:szCs w:val="24"/>
              </w:rPr>
              <w:t xml:space="preserve"> </w:t>
            </w:r>
            <w:r w:rsidR="00305AB7">
              <w:rPr>
                <w:rFonts w:ascii="Calibri" w:hAnsi="Calibri" w:cs="Calibri"/>
                <w:color w:val="000000"/>
                <w:szCs w:val="24"/>
              </w:rPr>
              <w:t>M</w:t>
            </w:r>
            <w:r w:rsidRPr="00061BC9">
              <w:rPr>
                <w:rFonts w:ascii="Calibri" w:hAnsi="Calibri" w:cs="Calibri"/>
                <w:color w:val="000000"/>
                <w:szCs w:val="24"/>
              </w:rPr>
              <w:t>inister</w:t>
            </w:r>
            <w:r w:rsidR="002C2101">
              <w:rPr>
                <w:rFonts w:ascii="Calibri" w:hAnsi="Calibri" w:cs="Calibri"/>
                <w:color w:val="000000"/>
                <w:szCs w:val="24"/>
              </w:rPr>
              <w:t>ial proposal to be submitted</w:t>
            </w:r>
            <w:r w:rsidRPr="00061BC9">
              <w:rPr>
                <w:rFonts w:ascii="Calibri" w:hAnsi="Calibri" w:cs="Calibri"/>
                <w:color w:val="000000"/>
                <w:szCs w:val="24"/>
              </w:rPr>
              <w:t xml:space="preserve"> </w:t>
            </w:r>
            <w:r w:rsidR="002C2101">
              <w:rPr>
                <w:rFonts w:ascii="Calibri" w:hAnsi="Calibri" w:cs="Calibri"/>
                <w:color w:val="000000"/>
                <w:szCs w:val="24"/>
              </w:rPr>
              <w:t xml:space="preserve">for </w:t>
            </w:r>
            <w:r w:rsidRPr="00061BC9">
              <w:rPr>
                <w:rFonts w:ascii="Calibri" w:hAnsi="Calibri" w:cs="Calibri"/>
                <w:color w:val="000000"/>
                <w:szCs w:val="24"/>
              </w:rPr>
              <w:t>project continu</w:t>
            </w:r>
            <w:r w:rsidR="00305AB7">
              <w:rPr>
                <w:rFonts w:ascii="Calibri" w:hAnsi="Calibri" w:cs="Calibri"/>
                <w:color w:val="000000"/>
                <w:szCs w:val="24"/>
              </w:rPr>
              <w:t>ation</w:t>
            </w:r>
            <w:r w:rsidR="002C2101">
              <w:rPr>
                <w:rFonts w:ascii="Calibri" w:hAnsi="Calibri" w:cs="Calibri"/>
                <w:color w:val="000000"/>
                <w:szCs w:val="24"/>
              </w:rPr>
              <w:t xml:space="preserve"> approval</w:t>
            </w:r>
            <w:r w:rsidRPr="00061BC9">
              <w:rPr>
                <w:rFonts w:ascii="Calibri" w:hAnsi="Calibri" w:cs="Calibri"/>
                <w:color w:val="000000"/>
                <w:szCs w:val="24"/>
              </w:rPr>
              <w:t xml:space="preserve">. </w:t>
            </w:r>
            <w:r w:rsidR="00305AB7">
              <w:rPr>
                <w:rFonts w:ascii="Calibri" w:hAnsi="Calibri" w:cs="Calibri"/>
                <w:color w:val="000000"/>
                <w:szCs w:val="24"/>
              </w:rPr>
              <w:t>A</w:t>
            </w:r>
            <w:r w:rsidRPr="00061BC9">
              <w:rPr>
                <w:rFonts w:ascii="Calibri" w:hAnsi="Calibri" w:cs="Calibri"/>
                <w:color w:val="000000"/>
                <w:szCs w:val="24"/>
              </w:rPr>
              <w:t xml:space="preserve">mber </w:t>
            </w:r>
            <w:r w:rsidR="00305AB7">
              <w:rPr>
                <w:rFonts w:ascii="Calibri" w:hAnsi="Calibri" w:cs="Calibri"/>
                <w:color w:val="000000"/>
                <w:szCs w:val="24"/>
              </w:rPr>
              <w:t xml:space="preserve">rating </w:t>
            </w:r>
            <w:r w:rsidRPr="00061BC9">
              <w:rPr>
                <w:rFonts w:ascii="Calibri" w:hAnsi="Calibri" w:cs="Calibri"/>
                <w:color w:val="000000"/>
                <w:szCs w:val="24"/>
              </w:rPr>
              <w:t>whilst awaiting approval.</w:t>
            </w:r>
          </w:p>
          <w:p w14:paraId="06DDA413" w14:textId="6D6C5F3C" w:rsidR="0079492C" w:rsidRDefault="00061BC9">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061BC9">
              <w:rPr>
                <w:rFonts w:ascii="Calibri" w:hAnsi="Calibri" w:cs="Calibri"/>
                <w:color w:val="000000"/>
                <w:szCs w:val="24"/>
              </w:rPr>
              <w:t xml:space="preserve">Nature Investment Partnership: UKIB cornerstone funding of £50m for </w:t>
            </w:r>
            <w:proofErr w:type="spellStart"/>
            <w:r w:rsidR="0056333C">
              <w:rPr>
                <w:rFonts w:ascii="Calibri" w:hAnsi="Calibri" w:cs="Calibri"/>
                <w:color w:val="000000"/>
                <w:szCs w:val="24"/>
              </w:rPr>
              <w:t>Abrdn</w:t>
            </w:r>
            <w:proofErr w:type="spellEnd"/>
            <w:r w:rsidR="0056333C">
              <w:rPr>
                <w:rFonts w:ascii="Calibri" w:hAnsi="Calibri" w:cs="Calibri"/>
                <w:color w:val="000000"/>
                <w:szCs w:val="24"/>
              </w:rPr>
              <w:t xml:space="preserve"> </w:t>
            </w:r>
            <w:r w:rsidR="0079492C" w:rsidRPr="0079492C">
              <w:rPr>
                <w:rFonts w:ascii="Calibri" w:hAnsi="Calibri" w:cs="Calibri"/>
                <w:color w:val="000000"/>
                <w:szCs w:val="24"/>
              </w:rPr>
              <w:t>climate and nature impact fund</w:t>
            </w:r>
            <w:r w:rsidR="0079492C">
              <w:rPr>
                <w:rFonts w:ascii="Calibri" w:hAnsi="Calibri" w:cs="Calibri"/>
                <w:color w:val="000000"/>
                <w:szCs w:val="24"/>
              </w:rPr>
              <w:t xml:space="preserve"> (</w:t>
            </w:r>
            <w:r w:rsidR="0056333C">
              <w:rPr>
                <w:rFonts w:ascii="Calibri" w:hAnsi="Calibri" w:cs="Calibri"/>
                <w:color w:val="000000"/>
                <w:szCs w:val="24"/>
              </w:rPr>
              <w:t>ACANIF</w:t>
            </w:r>
            <w:r w:rsidR="0079492C">
              <w:rPr>
                <w:rFonts w:ascii="Calibri" w:hAnsi="Calibri" w:cs="Calibri"/>
                <w:color w:val="000000"/>
                <w:szCs w:val="24"/>
              </w:rPr>
              <w:t>)</w:t>
            </w:r>
            <w:r w:rsidRPr="00061BC9">
              <w:rPr>
                <w:rFonts w:ascii="Calibri" w:hAnsi="Calibri" w:cs="Calibri"/>
                <w:color w:val="000000"/>
                <w:szCs w:val="24"/>
              </w:rPr>
              <w:t xml:space="preserve"> confirmed in early November</w:t>
            </w:r>
            <w:r w:rsidR="00226B59">
              <w:rPr>
                <w:rFonts w:ascii="Calibri" w:hAnsi="Calibri" w:cs="Calibri"/>
                <w:color w:val="000000"/>
                <w:szCs w:val="24"/>
              </w:rPr>
              <w:t>.</w:t>
            </w:r>
          </w:p>
          <w:p w14:paraId="26BCD90E" w14:textId="38D4ECF1" w:rsidR="00061BC9" w:rsidRDefault="00061BC9">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061BC9">
              <w:rPr>
                <w:rFonts w:ascii="Calibri" w:hAnsi="Calibri" w:cs="Calibri"/>
                <w:color w:val="000000"/>
                <w:szCs w:val="24"/>
              </w:rPr>
              <w:t xml:space="preserve">Established </w:t>
            </w:r>
            <w:r w:rsidR="00226B59">
              <w:rPr>
                <w:rFonts w:ascii="Calibri" w:hAnsi="Calibri" w:cs="Calibri"/>
                <w:color w:val="000000"/>
                <w:szCs w:val="24"/>
              </w:rPr>
              <w:t xml:space="preserve">agreed </w:t>
            </w:r>
            <w:r w:rsidRPr="00061BC9">
              <w:rPr>
                <w:rFonts w:ascii="Calibri" w:hAnsi="Calibri" w:cs="Calibri"/>
                <w:color w:val="000000"/>
                <w:szCs w:val="24"/>
              </w:rPr>
              <w:t xml:space="preserve">media lines </w:t>
            </w:r>
            <w:r w:rsidR="00226B59">
              <w:rPr>
                <w:rFonts w:ascii="Calibri" w:hAnsi="Calibri" w:cs="Calibri"/>
                <w:color w:val="000000"/>
                <w:szCs w:val="24"/>
              </w:rPr>
              <w:t>on</w:t>
            </w:r>
            <w:r w:rsidRPr="00061BC9">
              <w:rPr>
                <w:rFonts w:ascii="Calibri" w:hAnsi="Calibri" w:cs="Calibri"/>
                <w:color w:val="000000"/>
                <w:szCs w:val="24"/>
              </w:rPr>
              <w:t xml:space="preserve"> </w:t>
            </w:r>
            <w:proofErr w:type="spellStart"/>
            <w:r w:rsidR="0056333C">
              <w:rPr>
                <w:rFonts w:ascii="Calibri" w:hAnsi="Calibri" w:cs="Calibri"/>
                <w:color w:val="000000"/>
                <w:szCs w:val="24"/>
              </w:rPr>
              <w:t>Abrdn</w:t>
            </w:r>
            <w:proofErr w:type="spellEnd"/>
            <w:r w:rsidRPr="00061BC9">
              <w:rPr>
                <w:rFonts w:ascii="Calibri" w:hAnsi="Calibri" w:cs="Calibri"/>
                <w:color w:val="000000"/>
                <w:szCs w:val="24"/>
              </w:rPr>
              <w:t xml:space="preserve"> investment in fossil fuels. </w:t>
            </w:r>
            <w:r w:rsidR="00226B59">
              <w:rPr>
                <w:rFonts w:ascii="Calibri" w:hAnsi="Calibri" w:cs="Calibri"/>
                <w:color w:val="000000"/>
                <w:szCs w:val="24"/>
              </w:rPr>
              <w:t>G</w:t>
            </w:r>
            <w:r w:rsidRPr="00061BC9">
              <w:rPr>
                <w:rFonts w:ascii="Calibri" w:hAnsi="Calibri" w:cs="Calibri"/>
                <w:color w:val="000000"/>
                <w:szCs w:val="24"/>
              </w:rPr>
              <w:t xml:space="preserve">ood progress on 5 pilots </w:t>
            </w:r>
            <w:r w:rsidR="002C2101">
              <w:rPr>
                <w:rFonts w:ascii="Calibri" w:hAnsi="Calibri" w:cs="Calibri"/>
                <w:color w:val="000000"/>
                <w:szCs w:val="24"/>
              </w:rPr>
              <w:t>with</w:t>
            </w:r>
            <w:r w:rsidR="002C2101" w:rsidRPr="00061BC9">
              <w:rPr>
                <w:rFonts w:ascii="Calibri" w:hAnsi="Calibri" w:cs="Calibri"/>
                <w:color w:val="000000"/>
                <w:szCs w:val="24"/>
              </w:rPr>
              <w:t xml:space="preserve"> </w:t>
            </w:r>
            <w:r w:rsidRPr="00061BC9">
              <w:rPr>
                <w:rFonts w:ascii="Calibri" w:hAnsi="Calibri" w:cs="Calibri"/>
                <w:color w:val="000000"/>
                <w:szCs w:val="24"/>
              </w:rPr>
              <w:t>prioritisation of investment and implementation</w:t>
            </w:r>
            <w:r w:rsidR="002C2101">
              <w:rPr>
                <w:rFonts w:ascii="Calibri" w:hAnsi="Calibri" w:cs="Calibri"/>
                <w:color w:val="000000"/>
                <w:szCs w:val="24"/>
              </w:rPr>
              <w:t xml:space="preserve"> action</w:t>
            </w:r>
            <w:r w:rsidRPr="00061BC9">
              <w:rPr>
                <w:rFonts w:ascii="Calibri" w:hAnsi="Calibri" w:cs="Calibri"/>
                <w:color w:val="000000"/>
                <w:szCs w:val="24"/>
              </w:rPr>
              <w:t>.</w:t>
            </w:r>
          </w:p>
          <w:p w14:paraId="13A25256" w14:textId="03F03D81" w:rsidR="00061BC9" w:rsidRPr="00FE1638" w:rsidRDefault="00061BC9" w:rsidP="00226B59">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p>
        </w:tc>
      </w:tr>
      <w:tr w:rsidR="009D523D" w:rsidRPr="00F550D1" w14:paraId="46323132" w14:textId="77777777" w:rsidTr="004F33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2D4FD48E" w14:textId="33C643A4" w:rsidR="009D523D" w:rsidRPr="00F550D1" w:rsidRDefault="008D1895" w:rsidP="009D523D">
            <w:pPr>
              <w:rPr>
                <w:rFonts w:ascii="Calibri" w:hAnsi="Calibri" w:cs="Calibri"/>
                <w:b w:val="0"/>
                <w:color w:val="000000"/>
                <w:szCs w:val="24"/>
              </w:rPr>
            </w:pPr>
            <w:r>
              <w:rPr>
                <w:rFonts w:ascii="Calibri" w:hAnsi="Calibri" w:cs="Calibri"/>
                <w:b w:val="0"/>
                <w:color w:val="000000"/>
                <w:szCs w:val="24"/>
              </w:rPr>
              <w:lastRenderedPageBreak/>
              <w:t xml:space="preserve">11. </w:t>
            </w:r>
            <w:r w:rsidR="009D523D" w:rsidRPr="005C611D">
              <w:rPr>
                <w:rFonts w:ascii="Calibri" w:hAnsi="Calibri" w:cs="Calibri"/>
                <w:b w:val="0"/>
                <w:color w:val="000000"/>
                <w:szCs w:val="24"/>
              </w:rPr>
              <w:t>Drive the establishment of Natural Capital as an integral part of public and private business planning and investment decisions at national, landscape and landholding/business scales</w:t>
            </w:r>
          </w:p>
        </w:tc>
        <w:tc>
          <w:tcPr>
            <w:tcW w:w="1559" w:type="dxa"/>
            <w:vAlign w:val="center"/>
          </w:tcPr>
          <w:p w14:paraId="6A9A0AE6" w14:textId="77777777" w:rsidR="009D523D" w:rsidRPr="00F550D1"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Robbie Kernahan</w:t>
            </w:r>
          </w:p>
        </w:tc>
        <w:tc>
          <w:tcPr>
            <w:tcW w:w="993" w:type="dxa"/>
            <w:shd w:val="clear" w:color="auto" w:fill="9BBB59" w:themeFill="accent3"/>
            <w:vAlign w:val="center"/>
          </w:tcPr>
          <w:p w14:paraId="32A1060D" w14:textId="326AEC50" w:rsidR="009D523D" w:rsidRPr="00F550D1"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rPr>
              <w:t>GREEN</w:t>
            </w:r>
          </w:p>
        </w:tc>
        <w:tc>
          <w:tcPr>
            <w:tcW w:w="8466" w:type="dxa"/>
            <w:vAlign w:val="center"/>
          </w:tcPr>
          <w:p w14:paraId="0226D568" w14:textId="013FE29D" w:rsidR="00061BC9" w:rsidRDefault="00775F89">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L</w:t>
            </w:r>
            <w:r w:rsidR="00061BC9" w:rsidRPr="00061BC9">
              <w:rPr>
                <w:rFonts w:ascii="Calibri" w:hAnsi="Calibri" w:cs="Calibri"/>
                <w:color w:val="000000"/>
                <w:szCs w:val="24"/>
              </w:rPr>
              <w:t xml:space="preserve">imited progress on NC portfolio due to focus on NC tool workshops and recent recruitment inductions. </w:t>
            </w:r>
          </w:p>
          <w:p w14:paraId="36AEDF86" w14:textId="1425295C" w:rsidR="00061BC9" w:rsidRDefault="00061BC9">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061BC9">
              <w:rPr>
                <w:rFonts w:ascii="Calibri" w:hAnsi="Calibri" w:cs="Calibri"/>
                <w:color w:val="000000"/>
                <w:szCs w:val="24"/>
              </w:rPr>
              <w:t xml:space="preserve">Natural capital tool development is progressing well with tool presented to teams across NatureScot to raise awareness </w:t>
            </w:r>
            <w:r w:rsidR="00964330">
              <w:rPr>
                <w:rFonts w:ascii="Calibri" w:hAnsi="Calibri" w:cs="Calibri"/>
                <w:color w:val="000000"/>
                <w:szCs w:val="24"/>
              </w:rPr>
              <w:t>of its function and application.</w:t>
            </w:r>
          </w:p>
          <w:p w14:paraId="2BD560E8" w14:textId="2D7777B2" w:rsidR="00061BC9" w:rsidRDefault="00964330">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Provided a</w:t>
            </w:r>
            <w:r w:rsidR="00061BC9" w:rsidRPr="00061BC9">
              <w:rPr>
                <w:rFonts w:ascii="Calibri" w:hAnsi="Calibri" w:cs="Calibri"/>
                <w:color w:val="000000"/>
                <w:szCs w:val="24"/>
              </w:rPr>
              <w:t>dvice and awareness raising to the HIREP Community Wealth Building Group.</w:t>
            </w:r>
          </w:p>
          <w:p w14:paraId="17F3CAD2" w14:textId="6C67BAB3" w:rsidR="00061BC9" w:rsidRDefault="00061BC9">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061BC9">
              <w:rPr>
                <w:rFonts w:ascii="Calibri" w:hAnsi="Calibri" w:cs="Calibri"/>
                <w:color w:val="000000"/>
                <w:szCs w:val="24"/>
              </w:rPr>
              <w:t>NCAI is being updated with existing indicators ready to publish in February 2025.</w:t>
            </w:r>
          </w:p>
          <w:p w14:paraId="22C67D3E" w14:textId="09EB97D4" w:rsidR="009D523D" w:rsidRDefault="00061BC9">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061BC9">
              <w:rPr>
                <w:rFonts w:ascii="Calibri" w:hAnsi="Calibri" w:cs="Calibri"/>
                <w:color w:val="000000"/>
                <w:szCs w:val="24"/>
              </w:rPr>
              <w:t>The economic valuation components of the tool are being progressed</w:t>
            </w:r>
            <w:r w:rsidR="00964330">
              <w:rPr>
                <w:rFonts w:ascii="Calibri" w:hAnsi="Calibri" w:cs="Calibri"/>
                <w:color w:val="000000"/>
                <w:szCs w:val="24"/>
              </w:rPr>
              <w:t xml:space="preserve">. Ready </w:t>
            </w:r>
            <w:r w:rsidRPr="00061BC9">
              <w:rPr>
                <w:rFonts w:ascii="Calibri" w:hAnsi="Calibri" w:cs="Calibri"/>
                <w:color w:val="000000"/>
                <w:szCs w:val="24"/>
              </w:rPr>
              <w:t>to commission University of Exeter / LEEP to contribute to the economic valuation.</w:t>
            </w:r>
          </w:p>
          <w:p w14:paraId="550CCB5C" w14:textId="1243FDE2" w:rsidR="00061BC9" w:rsidRDefault="00061BC9">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061BC9">
              <w:rPr>
                <w:rFonts w:ascii="Calibri" w:hAnsi="Calibri" w:cs="Calibri"/>
                <w:color w:val="000000"/>
                <w:szCs w:val="24"/>
              </w:rPr>
              <w:t xml:space="preserve">Engaged with SG Natural Capital Policy team and RESAS on various projects including the </w:t>
            </w:r>
            <w:r w:rsidR="00CA7ECD">
              <w:rPr>
                <w:rFonts w:ascii="Calibri" w:hAnsi="Calibri" w:cs="Calibri"/>
                <w:color w:val="000000"/>
                <w:szCs w:val="24"/>
              </w:rPr>
              <w:t>Scottish Environment Food and Agricultural Research Institution (</w:t>
            </w:r>
            <w:r w:rsidRPr="00061BC9">
              <w:rPr>
                <w:rFonts w:ascii="Calibri" w:hAnsi="Calibri" w:cs="Calibri"/>
                <w:color w:val="000000"/>
                <w:szCs w:val="24"/>
              </w:rPr>
              <w:t>SEFARI</w:t>
            </w:r>
            <w:r w:rsidR="00CA7ECD">
              <w:rPr>
                <w:rFonts w:ascii="Calibri" w:hAnsi="Calibri" w:cs="Calibri"/>
                <w:color w:val="000000"/>
                <w:szCs w:val="24"/>
              </w:rPr>
              <w:t>)</w:t>
            </w:r>
            <w:r w:rsidRPr="00061BC9">
              <w:rPr>
                <w:rFonts w:ascii="Calibri" w:hAnsi="Calibri" w:cs="Calibri"/>
                <w:color w:val="000000"/>
                <w:szCs w:val="24"/>
              </w:rPr>
              <w:t xml:space="preserve"> fellowship reviewing natural capital tools and models.</w:t>
            </w:r>
          </w:p>
          <w:p w14:paraId="32A6DB27" w14:textId="180E80CF" w:rsidR="00061BC9" w:rsidRPr="00611458" w:rsidRDefault="00061BC9" w:rsidP="0056333C">
            <w:pPr>
              <w:ind w:left="36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p>
        </w:tc>
      </w:tr>
      <w:tr w:rsidR="009D523D" w:rsidRPr="00F550D1" w14:paraId="0756AC9D" w14:textId="77777777" w:rsidTr="00F50321">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E9636B1" w14:textId="3F55BB6C" w:rsidR="009D523D" w:rsidRPr="00F550D1" w:rsidRDefault="008D1895" w:rsidP="009D523D">
            <w:pPr>
              <w:rPr>
                <w:rFonts w:ascii="Calibri" w:hAnsi="Calibri" w:cs="Calibri"/>
                <w:b w:val="0"/>
                <w:color w:val="000000"/>
                <w:szCs w:val="24"/>
              </w:rPr>
            </w:pPr>
            <w:r>
              <w:rPr>
                <w:rFonts w:ascii="Calibri" w:hAnsi="Calibri" w:cs="Calibri"/>
                <w:b w:val="0"/>
                <w:color w:val="000000"/>
                <w:szCs w:val="24"/>
              </w:rPr>
              <w:t xml:space="preserve">12. </w:t>
            </w:r>
            <w:r w:rsidR="009D523D" w:rsidRPr="00F550D1">
              <w:rPr>
                <w:rFonts w:ascii="Calibri" w:hAnsi="Calibri" w:cs="Calibri"/>
                <w:b w:val="0"/>
                <w:color w:val="000000"/>
                <w:szCs w:val="24"/>
              </w:rPr>
              <w:t>Promote understanding and awareness of skills and capacity needs for the nature-based sector</w:t>
            </w:r>
          </w:p>
        </w:tc>
        <w:tc>
          <w:tcPr>
            <w:tcW w:w="1559" w:type="dxa"/>
            <w:vAlign w:val="center"/>
          </w:tcPr>
          <w:p w14:paraId="33BCCA84" w14:textId="77777777"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Nick Halfhide</w:t>
            </w:r>
          </w:p>
        </w:tc>
        <w:tc>
          <w:tcPr>
            <w:tcW w:w="993" w:type="dxa"/>
            <w:shd w:val="clear" w:color="auto" w:fill="9BBB59" w:themeFill="accent3"/>
            <w:vAlign w:val="center"/>
          </w:tcPr>
          <w:p w14:paraId="6CB1F5DA" w14:textId="7BEBB9EB" w:rsidR="009D523D" w:rsidRPr="00F550D1" w:rsidRDefault="009D523D" w:rsidP="009D52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Pr>
                <w:rFonts w:ascii="Calibri" w:hAnsi="Calibri" w:cs="Calibri"/>
                <w:b/>
              </w:rPr>
              <w:t>GREEN</w:t>
            </w:r>
          </w:p>
        </w:tc>
        <w:tc>
          <w:tcPr>
            <w:tcW w:w="8466" w:type="dxa"/>
            <w:vAlign w:val="center"/>
          </w:tcPr>
          <w:p w14:paraId="66D05BB7" w14:textId="1FC5CFA7" w:rsidR="00F00C23" w:rsidRPr="00F00C23" w:rsidRDefault="00F00C23" w:rsidP="00F00C23">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00C23">
              <w:rPr>
                <w:rFonts w:ascii="Calibri" w:hAnsi="Calibri" w:cs="Calibri"/>
                <w:szCs w:val="24"/>
              </w:rPr>
              <w:t>Deliver</w:t>
            </w:r>
            <w:r>
              <w:rPr>
                <w:rFonts w:ascii="Calibri" w:hAnsi="Calibri" w:cs="Calibri"/>
                <w:szCs w:val="24"/>
              </w:rPr>
              <w:t>ed</w:t>
            </w:r>
            <w:r w:rsidRPr="00F00C23">
              <w:rPr>
                <w:rFonts w:ascii="Calibri" w:hAnsi="Calibri" w:cs="Calibri"/>
                <w:szCs w:val="24"/>
              </w:rPr>
              <w:t xml:space="preserve"> a range of careers events in partnership with the FE sector as part of November Careers Week.</w:t>
            </w:r>
          </w:p>
          <w:p w14:paraId="625B67AD" w14:textId="05E8FEB5" w:rsidR="00F00C23" w:rsidRPr="00F00C23" w:rsidRDefault="00F00C23" w:rsidP="00F00C23">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D</w:t>
            </w:r>
            <w:r w:rsidRPr="00F00C23">
              <w:rPr>
                <w:rFonts w:ascii="Calibri" w:hAnsi="Calibri" w:cs="Calibri"/>
                <w:szCs w:val="24"/>
              </w:rPr>
              <w:t xml:space="preserve">elivered 'Meet the Professionals' </w:t>
            </w:r>
            <w:r w:rsidR="00F06336">
              <w:rPr>
                <w:rFonts w:ascii="Calibri" w:hAnsi="Calibri" w:cs="Calibri"/>
                <w:szCs w:val="24"/>
              </w:rPr>
              <w:t>l</w:t>
            </w:r>
            <w:r w:rsidR="00F06336" w:rsidRPr="00F00C23">
              <w:rPr>
                <w:rFonts w:ascii="Calibri" w:hAnsi="Calibri" w:cs="Calibri"/>
                <w:szCs w:val="24"/>
              </w:rPr>
              <w:t xml:space="preserve">ive careers workshop </w:t>
            </w:r>
            <w:r w:rsidRPr="00F00C23">
              <w:rPr>
                <w:rFonts w:ascii="Calibri" w:hAnsi="Calibri" w:cs="Calibri"/>
                <w:szCs w:val="24"/>
              </w:rPr>
              <w:t>online session as part of Careers Week</w:t>
            </w:r>
            <w:r w:rsidR="00F06336">
              <w:rPr>
                <w:rFonts w:ascii="Calibri" w:hAnsi="Calibri" w:cs="Calibri"/>
                <w:szCs w:val="24"/>
              </w:rPr>
              <w:t xml:space="preserve"> with</w:t>
            </w:r>
            <w:r w:rsidRPr="00F00C23">
              <w:rPr>
                <w:rFonts w:ascii="Calibri" w:hAnsi="Calibri" w:cs="Calibri"/>
                <w:szCs w:val="24"/>
              </w:rPr>
              <w:t xml:space="preserve"> </w:t>
            </w:r>
            <w:r w:rsidR="0056333C">
              <w:rPr>
                <w:rFonts w:ascii="Calibri" w:hAnsi="Calibri" w:cs="Calibri"/>
                <w:szCs w:val="24"/>
              </w:rPr>
              <w:t>over</w:t>
            </w:r>
            <w:r w:rsidR="00F06336">
              <w:rPr>
                <w:rFonts w:ascii="Calibri" w:hAnsi="Calibri" w:cs="Calibri"/>
                <w:szCs w:val="24"/>
              </w:rPr>
              <w:t xml:space="preserve"> 100 </w:t>
            </w:r>
            <w:r w:rsidRPr="00F00C23">
              <w:rPr>
                <w:rFonts w:ascii="Calibri" w:hAnsi="Calibri" w:cs="Calibri"/>
                <w:szCs w:val="24"/>
              </w:rPr>
              <w:t xml:space="preserve">attendees </w:t>
            </w:r>
          </w:p>
          <w:p w14:paraId="6F3CB7E0" w14:textId="7A0A41D2" w:rsidR="00F00C23" w:rsidRPr="00F00C23" w:rsidRDefault="00F00C23" w:rsidP="00F00C23">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00C23">
              <w:rPr>
                <w:rFonts w:ascii="Calibri" w:hAnsi="Calibri" w:cs="Calibri"/>
                <w:szCs w:val="24"/>
              </w:rPr>
              <w:t>Attended 'Discover Careers' Event</w:t>
            </w:r>
            <w:r w:rsidR="00F06336">
              <w:rPr>
                <w:rFonts w:ascii="Calibri" w:hAnsi="Calibri" w:cs="Calibri"/>
                <w:szCs w:val="24"/>
              </w:rPr>
              <w:t xml:space="preserve"> at</w:t>
            </w:r>
            <w:r w:rsidRPr="00F00C23">
              <w:rPr>
                <w:rFonts w:ascii="Calibri" w:hAnsi="Calibri" w:cs="Calibri"/>
                <w:szCs w:val="24"/>
              </w:rPr>
              <w:t xml:space="preserve"> U</w:t>
            </w:r>
            <w:r w:rsidR="00F06336">
              <w:rPr>
                <w:rFonts w:ascii="Calibri" w:hAnsi="Calibri" w:cs="Calibri"/>
                <w:szCs w:val="24"/>
              </w:rPr>
              <w:t>niversity</w:t>
            </w:r>
            <w:r w:rsidRPr="00F00C23">
              <w:rPr>
                <w:rFonts w:ascii="Calibri" w:hAnsi="Calibri" w:cs="Calibri"/>
                <w:szCs w:val="24"/>
              </w:rPr>
              <w:t xml:space="preserve"> of Ed</w:t>
            </w:r>
            <w:r w:rsidR="00F06336">
              <w:rPr>
                <w:rFonts w:ascii="Calibri" w:hAnsi="Calibri" w:cs="Calibri"/>
                <w:szCs w:val="24"/>
              </w:rPr>
              <w:t>inburgh with</w:t>
            </w:r>
            <w:r w:rsidRPr="00F00C23">
              <w:rPr>
                <w:rFonts w:ascii="Calibri" w:hAnsi="Calibri" w:cs="Calibri"/>
                <w:szCs w:val="24"/>
              </w:rPr>
              <w:t xml:space="preserve"> </w:t>
            </w:r>
            <w:r w:rsidR="0056333C">
              <w:rPr>
                <w:rFonts w:ascii="Calibri" w:hAnsi="Calibri" w:cs="Calibri"/>
                <w:szCs w:val="24"/>
              </w:rPr>
              <w:t xml:space="preserve">over </w:t>
            </w:r>
            <w:r w:rsidRPr="00F00C23">
              <w:rPr>
                <w:rFonts w:ascii="Calibri" w:hAnsi="Calibri" w:cs="Calibri"/>
                <w:szCs w:val="24"/>
              </w:rPr>
              <w:t xml:space="preserve">1000 attendees </w:t>
            </w:r>
          </w:p>
          <w:p w14:paraId="182C3200" w14:textId="18174244" w:rsidR="00F00C23" w:rsidRPr="00F00C23" w:rsidRDefault="00F00C23" w:rsidP="00F00C23">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00C23">
              <w:rPr>
                <w:rFonts w:ascii="Calibri" w:hAnsi="Calibri" w:cs="Calibri"/>
                <w:szCs w:val="24"/>
              </w:rPr>
              <w:t>Attended '</w:t>
            </w:r>
            <w:proofErr w:type="spellStart"/>
            <w:r w:rsidRPr="00F00C23">
              <w:rPr>
                <w:rFonts w:ascii="Calibri" w:hAnsi="Calibri" w:cs="Calibri"/>
                <w:szCs w:val="24"/>
              </w:rPr>
              <w:t>Sliath</w:t>
            </w:r>
            <w:proofErr w:type="spellEnd"/>
            <w:r w:rsidRPr="00F00C23">
              <w:rPr>
                <w:rFonts w:ascii="Calibri" w:hAnsi="Calibri" w:cs="Calibri"/>
                <w:szCs w:val="24"/>
              </w:rPr>
              <w:t>!' (Go On) Gaelic Careers Event in Inverness</w:t>
            </w:r>
            <w:r>
              <w:rPr>
                <w:rFonts w:ascii="Calibri" w:hAnsi="Calibri" w:cs="Calibri"/>
                <w:szCs w:val="24"/>
              </w:rPr>
              <w:t>.</w:t>
            </w:r>
          </w:p>
          <w:p w14:paraId="7A1EB6C5" w14:textId="1A2747D2" w:rsidR="009D523D" w:rsidRPr="00C34985" w:rsidRDefault="00F06336" w:rsidP="00F06336">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 xml:space="preserve">In partnership with </w:t>
            </w:r>
            <w:r w:rsidR="00CA7ECD">
              <w:rPr>
                <w:rFonts w:ascii="Calibri" w:hAnsi="Calibri" w:cs="Calibri"/>
                <w:szCs w:val="24"/>
              </w:rPr>
              <w:t>Royal Botanic Gardens Edinburgh (</w:t>
            </w:r>
            <w:r>
              <w:rPr>
                <w:rFonts w:ascii="Calibri" w:hAnsi="Calibri" w:cs="Calibri"/>
                <w:szCs w:val="24"/>
              </w:rPr>
              <w:t>RBGE</w:t>
            </w:r>
            <w:r w:rsidR="00CA7ECD">
              <w:rPr>
                <w:rFonts w:ascii="Calibri" w:hAnsi="Calibri" w:cs="Calibri"/>
                <w:szCs w:val="24"/>
              </w:rPr>
              <w:t>)</w:t>
            </w:r>
            <w:r>
              <w:rPr>
                <w:rFonts w:ascii="Calibri" w:hAnsi="Calibri" w:cs="Calibri"/>
                <w:szCs w:val="24"/>
              </w:rPr>
              <w:t>, d</w:t>
            </w:r>
            <w:r w:rsidRPr="00F00C23">
              <w:rPr>
                <w:rFonts w:ascii="Calibri" w:hAnsi="Calibri" w:cs="Calibri"/>
                <w:szCs w:val="24"/>
              </w:rPr>
              <w:t xml:space="preserve">rafted a </w:t>
            </w:r>
            <w:proofErr w:type="spellStart"/>
            <w:r w:rsidRPr="00F00C23">
              <w:rPr>
                <w:rFonts w:ascii="Calibri" w:hAnsi="Calibri" w:cs="Calibri"/>
                <w:szCs w:val="24"/>
              </w:rPr>
              <w:t>MoA</w:t>
            </w:r>
            <w:proofErr w:type="spellEnd"/>
            <w:r w:rsidRPr="00F00C23">
              <w:rPr>
                <w:rFonts w:ascii="Calibri" w:hAnsi="Calibri" w:cs="Calibri"/>
                <w:szCs w:val="24"/>
              </w:rPr>
              <w:t>, learning outcomes and project proposals</w:t>
            </w:r>
            <w:r>
              <w:rPr>
                <w:rFonts w:ascii="Calibri" w:hAnsi="Calibri" w:cs="Calibri"/>
                <w:szCs w:val="24"/>
              </w:rPr>
              <w:t xml:space="preserve"> to deliver an</w:t>
            </w:r>
            <w:r w:rsidRPr="00F00C23">
              <w:rPr>
                <w:rFonts w:ascii="Calibri" w:hAnsi="Calibri" w:cs="Calibri"/>
                <w:szCs w:val="24"/>
              </w:rPr>
              <w:t xml:space="preserve"> </w:t>
            </w:r>
            <w:r w:rsidR="00F00C23" w:rsidRPr="00F00C23">
              <w:rPr>
                <w:rFonts w:ascii="Calibri" w:hAnsi="Calibri" w:cs="Calibri"/>
                <w:szCs w:val="24"/>
              </w:rPr>
              <w:t xml:space="preserve">online training package on nature-positive urban grassland </w:t>
            </w:r>
            <w:r>
              <w:rPr>
                <w:rFonts w:ascii="Calibri" w:hAnsi="Calibri" w:cs="Calibri"/>
                <w:szCs w:val="24"/>
              </w:rPr>
              <w:t>to be hosted on RBGE Training Platform and</w:t>
            </w:r>
            <w:r w:rsidR="00F00C23" w:rsidRPr="00F00C23">
              <w:rPr>
                <w:rFonts w:ascii="Calibri" w:hAnsi="Calibri" w:cs="Calibri"/>
                <w:szCs w:val="24"/>
              </w:rPr>
              <w:t xml:space="preserve"> </w:t>
            </w:r>
            <w:r>
              <w:rPr>
                <w:rFonts w:ascii="Calibri" w:hAnsi="Calibri" w:cs="Calibri"/>
                <w:szCs w:val="24"/>
              </w:rPr>
              <w:t>l</w:t>
            </w:r>
            <w:r w:rsidR="00F00C23" w:rsidRPr="00F00C23">
              <w:rPr>
                <w:rFonts w:ascii="Calibri" w:hAnsi="Calibri" w:cs="Calibri"/>
                <w:szCs w:val="24"/>
              </w:rPr>
              <w:t>aunch</w:t>
            </w:r>
            <w:r>
              <w:rPr>
                <w:rFonts w:ascii="Calibri" w:hAnsi="Calibri" w:cs="Calibri"/>
                <w:szCs w:val="24"/>
              </w:rPr>
              <w:t>ed</w:t>
            </w:r>
            <w:r w:rsidR="00F00C23" w:rsidRPr="00F00C23">
              <w:rPr>
                <w:rFonts w:ascii="Calibri" w:hAnsi="Calibri" w:cs="Calibri"/>
                <w:szCs w:val="24"/>
              </w:rPr>
              <w:t xml:space="preserve"> Q2 25/26</w:t>
            </w:r>
            <w:r w:rsidR="00F00C23">
              <w:rPr>
                <w:rFonts w:ascii="Calibri" w:hAnsi="Calibri" w:cs="Calibri"/>
                <w:szCs w:val="24"/>
              </w:rPr>
              <w:t>.</w:t>
            </w:r>
          </w:p>
        </w:tc>
      </w:tr>
    </w:tbl>
    <w:p w14:paraId="69B05F64" w14:textId="00FE55E0" w:rsidR="00336265" w:rsidRDefault="00336265">
      <w:pPr>
        <w:rPr>
          <w:rFonts w:ascii="Calibri" w:eastAsiaTheme="majorEastAsia" w:hAnsi="Calibri" w:cs="Calibri"/>
          <w:b/>
          <w:szCs w:val="26"/>
        </w:rPr>
      </w:pPr>
    </w:p>
    <w:p w14:paraId="38312866" w14:textId="77777777" w:rsidR="00336265" w:rsidRDefault="00336265">
      <w:pPr>
        <w:rPr>
          <w:rFonts w:ascii="Calibri" w:eastAsiaTheme="majorEastAsia" w:hAnsi="Calibri" w:cs="Calibri"/>
          <w:b/>
          <w:szCs w:val="26"/>
        </w:rPr>
      </w:pPr>
      <w:r>
        <w:rPr>
          <w:rFonts w:ascii="Calibri" w:eastAsiaTheme="majorEastAsia" w:hAnsi="Calibri" w:cs="Calibri"/>
          <w:b/>
          <w:szCs w:val="26"/>
        </w:rPr>
        <w:br w:type="page"/>
      </w:r>
    </w:p>
    <w:p w14:paraId="47A43126" w14:textId="77777777" w:rsidR="005A2359" w:rsidRDefault="005A2359">
      <w:pPr>
        <w:rPr>
          <w:rFonts w:ascii="Calibri" w:eastAsiaTheme="majorEastAsia" w:hAnsi="Calibri" w:cs="Calibri"/>
          <w:b/>
          <w:szCs w:val="26"/>
        </w:rPr>
      </w:pPr>
    </w:p>
    <w:p w14:paraId="6D364284" w14:textId="14D2124D" w:rsidR="008D20BE" w:rsidRPr="00F550D1" w:rsidRDefault="008D20BE" w:rsidP="00CA01CF">
      <w:pPr>
        <w:keepNext/>
        <w:keepLines/>
        <w:spacing w:before="40" w:after="0" w:line="259" w:lineRule="auto"/>
        <w:outlineLvl w:val="1"/>
        <w:rPr>
          <w:rFonts w:ascii="Calibri" w:eastAsiaTheme="majorEastAsia" w:hAnsi="Calibri" w:cs="Calibri"/>
          <w:b/>
          <w:szCs w:val="26"/>
        </w:rPr>
      </w:pP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993"/>
        <w:gridCol w:w="8646"/>
      </w:tblGrid>
      <w:tr w:rsidR="00CA01CF" w:rsidRPr="00F550D1" w14:paraId="72B53EF4" w14:textId="77777777" w:rsidTr="00CA01C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742" w:type="dxa"/>
            <w:gridSpan w:val="4"/>
            <w:shd w:val="clear" w:color="auto" w:fill="548DD4" w:themeFill="text2" w:themeFillTint="99"/>
            <w:vAlign w:val="center"/>
          </w:tcPr>
          <w:p w14:paraId="191C6E04" w14:textId="30C7359B" w:rsidR="00CA01CF" w:rsidRDefault="00CA01CF" w:rsidP="0011387D">
            <w:pPr>
              <w:jc w:val="center"/>
              <w:rPr>
                <w:rFonts w:ascii="Calibri" w:hAnsi="Calibri" w:cs="Calibri"/>
                <w:szCs w:val="26"/>
              </w:rPr>
            </w:pPr>
            <w:r>
              <w:rPr>
                <w:rFonts w:ascii="Calibri" w:hAnsi="Calibri" w:cs="Calibri"/>
                <w:szCs w:val="26"/>
              </w:rPr>
              <w:t>WE HAVE TRANSFORMED HOW WE WORK</w:t>
            </w:r>
          </w:p>
        </w:tc>
      </w:tr>
      <w:tr w:rsidR="008D20BE" w:rsidRPr="00F550D1" w14:paraId="37B02CDA" w14:textId="77777777" w:rsidTr="00CA01C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tcPr>
          <w:p w14:paraId="55A2B844" w14:textId="77777777" w:rsidR="008D20BE" w:rsidRPr="00F550D1" w:rsidRDefault="008D20BE" w:rsidP="008D20BE">
            <w:pPr>
              <w:rPr>
                <w:rFonts w:ascii="Calibri" w:hAnsi="Calibri" w:cs="Calibri"/>
                <w:szCs w:val="26"/>
              </w:rPr>
            </w:pPr>
            <w:r>
              <w:rPr>
                <w:rFonts w:ascii="Calibri" w:hAnsi="Calibri" w:cs="Calibri"/>
                <w:szCs w:val="26"/>
              </w:rPr>
              <w:t xml:space="preserve"> </w:t>
            </w:r>
            <w:r w:rsidRPr="00F550D1">
              <w:rPr>
                <w:rFonts w:ascii="Calibri" w:hAnsi="Calibri" w:cs="Calibri"/>
                <w:szCs w:val="26"/>
              </w:rPr>
              <w:t>CORPORATE PLAN OBJECTIVE</w:t>
            </w:r>
          </w:p>
        </w:tc>
        <w:tc>
          <w:tcPr>
            <w:tcW w:w="1701" w:type="dxa"/>
            <w:shd w:val="clear" w:color="auto" w:fill="auto"/>
            <w:vAlign w:val="center"/>
          </w:tcPr>
          <w:p w14:paraId="5E83DB59"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3" w:type="dxa"/>
            <w:shd w:val="clear" w:color="auto" w:fill="auto"/>
            <w:vAlign w:val="center"/>
          </w:tcPr>
          <w:p w14:paraId="0382CC96"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646" w:type="dxa"/>
            <w:shd w:val="clear" w:color="auto" w:fill="auto"/>
            <w:vAlign w:val="center"/>
          </w:tcPr>
          <w:p w14:paraId="4BEF5582" w14:textId="18D4F0E2" w:rsidR="008D20BE" w:rsidRPr="00F550D1" w:rsidRDefault="00701FAD" w:rsidP="0011387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w:t>
            </w:r>
            <w:r w:rsidR="00352305">
              <w:rPr>
                <w:rFonts w:ascii="Calibri" w:hAnsi="Calibri" w:cs="Calibri"/>
                <w:szCs w:val="26"/>
              </w:rPr>
              <w:t>3</w:t>
            </w:r>
            <w:r w:rsidR="0011387D">
              <w:rPr>
                <w:rFonts w:ascii="Calibri" w:hAnsi="Calibri" w:cs="Calibri"/>
                <w:szCs w:val="26"/>
              </w:rPr>
              <w:t xml:space="preserve"> </w:t>
            </w:r>
            <w:r w:rsidR="008D20BE" w:rsidRPr="00F550D1">
              <w:rPr>
                <w:rFonts w:ascii="Calibri" w:hAnsi="Calibri" w:cs="Calibri"/>
                <w:szCs w:val="26"/>
              </w:rPr>
              <w:t>UPDATE</w:t>
            </w:r>
          </w:p>
        </w:tc>
      </w:tr>
      <w:tr w:rsidR="009D523D" w:rsidRPr="00F550D1" w14:paraId="0CABD062" w14:textId="77777777" w:rsidTr="006979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CB56BC0" w14:textId="6EDB92DD" w:rsidR="009D523D" w:rsidRPr="00EC6C50" w:rsidRDefault="008D1895" w:rsidP="009D523D">
            <w:pPr>
              <w:rPr>
                <w:rFonts w:ascii="Calibri" w:hAnsi="Calibri" w:cs="Calibri"/>
                <w:b w:val="0"/>
                <w:color w:val="000000"/>
                <w:szCs w:val="24"/>
                <w:highlight w:val="yellow"/>
              </w:rPr>
            </w:pPr>
            <w:r>
              <w:rPr>
                <w:rFonts w:ascii="Calibri" w:hAnsi="Calibri" w:cs="Calibri"/>
                <w:b w:val="0"/>
                <w:color w:val="000000"/>
                <w:szCs w:val="24"/>
              </w:rPr>
              <w:t xml:space="preserve">13. </w:t>
            </w:r>
            <w:r w:rsidR="009D523D" w:rsidRPr="005C611D">
              <w:rPr>
                <w:rFonts w:ascii="Calibri" w:hAnsi="Calibri" w:cs="Calibri"/>
                <w:b w:val="0"/>
                <w:color w:val="000000"/>
                <w:szCs w:val="24"/>
              </w:rPr>
              <w:t>Deliver new ways of working to stimulate achievement of our ambitions</w:t>
            </w:r>
          </w:p>
        </w:tc>
        <w:tc>
          <w:tcPr>
            <w:tcW w:w="1701" w:type="dxa"/>
            <w:vAlign w:val="center"/>
          </w:tcPr>
          <w:p w14:paraId="56F3ACAB" w14:textId="77777777" w:rsidR="009D523D" w:rsidRPr="00F550D1"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9BBB59" w:themeFill="accent3"/>
            <w:vAlign w:val="center"/>
          </w:tcPr>
          <w:p w14:paraId="5D340924" w14:textId="1EAB32A3" w:rsidR="009D523D" w:rsidRPr="00F550D1"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rPr>
              <w:t>GREEN</w:t>
            </w:r>
          </w:p>
        </w:tc>
        <w:tc>
          <w:tcPr>
            <w:tcW w:w="8646" w:type="dxa"/>
            <w:vAlign w:val="center"/>
          </w:tcPr>
          <w:p w14:paraId="338AE6CE" w14:textId="744B281A" w:rsidR="0040189B" w:rsidRPr="0040189B" w:rsidRDefault="0040189B" w:rsidP="0040189B">
            <w:pPr>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40189B">
              <w:t xml:space="preserve">Estates - </w:t>
            </w:r>
            <w:r w:rsidR="0056333C">
              <w:t>Closed</w:t>
            </w:r>
            <w:r w:rsidRPr="0040189B">
              <w:t xml:space="preserve"> Clydebank office and successful move into Scottish Government building at Atlantic Quay in Glasgow. Following decision to move to Pullar House</w:t>
            </w:r>
            <w:r w:rsidR="0056333C">
              <w:t xml:space="preserve">, </w:t>
            </w:r>
            <w:r w:rsidRPr="0040189B">
              <w:t xml:space="preserve">now in discussions with Perth </w:t>
            </w:r>
            <w:r w:rsidR="00A538D3">
              <w:t>and</w:t>
            </w:r>
            <w:r w:rsidRPr="0040189B">
              <w:t xml:space="preserve"> Kinross Council and Scottish Government about the next steps.  This will inform a programme for the move out of Battleby and placing it on the market. Work underway to relocate Galashiels to </w:t>
            </w:r>
            <w:proofErr w:type="spellStart"/>
            <w:r w:rsidRPr="0040189B">
              <w:t>Tweedside</w:t>
            </w:r>
            <w:proofErr w:type="spellEnd"/>
            <w:r w:rsidRPr="0040189B">
              <w:t xml:space="preserve"> Park in mid-Feb 2</w:t>
            </w:r>
            <w:r w:rsidR="000B32A8">
              <w:t>02</w:t>
            </w:r>
            <w:r w:rsidRPr="0040189B">
              <w:t>5.</w:t>
            </w:r>
          </w:p>
          <w:p w14:paraId="099150DD" w14:textId="27D832E5" w:rsidR="0040189B" w:rsidRDefault="0040189B" w:rsidP="0040189B">
            <w:pPr>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40189B">
              <w:t>GIS Transformation Programme</w:t>
            </w:r>
            <w:r>
              <w:t xml:space="preserve"> - w</w:t>
            </w:r>
            <w:r w:rsidRPr="0040189B">
              <w:t>ork is proceeding to plan on user stories/personas. Enterprise architecture documentation now complete in readiness for the next phase of market testing.</w:t>
            </w:r>
          </w:p>
          <w:p w14:paraId="59180F95" w14:textId="6F7295F3" w:rsidR="0040189B" w:rsidRDefault="0040189B" w:rsidP="0040189B">
            <w:pPr>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40189B">
              <w:t>Information Technology Implementation Programme</w:t>
            </w:r>
            <w:r>
              <w:t xml:space="preserve"> - </w:t>
            </w:r>
            <w:r w:rsidRPr="0040189B">
              <w:t xml:space="preserve">The pilot of ‘MS Teams Premium’ launched with the Executive Office in order to explore how MS365 AI tools could reduce time spent on administrative tasks.  </w:t>
            </w:r>
            <w:r>
              <w:t>A</w:t>
            </w:r>
            <w:r w:rsidRPr="0040189B">
              <w:t xml:space="preserve"> draft ICT Strategy covering the period 2025-28 has been prepared and </w:t>
            </w:r>
            <w:r w:rsidR="00914E87">
              <w:t>will</w:t>
            </w:r>
            <w:r w:rsidRPr="0040189B">
              <w:t xml:space="preserve"> go to SLT for sign-off in Q4.</w:t>
            </w:r>
          </w:p>
          <w:p w14:paraId="7010C25B" w14:textId="77777777" w:rsidR="0040189B" w:rsidRDefault="0040189B" w:rsidP="0040189B">
            <w:pPr>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40189B">
              <w:t>Information and Cyber Security</w:t>
            </w:r>
            <w:r>
              <w:t xml:space="preserve"> - </w:t>
            </w:r>
            <w:r w:rsidRPr="0040189B">
              <w:t>Compliance with FOI/EIR responses over Q3 was 94%</w:t>
            </w:r>
            <w:r>
              <w:t xml:space="preserve">. </w:t>
            </w:r>
            <w:r w:rsidRPr="0040189B">
              <w:t>Compliance with cyber security training over Q3 was 93%</w:t>
            </w:r>
            <w:r>
              <w:t>.</w:t>
            </w:r>
          </w:p>
          <w:p w14:paraId="24F8D5C5" w14:textId="2E17E684" w:rsidR="0040189B" w:rsidRDefault="0040189B" w:rsidP="0040189B">
            <w:pPr>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40189B">
              <w:t>Digital Delivery Programme</w:t>
            </w:r>
            <w:r>
              <w:t xml:space="preserve"> - </w:t>
            </w:r>
            <w:proofErr w:type="spellStart"/>
            <w:r w:rsidRPr="0040189B">
              <w:t>EcoMI</w:t>
            </w:r>
            <w:proofErr w:type="spellEnd"/>
            <w:r w:rsidRPr="0040189B">
              <w:t xml:space="preserve"> (formally known as Informed Insight) was launched on the </w:t>
            </w:r>
            <w:r w:rsidR="0056333C" w:rsidRPr="0040189B">
              <w:t>18th of</w:t>
            </w:r>
            <w:r w:rsidRPr="0040189B">
              <w:t xml:space="preserve"> Dec helping to support work on protected areas. The new PMO was fully launched in Q3.  They are now working closely with the Digital Delivery Programme Manager on how they can support each other on the strategic overview of digital projects.</w:t>
            </w:r>
            <w:r>
              <w:t xml:space="preserve"> </w:t>
            </w:r>
            <w:r w:rsidRPr="0040189B">
              <w:t xml:space="preserve">Protected </w:t>
            </w:r>
            <w:r w:rsidR="00914E87">
              <w:t>A</w:t>
            </w:r>
            <w:r w:rsidRPr="0040189B">
              <w:t>reas site documents have been successfully migrated to the Cloud</w:t>
            </w:r>
            <w:r>
              <w:t xml:space="preserve">. </w:t>
            </w:r>
            <w:r w:rsidRPr="0040189B">
              <w:t>Work is ongoing to increase the flow of data and documents to InformedDecision in order to expand the use of the tool to more case types.</w:t>
            </w:r>
          </w:p>
          <w:p w14:paraId="0A5A63A4" w14:textId="4D3DCB5B" w:rsidR="0040189B" w:rsidRDefault="0040189B" w:rsidP="0040189B">
            <w:pPr>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40189B">
              <w:t>Communications</w:t>
            </w:r>
            <w:r>
              <w:t xml:space="preserve"> - </w:t>
            </w:r>
            <w:r w:rsidRPr="0040189B">
              <w:t xml:space="preserve">‘Helping it Happen’ awards ceremony took place in October which recognises the role of estates and rural businesses in supporting rural Scotland.  </w:t>
            </w:r>
            <w:r w:rsidR="0056333C">
              <w:t>In</w:t>
            </w:r>
            <w:r w:rsidRPr="0040189B">
              <w:t xml:space="preserve"> November </w:t>
            </w:r>
            <w:r w:rsidR="002C09F5">
              <w:t xml:space="preserve">we </w:t>
            </w:r>
            <w:r w:rsidRPr="0040189B">
              <w:t>helped sponsor the ‘Nature of Scotland’ Awards</w:t>
            </w:r>
            <w:r>
              <w:t xml:space="preserve">. </w:t>
            </w:r>
            <w:r w:rsidRPr="0040189B">
              <w:t xml:space="preserve">The </w:t>
            </w:r>
            <w:r w:rsidRPr="0040189B">
              <w:lastRenderedPageBreak/>
              <w:t xml:space="preserve">annual MSP Survey was undertaken during Q3 and </w:t>
            </w:r>
            <w:r w:rsidR="00914E87">
              <w:t xml:space="preserve">we are </w:t>
            </w:r>
            <w:r w:rsidRPr="0040189B">
              <w:t>now analysing the results.</w:t>
            </w:r>
            <w:r>
              <w:t xml:space="preserve"> </w:t>
            </w:r>
            <w:r w:rsidRPr="0040189B">
              <w:t xml:space="preserve">A successful </w:t>
            </w:r>
            <w:r w:rsidR="002C09F5">
              <w:t>s</w:t>
            </w:r>
            <w:r w:rsidRPr="0040189B">
              <w:t xml:space="preserve">taff </w:t>
            </w:r>
            <w:r w:rsidR="002C09F5">
              <w:t>c</w:t>
            </w:r>
            <w:r w:rsidRPr="0040189B">
              <w:t>onference took place in December.</w:t>
            </w:r>
            <w:r>
              <w:t xml:space="preserve"> </w:t>
            </w:r>
          </w:p>
          <w:p w14:paraId="615F6B26" w14:textId="0B97F9EB" w:rsidR="00150C7B" w:rsidRDefault="0040189B" w:rsidP="0040189B">
            <w:pPr>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40189B">
              <w:t>Finance</w:t>
            </w:r>
            <w:r>
              <w:t xml:space="preserve"> - </w:t>
            </w:r>
            <w:r w:rsidRPr="0040189B">
              <w:t xml:space="preserve">The sign-off of the Annual Report and Accounts was </w:t>
            </w:r>
            <w:r w:rsidR="00CA7ECD">
              <w:t>completed</w:t>
            </w:r>
            <w:r w:rsidRPr="0040189B">
              <w:t>.</w:t>
            </w:r>
            <w:r w:rsidR="00437B2D">
              <w:t xml:space="preserve"> </w:t>
            </w:r>
            <w:r w:rsidRPr="0040189B">
              <w:t xml:space="preserve">Paybill ‘Deep Dive’ review undertaken which included a review of FTA roles to reduce pressures on the paybill budget in </w:t>
            </w:r>
            <w:r w:rsidR="00775F89">
              <w:t xml:space="preserve">the </w:t>
            </w:r>
            <w:r w:rsidRPr="0040189B">
              <w:t>future.</w:t>
            </w:r>
          </w:p>
          <w:p w14:paraId="43F9E1A8" w14:textId="77777777" w:rsidR="007705CA" w:rsidRDefault="007705CA" w:rsidP="0040189B">
            <w:pPr>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7705CA">
              <w:t>Grant Management System – AO approval received and procurement underway for contract award in Q4. Digital Assurance Assessment confirmed for Q1 2025/26.</w:t>
            </w:r>
          </w:p>
          <w:p w14:paraId="78C730E6" w14:textId="4C9B4C93" w:rsidR="007705CA" w:rsidRPr="0040189B" w:rsidRDefault="007705CA" w:rsidP="0040189B">
            <w:pPr>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7705CA">
              <w:t>NRF round of applications assessed and results communicated to all applicants.  NRF Team now negotiating offers with most projects due to start in Apr 2</w:t>
            </w:r>
            <w:r w:rsidR="000B32A8">
              <w:t>02</w:t>
            </w:r>
            <w:r w:rsidRPr="007705CA">
              <w:t xml:space="preserve">5.    Evaluation Project draft for NRF received with feedback now being collated for preparation of final report in Jan </w:t>
            </w:r>
            <w:r w:rsidR="000B32A8">
              <w:t>20</w:t>
            </w:r>
            <w:r w:rsidRPr="007705CA">
              <w:t>25.</w:t>
            </w:r>
          </w:p>
        </w:tc>
      </w:tr>
      <w:tr w:rsidR="009D523D" w:rsidRPr="00F550D1" w14:paraId="4B9E57BD" w14:textId="77777777" w:rsidTr="0069795F">
        <w:trPr>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665F793" w14:textId="31AFA51D" w:rsidR="009D523D" w:rsidRPr="00804D5C" w:rsidRDefault="008D1895" w:rsidP="009D523D">
            <w:pPr>
              <w:rPr>
                <w:rFonts w:ascii="Calibri" w:hAnsi="Calibri" w:cs="Calibri"/>
                <w:b w:val="0"/>
                <w:color w:val="000000"/>
                <w:szCs w:val="24"/>
              </w:rPr>
            </w:pPr>
            <w:r>
              <w:rPr>
                <w:rFonts w:ascii="Calibri" w:hAnsi="Calibri" w:cs="Calibri"/>
                <w:b w:val="0"/>
                <w:color w:val="000000"/>
                <w:szCs w:val="24"/>
              </w:rPr>
              <w:lastRenderedPageBreak/>
              <w:t xml:space="preserve">14. </w:t>
            </w:r>
            <w:r w:rsidR="009D523D" w:rsidRPr="00804D5C">
              <w:rPr>
                <w:rFonts w:ascii="Calibri" w:hAnsi="Calibri" w:cs="Calibri"/>
                <w:b w:val="0"/>
                <w:color w:val="000000"/>
                <w:szCs w:val="24"/>
              </w:rPr>
              <w:t>Transform our individual and collective leadership capability</w:t>
            </w:r>
          </w:p>
        </w:tc>
        <w:tc>
          <w:tcPr>
            <w:tcW w:w="1701" w:type="dxa"/>
            <w:vAlign w:val="center"/>
          </w:tcPr>
          <w:p w14:paraId="00D7902F" w14:textId="77777777"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9BBB59" w:themeFill="accent3"/>
            <w:vAlign w:val="center"/>
          </w:tcPr>
          <w:p w14:paraId="68C2FD04" w14:textId="1D9FC1B6" w:rsidR="009D523D" w:rsidRPr="00F550D1" w:rsidRDefault="009D523D" w:rsidP="009D52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b/>
              </w:rPr>
              <w:t>GREEN</w:t>
            </w:r>
          </w:p>
        </w:tc>
        <w:tc>
          <w:tcPr>
            <w:tcW w:w="8646" w:type="dxa"/>
            <w:vAlign w:val="center"/>
          </w:tcPr>
          <w:p w14:paraId="219E379E" w14:textId="7E719A91" w:rsidR="0040189B" w:rsidRPr="0040189B" w:rsidRDefault="0040189B" w:rsidP="0040189B">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0189B">
              <w:rPr>
                <w:rFonts w:ascii="Calibri" w:hAnsi="Calibri" w:cs="Calibri"/>
                <w:szCs w:val="24"/>
              </w:rPr>
              <w:t xml:space="preserve">A </w:t>
            </w:r>
            <w:r w:rsidR="00914E87">
              <w:rPr>
                <w:rFonts w:ascii="Calibri" w:hAnsi="Calibri" w:cs="Calibri"/>
                <w:szCs w:val="24"/>
              </w:rPr>
              <w:t>T</w:t>
            </w:r>
            <w:r w:rsidRPr="0040189B">
              <w:rPr>
                <w:rFonts w:ascii="Calibri" w:hAnsi="Calibri" w:cs="Calibri"/>
                <w:szCs w:val="24"/>
              </w:rPr>
              <w:t xml:space="preserve">hree </w:t>
            </w:r>
            <w:r w:rsidR="00914E87">
              <w:rPr>
                <w:rFonts w:ascii="Calibri" w:hAnsi="Calibri" w:cs="Calibri"/>
                <w:szCs w:val="24"/>
              </w:rPr>
              <w:t>H</w:t>
            </w:r>
            <w:r w:rsidRPr="0040189B">
              <w:rPr>
                <w:rFonts w:ascii="Calibri" w:hAnsi="Calibri" w:cs="Calibri"/>
                <w:szCs w:val="24"/>
              </w:rPr>
              <w:t xml:space="preserve">orizons session took place with the cohort from the Global Leadership for Sustainable Development </w:t>
            </w:r>
            <w:r w:rsidR="00914E87">
              <w:rPr>
                <w:rFonts w:ascii="Calibri" w:hAnsi="Calibri" w:cs="Calibri"/>
                <w:szCs w:val="24"/>
              </w:rPr>
              <w:t>c</w:t>
            </w:r>
            <w:r w:rsidRPr="0040189B">
              <w:rPr>
                <w:rFonts w:ascii="Calibri" w:hAnsi="Calibri" w:cs="Calibri"/>
                <w:szCs w:val="24"/>
              </w:rPr>
              <w:t xml:space="preserve">ourse. This identified next steps in terms of widening the pool of ambassadors and champions. </w:t>
            </w:r>
            <w:r w:rsidR="00775F89">
              <w:rPr>
                <w:rFonts w:ascii="Calibri" w:hAnsi="Calibri" w:cs="Calibri"/>
                <w:szCs w:val="24"/>
              </w:rPr>
              <w:t>A</w:t>
            </w:r>
            <w:r w:rsidRPr="0040189B">
              <w:rPr>
                <w:rFonts w:ascii="Calibri" w:hAnsi="Calibri" w:cs="Calibri"/>
                <w:szCs w:val="24"/>
              </w:rPr>
              <w:t xml:space="preserve"> two-day orientation workshop is planned </w:t>
            </w:r>
            <w:r w:rsidR="00775F89">
              <w:rPr>
                <w:rFonts w:ascii="Calibri" w:hAnsi="Calibri" w:cs="Calibri"/>
                <w:szCs w:val="24"/>
              </w:rPr>
              <w:t>for</w:t>
            </w:r>
            <w:r w:rsidR="00775F89" w:rsidRPr="0040189B">
              <w:rPr>
                <w:rFonts w:ascii="Calibri" w:hAnsi="Calibri" w:cs="Calibri"/>
                <w:szCs w:val="24"/>
              </w:rPr>
              <w:t xml:space="preserve"> </w:t>
            </w:r>
            <w:r w:rsidRPr="0040189B">
              <w:rPr>
                <w:rFonts w:ascii="Calibri" w:hAnsi="Calibri" w:cs="Calibri"/>
                <w:szCs w:val="24"/>
              </w:rPr>
              <w:t>key internal stakeholders</w:t>
            </w:r>
            <w:r w:rsidR="00523A62">
              <w:rPr>
                <w:rFonts w:ascii="Calibri" w:hAnsi="Calibri" w:cs="Calibri"/>
                <w:szCs w:val="24"/>
              </w:rPr>
              <w:t xml:space="preserve"> in Q4.</w:t>
            </w:r>
            <w:r w:rsidRPr="0040189B">
              <w:rPr>
                <w:rFonts w:ascii="Calibri" w:hAnsi="Calibri" w:cs="Calibri"/>
                <w:szCs w:val="24"/>
              </w:rPr>
              <w:t xml:space="preserve"> The aim is to </w:t>
            </w:r>
            <w:r w:rsidR="00523A62">
              <w:rPr>
                <w:rFonts w:ascii="Calibri" w:hAnsi="Calibri" w:cs="Calibri"/>
                <w:szCs w:val="24"/>
              </w:rPr>
              <w:t>use</w:t>
            </w:r>
            <w:r w:rsidRPr="0040189B">
              <w:rPr>
                <w:rFonts w:ascii="Calibri" w:hAnsi="Calibri" w:cs="Calibri"/>
                <w:szCs w:val="24"/>
              </w:rPr>
              <w:t xml:space="preserve"> this as a pilot for a wider leadership programme for all leaders in 2025-26.</w:t>
            </w:r>
          </w:p>
          <w:p w14:paraId="4DC86158" w14:textId="6C90FC1F" w:rsidR="0040189B" w:rsidRPr="0040189B" w:rsidRDefault="0040189B" w:rsidP="0040189B">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0189B">
              <w:rPr>
                <w:rFonts w:ascii="Calibri" w:hAnsi="Calibri" w:cs="Calibri"/>
                <w:szCs w:val="24"/>
              </w:rPr>
              <w:t xml:space="preserve">Participation in the Sustainable Leadership Community commenced this quarter with 15 </w:t>
            </w:r>
            <w:r w:rsidR="002C09F5">
              <w:rPr>
                <w:rFonts w:ascii="Calibri" w:hAnsi="Calibri" w:cs="Calibri"/>
                <w:szCs w:val="24"/>
              </w:rPr>
              <w:t>colleagues</w:t>
            </w:r>
            <w:r w:rsidRPr="0040189B">
              <w:rPr>
                <w:rFonts w:ascii="Calibri" w:hAnsi="Calibri" w:cs="Calibri"/>
                <w:szCs w:val="24"/>
              </w:rPr>
              <w:t xml:space="preserve"> taking part.</w:t>
            </w:r>
          </w:p>
          <w:p w14:paraId="5D88291E" w14:textId="1F89D6CA" w:rsidR="009D523D" w:rsidRPr="00672199" w:rsidRDefault="0040189B" w:rsidP="0040189B">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0189B">
              <w:rPr>
                <w:rFonts w:ascii="Calibri" w:hAnsi="Calibri" w:cs="Calibri"/>
                <w:szCs w:val="24"/>
              </w:rPr>
              <w:t xml:space="preserve">Work continues with subject matter experts on the review of the Learning Framework in order to create content for the nature skills cluster.   In Q4 we will be </w:t>
            </w:r>
            <w:r w:rsidR="00523A62">
              <w:rPr>
                <w:rFonts w:ascii="Calibri" w:hAnsi="Calibri" w:cs="Calibri"/>
                <w:szCs w:val="24"/>
              </w:rPr>
              <w:t>developing</w:t>
            </w:r>
            <w:r w:rsidRPr="0040189B">
              <w:rPr>
                <w:rFonts w:ascii="Calibri" w:hAnsi="Calibri" w:cs="Calibri"/>
                <w:szCs w:val="24"/>
              </w:rPr>
              <w:t xml:space="preserve"> </w:t>
            </w:r>
            <w:r w:rsidR="00523A62">
              <w:rPr>
                <w:rFonts w:ascii="Calibri" w:hAnsi="Calibri" w:cs="Calibri"/>
                <w:szCs w:val="24"/>
              </w:rPr>
              <w:t>“</w:t>
            </w:r>
            <w:r w:rsidRPr="0040189B">
              <w:rPr>
                <w:rFonts w:ascii="Calibri" w:hAnsi="Calibri" w:cs="Calibri"/>
                <w:szCs w:val="24"/>
              </w:rPr>
              <w:t>people management</w:t>
            </w:r>
            <w:r w:rsidR="00523A62">
              <w:rPr>
                <w:rFonts w:ascii="Calibri" w:hAnsi="Calibri" w:cs="Calibri"/>
                <w:szCs w:val="24"/>
              </w:rPr>
              <w:t>” content</w:t>
            </w:r>
            <w:r w:rsidRPr="0040189B">
              <w:rPr>
                <w:rFonts w:ascii="Calibri" w:hAnsi="Calibri" w:cs="Calibri"/>
                <w:szCs w:val="24"/>
              </w:rPr>
              <w:t xml:space="preserve"> with Internal Comms</w:t>
            </w:r>
            <w:r w:rsidR="00523A62">
              <w:rPr>
                <w:rFonts w:ascii="Calibri" w:hAnsi="Calibri" w:cs="Calibri"/>
                <w:szCs w:val="24"/>
              </w:rPr>
              <w:t>.</w:t>
            </w:r>
          </w:p>
        </w:tc>
      </w:tr>
      <w:tr w:rsidR="009D523D" w:rsidRPr="00F550D1" w14:paraId="7AF6A97C" w14:textId="77777777" w:rsidTr="006979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498C075" w14:textId="471436F2" w:rsidR="009D523D" w:rsidRPr="00804D5C" w:rsidRDefault="008D1895" w:rsidP="009D523D">
            <w:pPr>
              <w:rPr>
                <w:rFonts w:ascii="Calibri" w:hAnsi="Calibri" w:cs="Calibri"/>
                <w:b w:val="0"/>
                <w:color w:val="000000"/>
                <w:szCs w:val="24"/>
              </w:rPr>
            </w:pPr>
            <w:r>
              <w:rPr>
                <w:rFonts w:ascii="Calibri" w:hAnsi="Calibri" w:cs="Calibri"/>
                <w:b w:val="0"/>
                <w:color w:val="000000"/>
                <w:szCs w:val="24"/>
              </w:rPr>
              <w:t xml:space="preserve">15. </w:t>
            </w:r>
            <w:r w:rsidR="009D523D" w:rsidRPr="00804D5C">
              <w:rPr>
                <w:rFonts w:ascii="Calibri" w:hAnsi="Calibri" w:cs="Calibri"/>
                <w:b w:val="0"/>
                <w:color w:val="000000"/>
                <w:szCs w:val="24"/>
              </w:rPr>
              <w:t>Sustain our focus on developing a happy and resilient workforce</w:t>
            </w:r>
          </w:p>
        </w:tc>
        <w:tc>
          <w:tcPr>
            <w:tcW w:w="1701" w:type="dxa"/>
            <w:vAlign w:val="center"/>
          </w:tcPr>
          <w:p w14:paraId="431C1754" w14:textId="77777777" w:rsidR="009D523D" w:rsidRPr="00F550D1"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9BBB59" w:themeFill="accent3"/>
            <w:vAlign w:val="center"/>
          </w:tcPr>
          <w:p w14:paraId="27B7CEA7" w14:textId="7B18CC6C" w:rsidR="009D523D" w:rsidRPr="00D834CC"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24"/>
              </w:rPr>
            </w:pPr>
            <w:r>
              <w:rPr>
                <w:rFonts w:ascii="Calibri" w:hAnsi="Calibri" w:cs="Calibri"/>
                <w:b/>
                <w:bCs/>
                <w:szCs w:val="24"/>
              </w:rPr>
              <w:t>GREEN</w:t>
            </w:r>
          </w:p>
        </w:tc>
        <w:tc>
          <w:tcPr>
            <w:tcW w:w="8646" w:type="dxa"/>
            <w:vAlign w:val="center"/>
          </w:tcPr>
          <w:p w14:paraId="0F3D1E15" w14:textId="19624A65" w:rsidR="0040189B" w:rsidRPr="0040189B" w:rsidRDefault="000B32A8" w:rsidP="0040189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I</w:t>
            </w:r>
            <w:r w:rsidR="0040189B" w:rsidRPr="0040189B">
              <w:rPr>
                <w:rFonts w:ascii="Calibri" w:hAnsi="Calibri" w:cs="Calibri"/>
                <w:szCs w:val="24"/>
              </w:rPr>
              <w:t xml:space="preserve">mprovements for the recruitment module of Oracle </w:t>
            </w:r>
            <w:r w:rsidR="00242C9C">
              <w:rPr>
                <w:rFonts w:ascii="Calibri" w:hAnsi="Calibri" w:cs="Calibri"/>
                <w:szCs w:val="24"/>
              </w:rPr>
              <w:t xml:space="preserve">Fusion </w:t>
            </w:r>
            <w:r w:rsidR="0040189B" w:rsidRPr="0040189B">
              <w:rPr>
                <w:rFonts w:ascii="Calibri" w:hAnsi="Calibri" w:cs="Calibri"/>
                <w:szCs w:val="24"/>
              </w:rPr>
              <w:t xml:space="preserve">will move to live in Jan </w:t>
            </w:r>
            <w:r>
              <w:rPr>
                <w:rFonts w:ascii="Calibri" w:hAnsi="Calibri" w:cs="Calibri"/>
                <w:szCs w:val="24"/>
              </w:rPr>
              <w:t>20</w:t>
            </w:r>
            <w:r w:rsidR="0040189B" w:rsidRPr="0040189B">
              <w:rPr>
                <w:rFonts w:ascii="Calibri" w:hAnsi="Calibri" w:cs="Calibri"/>
                <w:szCs w:val="24"/>
              </w:rPr>
              <w:t xml:space="preserve">25. The focus is now on the learning </w:t>
            </w:r>
            <w:r w:rsidR="00A538D3">
              <w:rPr>
                <w:rFonts w:ascii="Calibri" w:hAnsi="Calibri" w:cs="Calibri"/>
                <w:szCs w:val="24"/>
              </w:rPr>
              <w:t>and</w:t>
            </w:r>
            <w:r w:rsidR="0040189B" w:rsidRPr="0040189B">
              <w:rPr>
                <w:rFonts w:ascii="Calibri" w:hAnsi="Calibri" w:cs="Calibri"/>
                <w:szCs w:val="24"/>
              </w:rPr>
              <w:t xml:space="preserve"> development module with work commencing in Q4</w:t>
            </w:r>
            <w:r w:rsidR="00242C9C">
              <w:rPr>
                <w:rFonts w:ascii="Calibri" w:hAnsi="Calibri" w:cs="Calibri"/>
                <w:szCs w:val="24"/>
              </w:rPr>
              <w:t xml:space="preserve"> under the Fusion Optimise programme</w:t>
            </w:r>
            <w:r w:rsidR="0040189B" w:rsidRPr="0040189B">
              <w:rPr>
                <w:rFonts w:ascii="Calibri" w:hAnsi="Calibri" w:cs="Calibri"/>
                <w:szCs w:val="24"/>
              </w:rPr>
              <w:t>.</w:t>
            </w:r>
          </w:p>
          <w:p w14:paraId="40ACF1AE" w14:textId="48AA2C51" w:rsidR="0040189B" w:rsidRPr="0040189B" w:rsidRDefault="0040189B" w:rsidP="0040189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0189B">
              <w:rPr>
                <w:rFonts w:ascii="Calibri" w:hAnsi="Calibri" w:cs="Calibri"/>
                <w:szCs w:val="24"/>
              </w:rPr>
              <w:t xml:space="preserve">The People Programme Board has supported the use of the HSE Stress Indicator Tool with </w:t>
            </w:r>
            <w:r w:rsidR="00523A62">
              <w:rPr>
                <w:rFonts w:ascii="Calibri" w:hAnsi="Calibri" w:cs="Calibri"/>
                <w:szCs w:val="24"/>
              </w:rPr>
              <w:t xml:space="preserve">a </w:t>
            </w:r>
            <w:r w:rsidRPr="0040189B">
              <w:rPr>
                <w:rFonts w:ascii="Calibri" w:hAnsi="Calibri" w:cs="Calibri"/>
                <w:szCs w:val="24"/>
              </w:rPr>
              <w:t xml:space="preserve">Home and Hybrid Working </w:t>
            </w:r>
            <w:r w:rsidR="00523A62">
              <w:rPr>
                <w:rFonts w:ascii="Calibri" w:hAnsi="Calibri" w:cs="Calibri"/>
                <w:szCs w:val="24"/>
              </w:rPr>
              <w:t>a</w:t>
            </w:r>
            <w:r w:rsidRPr="0040189B">
              <w:rPr>
                <w:rFonts w:ascii="Calibri" w:hAnsi="Calibri" w:cs="Calibri"/>
                <w:szCs w:val="24"/>
              </w:rPr>
              <w:t xml:space="preserve">dd-on.  This will be rolled out </w:t>
            </w:r>
            <w:r w:rsidR="00775F89">
              <w:rPr>
                <w:rFonts w:ascii="Calibri" w:hAnsi="Calibri" w:cs="Calibri"/>
                <w:szCs w:val="24"/>
              </w:rPr>
              <w:t>in</w:t>
            </w:r>
            <w:r w:rsidRPr="0040189B">
              <w:rPr>
                <w:rFonts w:ascii="Calibri" w:hAnsi="Calibri" w:cs="Calibri"/>
                <w:szCs w:val="24"/>
              </w:rPr>
              <w:t xml:space="preserve"> Jan </w:t>
            </w:r>
            <w:r w:rsidR="000B32A8">
              <w:rPr>
                <w:rFonts w:ascii="Calibri" w:hAnsi="Calibri" w:cs="Calibri"/>
                <w:szCs w:val="24"/>
              </w:rPr>
              <w:t>20</w:t>
            </w:r>
            <w:r w:rsidRPr="0040189B">
              <w:rPr>
                <w:rFonts w:ascii="Calibri" w:hAnsi="Calibri" w:cs="Calibri"/>
                <w:szCs w:val="24"/>
              </w:rPr>
              <w:t xml:space="preserve">25, with </w:t>
            </w:r>
            <w:r w:rsidR="00775F89">
              <w:rPr>
                <w:rFonts w:ascii="Calibri" w:hAnsi="Calibri" w:cs="Calibri"/>
                <w:szCs w:val="24"/>
              </w:rPr>
              <w:t xml:space="preserve">a </w:t>
            </w:r>
            <w:r w:rsidRPr="0040189B">
              <w:rPr>
                <w:rFonts w:ascii="Calibri" w:hAnsi="Calibri" w:cs="Calibri"/>
                <w:szCs w:val="24"/>
              </w:rPr>
              <w:t>review</w:t>
            </w:r>
            <w:r w:rsidR="00775F89">
              <w:rPr>
                <w:rFonts w:ascii="Calibri" w:hAnsi="Calibri" w:cs="Calibri"/>
                <w:szCs w:val="24"/>
              </w:rPr>
              <w:t xml:space="preserve"> of</w:t>
            </w:r>
            <w:r w:rsidRPr="0040189B">
              <w:rPr>
                <w:rFonts w:ascii="Calibri" w:hAnsi="Calibri" w:cs="Calibri"/>
                <w:szCs w:val="24"/>
              </w:rPr>
              <w:t xml:space="preserve"> the results in Mar </w:t>
            </w:r>
            <w:r w:rsidR="000B32A8">
              <w:rPr>
                <w:rFonts w:ascii="Calibri" w:hAnsi="Calibri" w:cs="Calibri"/>
                <w:szCs w:val="24"/>
              </w:rPr>
              <w:t>20</w:t>
            </w:r>
            <w:r w:rsidRPr="0040189B">
              <w:rPr>
                <w:rFonts w:ascii="Calibri" w:hAnsi="Calibri" w:cs="Calibri"/>
                <w:szCs w:val="24"/>
              </w:rPr>
              <w:t>25, to help identify any local or corporate actions to improve the management of stress.</w:t>
            </w:r>
          </w:p>
          <w:p w14:paraId="05AC642A" w14:textId="3534FBB9" w:rsidR="0040189B" w:rsidRPr="0040189B" w:rsidRDefault="0040189B" w:rsidP="0040189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0189B">
              <w:rPr>
                <w:rFonts w:ascii="Calibri" w:hAnsi="Calibri" w:cs="Calibri"/>
                <w:szCs w:val="24"/>
              </w:rPr>
              <w:lastRenderedPageBreak/>
              <w:t>Career Conversation training for all is now being rolled out across the organisation.</w:t>
            </w:r>
          </w:p>
          <w:p w14:paraId="33D7DAEE" w14:textId="4616C3A6" w:rsidR="009D523D" w:rsidRPr="00006B61" w:rsidRDefault="0040189B" w:rsidP="0040189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0189B">
              <w:rPr>
                <w:rFonts w:ascii="Calibri" w:hAnsi="Calibri" w:cs="Calibri"/>
                <w:szCs w:val="24"/>
              </w:rPr>
              <w:t xml:space="preserve">The </w:t>
            </w:r>
            <w:r w:rsidR="00914E87">
              <w:rPr>
                <w:rFonts w:ascii="Calibri" w:hAnsi="Calibri" w:cs="Calibri"/>
                <w:szCs w:val="24"/>
              </w:rPr>
              <w:t>M</w:t>
            </w:r>
            <w:r w:rsidRPr="0040189B">
              <w:rPr>
                <w:rFonts w:ascii="Calibri" w:hAnsi="Calibri" w:cs="Calibri"/>
                <w:szCs w:val="24"/>
              </w:rPr>
              <w:t>axi pulse survey went live in December which had a focus on benchmarking key index questions.</w:t>
            </w:r>
          </w:p>
        </w:tc>
      </w:tr>
    </w:tbl>
    <w:p w14:paraId="6A5B76C3" w14:textId="556F3CF9" w:rsidR="007B1B9E" w:rsidRDefault="00567986" w:rsidP="00E63257">
      <w:pPr>
        <w:rPr>
          <w:rFonts w:ascii="Calibri" w:hAnsi="Calibri" w:cs="Calibri"/>
          <w:color w:val="007DC3"/>
        </w:rPr>
      </w:pPr>
      <w:r>
        <w:rPr>
          <w:rFonts w:ascii="Calibri" w:hAnsi="Calibri" w:cs="Calibri"/>
          <w:color w:val="007DC3"/>
        </w:rPr>
        <w:lastRenderedPageBreak/>
        <w:br w:type="page"/>
      </w:r>
    </w:p>
    <w:p w14:paraId="53AB051D" w14:textId="77777777" w:rsidR="004A12AF" w:rsidRDefault="008D20BE" w:rsidP="004A12AF">
      <w:pPr>
        <w:pStyle w:val="Heading1"/>
        <w:spacing w:before="0"/>
        <w:rPr>
          <w:rFonts w:ascii="Calibri" w:hAnsi="Calibri" w:cs="Calibri"/>
          <w:sz w:val="16"/>
          <w:szCs w:val="16"/>
        </w:rPr>
      </w:pPr>
      <w:r w:rsidRPr="009A7A96">
        <w:rPr>
          <w:rFonts w:ascii="Calibri" w:eastAsiaTheme="minorHAnsi" w:hAnsi="Calibri" w:cs="Calibri"/>
          <w:color w:val="007DC3"/>
          <w:szCs w:val="22"/>
        </w:rPr>
        <w:lastRenderedPageBreak/>
        <w:t>PERFORMANCE DASHBOARD</w:t>
      </w:r>
      <w:r>
        <w:rPr>
          <w:rFonts w:ascii="Calibri" w:eastAsiaTheme="minorHAnsi" w:hAnsi="Calibri" w:cs="Calibri"/>
          <w:color w:val="007DC3"/>
          <w:szCs w:val="22"/>
        </w:rPr>
        <w:t xml:space="preserve"> </w:t>
      </w:r>
      <w:r w:rsidR="004A12AF" w:rsidRPr="00B80F36">
        <w:rPr>
          <w:rFonts w:ascii="Calibri" w:hAnsi="Calibri" w:cs="Calibri"/>
          <w:sz w:val="16"/>
          <w:szCs w:val="16"/>
        </w:rPr>
        <w:t xml:space="preserve">For more information please click on the measure title that will take you to the source data. </w:t>
      </w:r>
    </w:p>
    <w:p w14:paraId="66C5E5B5" w14:textId="6AAC2571" w:rsidR="004A12AF" w:rsidRPr="004A12AF" w:rsidRDefault="004A12AF" w:rsidP="004A12AF">
      <w:pPr>
        <w:pStyle w:val="Heading2"/>
        <w:shd w:val="clear" w:color="auto" w:fill="007DC3"/>
        <w:jc w:val="center"/>
        <w:rPr>
          <w:rFonts w:ascii="Calibri" w:hAnsi="Calibri" w:cs="Calibri"/>
          <w:szCs w:val="28"/>
        </w:rPr>
      </w:pPr>
      <w:bookmarkStart w:id="2" w:name="_Hlk172031155"/>
      <w:r w:rsidRPr="00B80F36">
        <w:rPr>
          <w:rFonts w:ascii="Calibri" w:hAnsi="Calibri" w:cs="Calibri"/>
          <w:szCs w:val="28"/>
        </w:rPr>
        <w:t>WE HAVE PROTECTED NATURE</w:t>
      </w:r>
      <w:bookmarkEnd w:id="2"/>
    </w:p>
    <w:tbl>
      <w:tblPr>
        <w:tblW w:w="15595" w:type="dxa"/>
        <w:jc w:val="center"/>
        <w:tblLayout w:type="fixed"/>
        <w:tblLook w:val="04A0" w:firstRow="1" w:lastRow="0" w:firstColumn="1" w:lastColumn="0" w:noHBand="0" w:noVBand="1"/>
      </w:tblPr>
      <w:tblGrid>
        <w:gridCol w:w="2412"/>
        <w:gridCol w:w="2977"/>
        <w:gridCol w:w="1274"/>
        <w:gridCol w:w="4777"/>
        <w:gridCol w:w="48"/>
        <w:gridCol w:w="4107"/>
      </w:tblGrid>
      <w:tr w:rsidR="004A12AF" w:rsidRPr="00330547" w14:paraId="74286EBF" w14:textId="77777777" w:rsidTr="00B31D44">
        <w:trPr>
          <w:cantSplit/>
          <w:trHeight w:val="142"/>
          <w:tblHeader/>
          <w:jc w:val="center"/>
        </w:trPr>
        <w:tc>
          <w:tcPr>
            <w:tcW w:w="2412" w:type="dxa"/>
            <w:tcBorders>
              <w:bottom w:val="single" w:sz="4" w:space="0" w:color="548DD4" w:themeColor="text2" w:themeTint="99"/>
            </w:tcBorders>
          </w:tcPr>
          <w:p w14:paraId="5FA4A274" w14:textId="77777777" w:rsidR="004A12AF" w:rsidRPr="00330547" w:rsidRDefault="004A12AF" w:rsidP="00B31D44">
            <w:pPr>
              <w:spacing w:after="0"/>
              <w:rPr>
                <w:rFonts w:ascii="Calibri" w:hAnsi="Calibri" w:cs="Calibri"/>
                <w:b/>
              </w:rPr>
            </w:pPr>
            <w:r w:rsidRPr="00330547">
              <w:rPr>
                <w:rFonts w:ascii="Calibri" w:hAnsi="Calibri" w:cs="Calibri"/>
                <w:b/>
              </w:rPr>
              <w:lastRenderedPageBreak/>
              <w:t>Measure</w:t>
            </w:r>
          </w:p>
        </w:tc>
        <w:tc>
          <w:tcPr>
            <w:tcW w:w="2977" w:type="dxa"/>
            <w:tcBorders>
              <w:bottom w:val="single" w:sz="4" w:space="0" w:color="548DD4" w:themeColor="text2" w:themeTint="99"/>
            </w:tcBorders>
          </w:tcPr>
          <w:p w14:paraId="49F915D4" w14:textId="77777777" w:rsidR="004A12AF" w:rsidRPr="00330547" w:rsidRDefault="004A12AF" w:rsidP="009620E9">
            <w:pPr>
              <w:spacing w:after="0"/>
              <w:jc w:val="center"/>
              <w:rPr>
                <w:rFonts w:ascii="Calibri" w:hAnsi="Calibri" w:cs="Calibri"/>
                <w:b/>
              </w:rPr>
            </w:pPr>
            <w:r w:rsidRPr="00330547">
              <w:rPr>
                <w:rFonts w:ascii="Calibri" w:hAnsi="Calibri" w:cs="Calibri"/>
                <w:b/>
              </w:rPr>
              <w:t>Performance Overview</w:t>
            </w:r>
          </w:p>
        </w:tc>
        <w:tc>
          <w:tcPr>
            <w:tcW w:w="1274" w:type="dxa"/>
            <w:tcBorders>
              <w:bottom w:val="single" w:sz="4" w:space="0" w:color="548DD4" w:themeColor="text2" w:themeTint="99"/>
            </w:tcBorders>
          </w:tcPr>
          <w:p w14:paraId="73C7501C" w14:textId="77777777" w:rsidR="004A12AF" w:rsidRPr="005265DA" w:rsidRDefault="004A12AF" w:rsidP="009620E9">
            <w:pPr>
              <w:spacing w:after="0"/>
              <w:jc w:val="center"/>
              <w:rPr>
                <w:rFonts w:ascii="Calibri" w:hAnsi="Calibri" w:cs="Calibri"/>
                <w:b/>
              </w:rPr>
            </w:pPr>
            <w:r w:rsidRPr="005265DA">
              <w:rPr>
                <w:rFonts w:ascii="Calibri" w:hAnsi="Calibri" w:cs="Calibri"/>
                <w:b/>
              </w:rPr>
              <w:t>Actual</w:t>
            </w:r>
          </w:p>
        </w:tc>
        <w:tc>
          <w:tcPr>
            <w:tcW w:w="4825" w:type="dxa"/>
            <w:gridSpan w:val="2"/>
            <w:tcBorders>
              <w:bottom w:val="single" w:sz="4" w:space="0" w:color="548DD4" w:themeColor="text2" w:themeTint="99"/>
            </w:tcBorders>
          </w:tcPr>
          <w:p w14:paraId="40594A2B" w14:textId="77777777" w:rsidR="004A12AF" w:rsidRPr="00330547" w:rsidRDefault="004A12AF" w:rsidP="009620E9">
            <w:pPr>
              <w:spacing w:after="0"/>
              <w:jc w:val="center"/>
              <w:rPr>
                <w:rFonts w:ascii="Calibri" w:hAnsi="Calibri" w:cs="Calibri"/>
                <w:b/>
              </w:rPr>
            </w:pPr>
            <w:r w:rsidRPr="00330547">
              <w:rPr>
                <w:rFonts w:ascii="Calibri" w:hAnsi="Calibri" w:cs="Calibri"/>
                <w:b/>
              </w:rPr>
              <w:t>Cause</w:t>
            </w:r>
          </w:p>
        </w:tc>
        <w:tc>
          <w:tcPr>
            <w:tcW w:w="4107" w:type="dxa"/>
            <w:tcBorders>
              <w:bottom w:val="single" w:sz="4" w:space="0" w:color="548DD4" w:themeColor="text2" w:themeTint="99"/>
            </w:tcBorders>
          </w:tcPr>
          <w:p w14:paraId="3C7F212C" w14:textId="77777777" w:rsidR="004A12AF" w:rsidRPr="00330547" w:rsidRDefault="004A12AF" w:rsidP="009620E9">
            <w:pPr>
              <w:spacing w:after="0"/>
              <w:jc w:val="center"/>
              <w:rPr>
                <w:rFonts w:ascii="Calibri" w:hAnsi="Calibri" w:cs="Calibri"/>
                <w:b/>
              </w:rPr>
            </w:pPr>
            <w:r w:rsidRPr="00330547">
              <w:rPr>
                <w:rFonts w:ascii="Calibri" w:hAnsi="Calibri" w:cs="Calibri"/>
                <w:b/>
              </w:rPr>
              <w:t>Response</w:t>
            </w:r>
          </w:p>
        </w:tc>
      </w:tr>
      <w:tr w:rsidR="004A12AF" w:rsidRPr="00EB67B1" w14:paraId="0D4AF7B4" w14:textId="77777777" w:rsidTr="003F7E4C">
        <w:trPr>
          <w:trHeight w:val="1933"/>
          <w:tblHeader/>
          <w:jc w:val="center"/>
        </w:trPr>
        <w:tc>
          <w:tcPr>
            <w:tcW w:w="2412" w:type="dxa"/>
            <w:tcBorders>
              <w:bottom w:val="single" w:sz="4" w:space="0" w:color="548DD4" w:themeColor="text2" w:themeTint="99"/>
            </w:tcBorders>
            <w:vAlign w:val="center"/>
          </w:tcPr>
          <w:p w14:paraId="4E2D8674" w14:textId="497DBCB0" w:rsidR="004A12AF" w:rsidRPr="00EB67B1" w:rsidRDefault="004A12AF" w:rsidP="00B31D44">
            <w:pPr>
              <w:spacing w:after="0"/>
              <w:ind w:right="340"/>
              <w:rPr>
                <w:rFonts w:cstheme="minorHAnsi"/>
                <w:b/>
                <w:sz w:val="18"/>
                <w:szCs w:val="18"/>
                <w:highlight w:val="yellow"/>
              </w:rPr>
            </w:pPr>
            <w:hyperlink r:id="rId12" w:history="1">
              <w:r w:rsidRPr="00EB67B1">
                <w:rPr>
                  <w:rStyle w:val="Hyperlink"/>
                  <w:rFonts w:cstheme="minorHAnsi"/>
                  <w:b/>
                  <w:iCs/>
                  <w:color w:val="808080" w:themeColor="background1" w:themeShade="80"/>
                  <w:sz w:val="18"/>
                  <w:szCs w:val="18"/>
                </w:rPr>
                <w:t>Stakeholder interest in MPA Information</w:t>
              </w:r>
            </w:hyperlink>
            <w:r w:rsidRPr="00EB67B1">
              <w:rPr>
                <w:rStyle w:val="Hyperlink"/>
                <w:rFonts w:cstheme="minorHAnsi"/>
                <w:b/>
                <w:iCs/>
                <w:color w:val="808080" w:themeColor="background1" w:themeShade="80"/>
                <w:sz w:val="18"/>
                <w:szCs w:val="18"/>
              </w:rPr>
              <w:t xml:space="preserve"> (hits on webpages)</w:t>
            </w:r>
          </w:p>
        </w:tc>
        <w:tc>
          <w:tcPr>
            <w:tcW w:w="2977" w:type="dxa"/>
            <w:tcBorders>
              <w:bottom w:val="single" w:sz="4" w:space="0" w:color="548DD4" w:themeColor="text2" w:themeTint="99"/>
            </w:tcBorders>
            <w:vAlign w:val="center"/>
          </w:tcPr>
          <w:p w14:paraId="438BEDBA" w14:textId="4F2A4379" w:rsidR="004A12AF" w:rsidRPr="00EB67B1" w:rsidRDefault="003F7E4C" w:rsidP="00892667">
            <w:pPr>
              <w:spacing w:after="0"/>
              <w:ind w:right="340"/>
              <w:jc w:val="center"/>
              <w:rPr>
                <w:rFonts w:ascii="Calibri" w:hAnsi="Calibri" w:cs="Calibri"/>
                <w:color w:val="808080" w:themeColor="background1" w:themeShade="80"/>
                <w:sz w:val="18"/>
                <w:szCs w:val="18"/>
              </w:rPr>
            </w:pPr>
            <w:r>
              <w:rPr>
                <w:rFonts w:ascii="Calibri" w:hAnsi="Calibri" w:cs="Calibri"/>
                <w:noProof/>
                <w:color w:val="808080" w:themeColor="background1" w:themeShade="80"/>
                <w:sz w:val="18"/>
                <w:szCs w:val="18"/>
              </w:rPr>
              <w:drawing>
                <wp:inline distT="0" distB="0" distL="0" distR="0" wp14:anchorId="3E627788" wp14:editId="6563B048">
                  <wp:extent cx="1778573" cy="771525"/>
                  <wp:effectExtent l="0" t="0" r="0" b="0"/>
                  <wp:docPr id="527950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5456" cy="774511"/>
                          </a:xfrm>
                          <a:prstGeom prst="rect">
                            <a:avLst/>
                          </a:prstGeom>
                          <a:noFill/>
                        </pic:spPr>
                      </pic:pic>
                    </a:graphicData>
                  </a:graphic>
                </wp:inline>
              </w:drawing>
            </w:r>
          </w:p>
        </w:tc>
        <w:tc>
          <w:tcPr>
            <w:tcW w:w="1274" w:type="dxa"/>
            <w:tcBorders>
              <w:bottom w:val="single" w:sz="4" w:space="0" w:color="548DD4" w:themeColor="text2" w:themeTint="99"/>
            </w:tcBorders>
            <w:vAlign w:val="center"/>
          </w:tcPr>
          <w:p w14:paraId="6A2BCD63" w14:textId="4BED90BB" w:rsidR="004A12AF" w:rsidRPr="003F7E4C" w:rsidRDefault="003F7E4C" w:rsidP="008539EE">
            <w:pPr>
              <w:spacing w:after="0"/>
              <w:ind w:right="340"/>
              <w:jc w:val="center"/>
              <w:rPr>
                <w:rFonts w:ascii="Calibri" w:hAnsi="Calibri" w:cs="Calibri"/>
                <w:color w:val="808080" w:themeColor="background1" w:themeShade="80"/>
                <w:sz w:val="14"/>
                <w:szCs w:val="14"/>
              </w:rPr>
            </w:pPr>
            <w:r w:rsidRPr="003F7E4C">
              <w:rPr>
                <w:rFonts w:ascii="Calibri" w:hAnsi="Calibri" w:cs="Calibri"/>
                <w:color w:val="808080" w:themeColor="background1" w:themeShade="80"/>
                <w:sz w:val="14"/>
                <w:szCs w:val="14"/>
              </w:rPr>
              <w:t>188</w:t>
            </w:r>
          </w:p>
        </w:tc>
        <w:tc>
          <w:tcPr>
            <w:tcW w:w="4825" w:type="dxa"/>
            <w:gridSpan w:val="2"/>
            <w:tcBorders>
              <w:bottom w:val="single" w:sz="4" w:space="0" w:color="548DD4" w:themeColor="text2" w:themeTint="99"/>
            </w:tcBorders>
          </w:tcPr>
          <w:p w14:paraId="397D8FA4" w14:textId="5456F346" w:rsidR="004A12AF" w:rsidRPr="003F7E4C" w:rsidRDefault="003F7E4C" w:rsidP="003F7E4C">
            <w:pPr>
              <w:tabs>
                <w:tab w:val="left" w:pos="1095"/>
              </w:tabs>
              <w:rPr>
                <w:rFonts w:ascii="Calibri" w:hAnsi="Calibri" w:cs="Calibri"/>
                <w:color w:val="808080" w:themeColor="background1" w:themeShade="80"/>
                <w:sz w:val="14"/>
                <w:szCs w:val="14"/>
              </w:rPr>
            </w:pPr>
            <w:r w:rsidRPr="003F7E4C">
              <w:rPr>
                <w:rFonts w:ascii="Calibri" w:hAnsi="Calibri" w:cs="Calibri"/>
                <w:color w:val="808080" w:themeColor="background1" w:themeShade="80"/>
                <w:sz w:val="14"/>
                <w:szCs w:val="14"/>
              </w:rPr>
              <w:t xml:space="preserve">Despite expectations that we would see numbers rising again after the issues reported last Quarter, this has not been the case. In contrast numbers </w:t>
            </w:r>
            <w:r w:rsidR="00523A62">
              <w:rPr>
                <w:rFonts w:ascii="Calibri" w:hAnsi="Calibri" w:cs="Calibri"/>
                <w:color w:val="808080" w:themeColor="background1" w:themeShade="80"/>
                <w:sz w:val="14"/>
                <w:szCs w:val="14"/>
              </w:rPr>
              <w:t>continue to decline but the</w:t>
            </w:r>
            <w:r w:rsidRPr="003F7E4C">
              <w:rPr>
                <w:rFonts w:ascii="Calibri" w:hAnsi="Calibri" w:cs="Calibri"/>
                <w:color w:val="808080" w:themeColor="background1" w:themeShade="80"/>
                <w:sz w:val="14"/>
                <w:szCs w:val="14"/>
              </w:rPr>
              <w:t xml:space="preserve"> numbers are unreliable and do not accurately reflect the number of visitors to the pages. </w:t>
            </w:r>
          </w:p>
        </w:tc>
        <w:tc>
          <w:tcPr>
            <w:tcW w:w="4107" w:type="dxa"/>
            <w:tcBorders>
              <w:bottom w:val="single" w:sz="4" w:space="0" w:color="548DD4" w:themeColor="text2" w:themeTint="99"/>
            </w:tcBorders>
          </w:tcPr>
          <w:p w14:paraId="20FC6211" w14:textId="38ECD13A" w:rsidR="003F7E4C" w:rsidRPr="003F7E4C" w:rsidRDefault="003F7E4C" w:rsidP="003F7E4C">
            <w:pPr>
              <w:rPr>
                <w:rFonts w:ascii="Calibri" w:hAnsi="Calibri" w:cs="Calibri"/>
                <w:color w:val="808080" w:themeColor="background1" w:themeShade="80"/>
                <w:sz w:val="14"/>
                <w:szCs w:val="14"/>
              </w:rPr>
            </w:pPr>
            <w:r w:rsidRPr="003F7E4C">
              <w:rPr>
                <w:rFonts w:ascii="Calibri" w:hAnsi="Calibri" w:cs="Calibri"/>
                <w:color w:val="808080" w:themeColor="background1" w:themeShade="80"/>
                <w:sz w:val="14"/>
                <w:szCs w:val="14"/>
              </w:rPr>
              <w:t xml:space="preserve">Next Quarter work </w:t>
            </w:r>
            <w:r w:rsidR="00523A62">
              <w:rPr>
                <w:rFonts w:ascii="Calibri" w:hAnsi="Calibri" w:cs="Calibri"/>
                <w:color w:val="808080" w:themeColor="background1" w:themeShade="80"/>
                <w:sz w:val="14"/>
                <w:szCs w:val="14"/>
              </w:rPr>
              <w:t xml:space="preserve">will begin </w:t>
            </w:r>
            <w:r w:rsidRPr="003F7E4C">
              <w:rPr>
                <w:rFonts w:ascii="Calibri" w:hAnsi="Calibri" w:cs="Calibri"/>
                <w:color w:val="808080" w:themeColor="background1" w:themeShade="80"/>
                <w:sz w:val="14"/>
                <w:szCs w:val="14"/>
              </w:rPr>
              <w:t xml:space="preserve">on transforming the Enhancing Protection page into our page for the MPA/PMF fisheries management measures consultation. </w:t>
            </w:r>
            <w:r w:rsidR="00523A62">
              <w:rPr>
                <w:rFonts w:ascii="Calibri" w:hAnsi="Calibri" w:cs="Calibri"/>
                <w:color w:val="808080" w:themeColor="background1" w:themeShade="80"/>
                <w:sz w:val="14"/>
                <w:szCs w:val="14"/>
              </w:rPr>
              <w:t>Metrics will be reviewed with P and PM team</w:t>
            </w:r>
            <w:r w:rsidRPr="003F7E4C">
              <w:rPr>
                <w:rFonts w:ascii="Calibri" w:hAnsi="Calibri" w:cs="Calibri"/>
                <w:color w:val="808080" w:themeColor="background1" w:themeShade="80"/>
                <w:sz w:val="14"/>
                <w:szCs w:val="14"/>
              </w:rPr>
              <w:t>. Hopefully next quarter the Google Stats cookies issues will have started to resolve.</w:t>
            </w:r>
          </w:p>
        </w:tc>
      </w:tr>
      <w:tr w:rsidR="00B31D44" w:rsidRPr="00EB67B1" w14:paraId="12B86A43" w14:textId="77777777" w:rsidTr="003850CA">
        <w:trPr>
          <w:cantSplit/>
          <w:trHeight w:val="1835"/>
          <w:tblHeader/>
          <w:jc w:val="center"/>
        </w:trPr>
        <w:tc>
          <w:tcPr>
            <w:tcW w:w="2412" w:type="dxa"/>
            <w:tcBorders>
              <w:bottom w:val="single" w:sz="4" w:space="0" w:color="548DD4" w:themeColor="text2" w:themeTint="99"/>
            </w:tcBorders>
            <w:vAlign w:val="center"/>
          </w:tcPr>
          <w:p w14:paraId="03913DD9" w14:textId="474B1F7A" w:rsidR="004A12AF" w:rsidRPr="00EB67B1" w:rsidRDefault="004A12AF" w:rsidP="00B31D44">
            <w:pPr>
              <w:spacing w:after="0"/>
              <w:ind w:right="113"/>
              <w:rPr>
                <w:rFonts w:ascii="Calibri" w:hAnsi="Calibri" w:cs="Calibri"/>
                <w:b/>
                <w:iCs/>
                <w:color w:val="808080" w:themeColor="background1" w:themeShade="80"/>
                <w:sz w:val="18"/>
                <w:szCs w:val="18"/>
                <w:highlight w:val="yellow"/>
              </w:rPr>
            </w:pPr>
            <w:hyperlink r:id="rId14" w:history="1">
              <w:r w:rsidRPr="00EB67B1">
                <w:rPr>
                  <w:rStyle w:val="Hyperlink"/>
                  <w:rFonts w:ascii="Calibri" w:hAnsi="Calibri" w:cs="Calibri"/>
                  <w:b/>
                  <w:iCs/>
                  <w:color w:val="808080" w:themeColor="background1" w:themeShade="80"/>
                  <w:sz w:val="18"/>
                  <w:szCs w:val="18"/>
                </w:rPr>
                <w:t>No. of restoration projects for which we’ve provided advice</w:t>
              </w:r>
            </w:hyperlink>
          </w:p>
        </w:tc>
        <w:tc>
          <w:tcPr>
            <w:tcW w:w="2977" w:type="dxa"/>
            <w:tcBorders>
              <w:bottom w:val="single" w:sz="4" w:space="0" w:color="548DD4" w:themeColor="text2" w:themeTint="99"/>
            </w:tcBorders>
            <w:vAlign w:val="center"/>
          </w:tcPr>
          <w:p w14:paraId="75FE5252" w14:textId="42AAE8B7" w:rsidR="004A12AF" w:rsidRPr="00EB67B1" w:rsidRDefault="00C47217" w:rsidP="00892667">
            <w:pPr>
              <w:spacing w:after="0"/>
              <w:ind w:right="113"/>
              <w:jc w:val="center"/>
              <w:rPr>
                <w:rFonts w:ascii="Calibri" w:hAnsi="Calibri" w:cs="Calibri"/>
                <w:b/>
                <w:color w:val="808080" w:themeColor="background1" w:themeShade="80"/>
                <w:sz w:val="18"/>
                <w:szCs w:val="18"/>
              </w:rPr>
            </w:pPr>
            <w:r w:rsidRPr="00EB67B1">
              <w:rPr>
                <w:rFonts w:ascii="Calibri" w:hAnsi="Calibri" w:cs="Calibri"/>
                <w:b/>
                <w:noProof/>
                <w:color w:val="808080" w:themeColor="background1" w:themeShade="80"/>
                <w:sz w:val="18"/>
                <w:szCs w:val="18"/>
              </w:rPr>
              <w:drawing>
                <wp:inline distT="0" distB="0" distL="0" distR="0" wp14:anchorId="175FE03D" wp14:editId="7B6E9B51">
                  <wp:extent cx="1852654" cy="1055071"/>
                  <wp:effectExtent l="0" t="0" r="0" b="0"/>
                  <wp:docPr id="8612430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3824" cy="1061432"/>
                          </a:xfrm>
                          <a:prstGeom prst="rect">
                            <a:avLst/>
                          </a:prstGeom>
                          <a:noFill/>
                        </pic:spPr>
                      </pic:pic>
                    </a:graphicData>
                  </a:graphic>
                </wp:inline>
              </w:drawing>
            </w:r>
          </w:p>
        </w:tc>
        <w:tc>
          <w:tcPr>
            <w:tcW w:w="1274" w:type="dxa"/>
            <w:tcBorders>
              <w:bottom w:val="single" w:sz="4" w:space="0" w:color="548DD4" w:themeColor="text2" w:themeTint="99"/>
            </w:tcBorders>
            <w:vAlign w:val="center"/>
          </w:tcPr>
          <w:p w14:paraId="38A8FF3D" w14:textId="5D497792" w:rsidR="004A12AF" w:rsidRPr="00EB67B1" w:rsidRDefault="00C47217" w:rsidP="008539EE">
            <w:pPr>
              <w:spacing w:after="0"/>
              <w:ind w:right="113"/>
              <w:jc w:val="center"/>
              <w:rPr>
                <w:rFonts w:ascii="Calibri" w:hAnsi="Calibri" w:cs="Calibri"/>
                <w:bCs/>
                <w:color w:val="808080" w:themeColor="background1" w:themeShade="80"/>
                <w:sz w:val="20"/>
                <w:szCs w:val="20"/>
              </w:rPr>
            </w:pPr>
            <w:r w:rsidRPr="00EB67B1">
              <w:rPr>
                <w:rFonts w:ascii="Calibri" w:hAnsi="Calibri" w:cs="Calibri"/>
                <w:bCs/>
                <w:color w:val="808080" w:themeColor="background1" w:themeShade="80"/>
                <w:sz w:val="20"/>
                <w:szCs w:val="20"/>
              </w:rPr>
              <w:t>8</w:t>
            </w:r>
          </w:p>
        </w:tc>
        <w:tc>
          <w:tcPr>
            <w:tcW w:w="4777" w:type="dxa"/>
            <w:tcBorders>
              <w:bottom w:val="single" w:sz="4" w:space="0" w:color="548DD4" w:themeColor="text2" w:themeTint="99"/>
            </w:tcBorders>
          </w:tcPr>
          <w:p w14:paraId="46548CEB" w14:textId="03C86E22" w:rsidR="004A12AF" w:rsidRPr="00EB67B1" w:rsidRDefault="00C47217" w:rsidP="00F55608">
            <w:pPr>
              <w:ind w:right="113"/>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The number of active marine and coastal restoration projects has remained stable during Q3. </w:t>
            </w:r>
          </w:p>
        </w:tc>
        <w:tc>
          <w:tcPr>
            <w:tcW w:w="4155" w:type="dxa"/>
            <w:gridSpan w:val="2"/>
            <w:tcBorders>
              <w:bottom w:val="single" w:sz="4" w:space="0" w:color="548DD4" w:themeColor="text2" w:themeTint="99"/>
            </w:tcBorders>
          </w:tcPr>
          <w:p w14:paraId="366D1B2D" w14:textId="3B35C6A0" w:rsidR="004A12AF" w:rsidRPr="00EB67B1" w:rsidRDefault="00523A62" w:rsidP="00F55608">
            <w:pPr>
              <w:ind w:right="113"/>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W</w:t>
            </w:r>
            <w:r w:rsidRPr="00EB67B1">
              <w:rPr>
                <w:rFonts w:ascii="Calibri" w:hAnsi="Calibri" w:cs="Calibri"/>
                <w:color w:val="808080" w:themeColor="background1" w:themeShade="80"/>
                <w:sz w:val="14"/>
                <w:szCs w:val="14"/>
              </w:rPr>
              <w:t>e have received a number of new enquiries from potential projects, not only from community groups but also from companies interested in enhancement related to corporate social responsibility/ nature positive objectives. We have continued to provide casework advice and have been actively involved in the application evaluation process for the SMEEF/ SSEN fund.</w:t>
            </w:r>
          </w:p>
        </w:tc>
      </w:tr>
      <w:tr w:rsidR="00B31D44" w:rsidRPr="00EB67B1" w14:paraId="2709DC0C" w14:textId="77777777" w:rsidTr="003F7E4C">
        <w:trPr>
          <w:cantSplit/>
          <w:trHeight w:val="1079"/>
          <w:tblHeader/>
          <w:jc w:val="center"/>
        </w:trPr>
        <w:tc>
          <w:tcPr>
            <w:tcW w:w="2412" w:type="dxa"/>
            <w:tcBorders>
              <w:bottom w:val="single" w:sz="4" w:space="0" w:color="548DD4" w:themeColor="text2" w:themeTint="99"/>
            </w:tcBorders>
            <w:vAlign w:val="center"/>
          </w:tcPr>
          <w:p w14:paraId="12187F84" w14:textId="2438B3FC" w:rsidR="004A12AF" w:rsidRPr="00EB67B1" w:rsidRDefault="004A12AF" w:rsidP="00B31D44">
            <w:pPr>
              <w:spacing w:after="0"/>
              <w:ind w:left="40"/>
              <w:rPr>
                <w:rFonts w:ascii="Calibri" w:hAnsi="Calibri" w:cs="Calibri"/>
                <w:b/>
                <w:iCs/>
                <w:color w:val="808080" w:themeColor="background1" w:themeShade="80"/>
                <w:sz w:val="18"/>
                <w:szCs w:val="18"/>
              </w:rPr>
            </w:pPr>
            <w:hyperlink r:id="rId16" w:history="1">
              <w:r w:rsidRPr="00EB67B1">
                <w:rPr>
                  <w:rStyle w:val="Hyperlink"/>
                  <w:rFonts w:ascii="Calibri" w:hAnsi="Calibri" w:cs="Calibri"/>
                  <w:b/>
                  <w:iCs/>
                  <w:color w:val="808080" w:themeColor="background1" w:themeShade="80"/>
                  <w:sz w:val="18"/>
                  <w:szCs w:val="18"/>
                </w:rPr>
                <w:t>License applications turnaround time within standards</w:t>
              </w:r>
            </w:hyperlink>
          </w:p>
        </w:tc>
        <w:tc>
          <w:tcPr>
            <w:tcW w:w="2977" w:type="dxa"/>
            <w:tcBorders>
              <w:bottom w:val="single" w:sz="4" w:space="0" w:color="548DD4" w:themeColor="text2" w:themeTint="99"/>
            </w:tcBorders>
            <w:vAlign w:val="center"/>
          </w:tcPr>
          <w:p w14:paraId="50E09C08" w14:textId="2742CA77" w:rsidR="004A12AF" w:rsidRPr="00EB67B1" w:rsidRDefault="00855932" w:rsidP="00892667">
            <w:pPr>
              <w:spacing w:after="0"/>
              <w:ind w:left="-170"/>
              <w:jc w:val="center"/>
              <w:rPr>
                <w:rFonts w:ascii="Calibri" w:hAnsi="Calibri" w:cs="Calibri"/>
                <w:b/>
                <w:color w:val="808080" w:themeColor="background1" w:themeShade="80"/>
                <w:sz w:val="18"/>
                <w:szCs w:val="18"/>
              </w:rPr>
            </w:pPr>
            <w:r w:rsidRPr="00EB67B1">
              <w:rPr>
                <w:rFonts w:ascii="Calibri" w:hAnsi="Calibri" w:cs="Calibri"/>
                <w:b/>
                <w:noProof/>
                <w:color w:val="808080" w:themeColor="background1" w:themeShade="80"/>
                <w:sz w:val="18"/>
                <w:szCs w:val="18"/>
              </w:rPr>
              <w:drawing>
                <wp:inline distT="0" distB="0" distL="0" distR="0" wp14:anchorId="346F1393" wp14:editId="49D8F535">
                  <wp:extent cx="1901039" cy="787179"/>
                  <wp:effectExtent l="0" t="0" r="4445" b="0"/>
                  <wp:docPr id="19768256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4094" cy="792585"/>
                          </a:xfrm>
                          <a:prstGeom prst="rect">
                            <a:avLst/>
                          </a:prstGeom>
                          <a:noFill/>
                        </pic:spPr>
                      </pic:pic>
                    </a:graphicData>
                  </a:graphic>
                </wp:inline>
              </w:drawing>
            </w:r>
          </w:p>
        </w:tc>
        <w:tc>
          <w:tcPr>
            <w:tcW w:w="1274" w:type="dxa"/>
            <w:tcBorders>
              <w:bottom w:val="single" w:sz="4" w:space="0" w:color="548DD4" w:themeColor="text2" w:themeTint="99"/>
            </w:tcBorders>
            <w:vAlign w:val="center"/>
          </w:tcPr>
          <w:p w14:paraId="53CEB7C5" w14:textId="55D0A32A" w:rsidR="004A12AF" w:rsidRPr="00EB67B1" w:rsidRDefault="00855932" w:rsidP="0027236F">
            <w:pPr>
              <w:spacing w:after="0"/>
              <w:ind w:left="-170" w:right="-107"/>
              <w:jc w:val="center"/>
              <w:rPr>
                <w:rFonts w:ascii="Calibri" w:hAnsi="Calibri" w:cs="Calibri"/>
                <w:color w:val="808080" w:themeColor="background1" w:themeShade="80"/>
                <w:sz w:val="20"/>
                <w:szCs w:val="20"/>
              </w:rPr>
            </w:pPr>
            <w:r w:rsidRPr="00EB67B1">
              <w:rPr>
                <w:rFonts w:ascii="Calibri" w:hAnsi="Calibri" w:cs="Calibri"/>
                <w:color w:val="808080" w:themeColor="background1" w:themeShade="80"/>
                <w:sz w:val="20"/>
                <w:szCs w:val="20"/>
              </w:rPr>
              <w:t>303</w:t>
            </w:r>
          </w:p>
        </w:tc>
        <w:tc>
          <w:tcPr>
            <w:tcW w:w="4777" w:type="dxa"/>
            <w:tcBorders>
              <w:bottom w:val="single" w:sz="4" w:space="0" w:color="548DD4" w:themeColor="text2" w:themeTint="99"/>
            </w:tcBorders>
          </w:tcPr>
          <w:p w14:paraId="39763D43" w14:textId="1B15E7E5" w:rsidR="004A12AF" w:rsidRPr="00EB67B1" w:rsidRDefault="00855932" w:rsidP="0027236F">
            <w:pPr>
              <w:ind w:left="30" w:right="-107"/>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We are not in a position to be able to advise whether or not the licences have been issued in accordance with an agreed </w:t>
            </w:r>
            <w:r w:rsidR="0027236F" w:rsidRPr="00EB67B1">
              <w:rPr>
                <w:rFonts w:ascii="Calibri" w:hAnsi="Calibri" w:cs="Calibri"/>
                <w:color w:val="808080" w:themeColor="background1" w:themeShade="80"/>
                <w:sz w:val="14"/>
                <w:szCs w:val="14"/>
              </w:rPr>
              <w:t>turnaround</w:t>
            </w:r>
            <w:r w:rsidRPr="00EB67B1">
              <w:rPr>
                <w:rFonts w:ascii="Calibri" w:hAnsi="Calibri" w:cs="Calibri"/>
                <w:color w:val="808080" w:themeColor="background1" w:themeShade="80"/>
                <w:sz w:val="14"/>
                <w:szCs w:val="14"/>
              </w:rPr>
              <w:t xml:space="preserve"> time, because the database algorithm does not reflect the turnaround times defined in our service level statement (SLS)</w:t>
            </w:r>
            <w:r w:rsidR="0027236F">
              <w:rPr>
                <w:rFonts w:ascii="Calibri" w:hAnsi="Calibri" w:cs="Calibri"/>
                <w:color w:val="808080" w:themeColor="background1" w:themeShade="80"/>
                <w:sz w:val="14"/>
                <w:szCs w:val="14"/>
              </w:rPr>
              <w:t>. W</w:t>
            </w:r>
            <w:r w:rsidRPr="00EB67B1">
              <w:rPr>
                <w:rFonts w:ascii="Calibri" w:hAnsi="Calibri" w:cs="Calibri"/>
                <w:color w:val="808080" w:themeColor="background1" w:themeShade="80"/>
                <w:sz w:val="14"/>
                <w:szCs w:val="14"/>
              </w:rPr>
              <w:t xml:space="preserve">e may have missed the SLS agreed </w:t>
            </w:r>
            <w:r w:rsidR="0027236F" w:rsidRPr="00EB67B1">
              <w:rPr>
                <w:rFonts w:ascii="Calibri" w:hAnsi="Calibri" w:cs="Calibri"/>
                <w:color w:val="808080" w:themeColor="background1" w:themeShade="80"/>
                <w:sz w:val="14"/>
                <w:szCs w:val="14"/>
              </w:rPr>
              <w:t>time but</w:t>
            </w:r>
            <w:r w:rsidRPr="00EB67B1">
              <w:rPr>
                <w:rFonts w:ascii="Calibri" w:hAnsi="Calibri" w:cs="Calibri"/>
                <w:color w:val="808080" w:themeColor="background1" w:themeShade="80"/>
                <w:sz w:val="14"/>
                <w:szCs w:val="14"/>
              </w:rPr>
              <w:t xml:space="preserve"> met the requested date on the licence application.</w:t>
            </w:r>
          </w:p>
        </w:tc>
        <w:tc>
          <w:tcPr>
            <w:tcW w:w="4155" w:type="dxa"/>
            <w:gridSpan w:val="2"/>
            <w:tcBorders>
              <w:bottom w:val="single" w:sz="4" w:space="0" w:color="548DD4" w:themeColor="text2" w:themeTint="99"/>
            </w:tcBorders>
          </w:tcPr>
          <w:p w14:paraId="41A30BD6" w14:textId="58882AAD" w:rsidR="004A12AF" w:rsidRPr="00EB67B1" w:rsidRDefault="00855932" w:rsidP="00F55608">
            <w:pPr>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Aiming to look at a work-around to be able to conduct analysis of turnaround in Q4 to then report in Q1.  </w:t>
            </w:r>
            <w:r w:rsidR="0027236F">
              <w:rPr>
                <w:rFonts w:ascii="Calibri" w:hAnsi="Calibri" w:cs="Calibri"/>
                <w:color w:val="808080" w:themeColor="background1" w:themeShade="80"/>
                <w:sz w:val="14"/>
                <w:szCs w:val="14"/>
              </w:rPr>
              <w:t>Unforeseen</w:t>
            </w:r>
            <w:r w:rsidRPr="00EB67B1">
              <w:rPr>
                <w:rFonts w:ascii="Calibri" w:hAnsi="Calibri" w:cs="Calibri"/>
                <w:color w:val="808080" w:themeColor="background1" w:themeShade="80"/>
                <w:sz w:val="14"/>
                <w:szCs w:val="14"/>
              </w:rPr>
              <w:t xml:space="preserve"> technical issues or </w:t>
            </w:r>
            <w:r w:rsidR="0027236F">
              <w:rPr>
                <w:rFonts w:ascii="Calibri" w:hAnsi="Calibri" w:cs="Calibri"/>
                <w:color w:val="808080" w:themeColor="background1" w:themeShade="80"/>
                <w:sz w:val="14"/>
                <w:szCs w:val="14"/>
              </w:rPr>
              <w:t xml:space="preserve">lack of </w:t>
            </w:r>
            <w:r w:rsidRPr="00EB67B1">
              <w:rPr>
                <w:rFonts w:ascii="Calibri" w:hAnsi="Calibri" w:cs="Calibri"/>
                <w:color w:val="808080" w:themeColor="background1" w:themeShade="80"/>
                <w:sz w:val="14"/>
                <w:szCs w:val="14"/>
              </w:rPr>
              <w:t>staff resource may prevent this.</w:t>
            </w:r>
          </w:p>
        </w:tc>
      </w:tr>
      <w:bookmarkStart w:id="3" w:name="_Hlk155774122"/>
      <w:tr w:rsidR="00B31D44" w:rsidRPr="00EB67B1" w14:paraId="348042D4" w14:textId="77777777" w:rsidTr="003F7E4C">
        <w:trPr>
          <w:cantSplit/>
          <w:trHeight w:val="1212"/>
          <w:tblHeader/>
          <w:jc w:val="center"/>
        </w:trPr>
        <w:tc>
          <w:tcPr>
            <w:tcW w:w="2412" w:type="dxa"/>
            <w:tcBorders>
              <w:bottom w:val="single" w:sz="4" w:space="0" w:color="548DD4" w:themeColor="text2" w:themeTint="99"/>
            </w:tcBorders>
            <w:vAlign w:val="center"/>
          </w:tcPr>
          <w:p w14:paraId="7EBABE36" w14:textId="557329EF" w:rsidR="004A12AF" w:rsidRPr="00EB67B1" w:rsidRDefault="004A12AF" w:rsidP="00B31D44">
            <w:pPr>
              <w:spacing w:after="0"/>
              <w:ind w:left="40"/>
              <w:rPr>
                <w:rFonts w:ascii="Calibri" w:hAnsi="Calibri" w:cs="Calibri"/>
                <w:b/>
                <w:iCs/>
                <w:color w:val="808080" w:themeColor="background1" w:themeShade="80"/>
                <w:sz w:val="18"/>
                <w:szCs w:val="18"/>
              </w:rPr>
            </w:pPr>
            <w:r w:rsidRPr="00EB67B1">
              <w:rPr>
                <w:sz w:val="22"/>
                <w:szCs w:val="20"/>
                <w:highlight w:val="red"/>
              </w:rPr>
              <w:fldChar w:fldCharType="begin"/>
            </w:r>
            <w:r w:rsidRPr="00EB67B1">
              <w:rPr>
                <w:sz w:val="22"/>
                <w:szCs w:val="20"/>
              </w:rPr>
              <w:instrText xml:space="preserve"> HYPERLINK "https://naturescot.nexus.objective.co.uk/documents/A3920276/details" </w:instrText>
            </w:r>
            <w:r w:rsidRPr="00EB67B1">
              <w:rPr>
                <w:sz w:val="22"/>
                <w:szCs w:val="20"/>
                <w:highlight w:val="red"/>
              </w:rPr>
            </w:r>
            <w:r w:rsidRPr="00EB67B1">
              <w:rPr>
                <w:sz w:val="22"/>
                <w:szCs w:val="20"/>
                <w:highlight w:val="red"/>
              </w:rPr>
              <w:fldChar w:fldCharType="separate"/>
            </w:r>
            <w:r w:rsidRPr="00EB67B1">
              <w:rPr>
                <w:rStyle w:val="Hyperlink"/>
                <w:rFonts w:ascii="Calibri" w:hAnsi="Calibri" w:cs="Calibri"/>
                <w:b/>
                <w:iCs/>
                <w:color w:val="808080" w:themeColor="background1" w:themeShade="80"/>
                <w:sz w:val="18"/>
                <w:szCs w:val="18"/>
              </w:rPr>
              <w:t>No. and Types of licenses that are processed through the online system</w:t>
            </w:r>
            <w:r w:rsidRPr="00EB67B1">
              <w:rPr>
                <w:rStyle w:val="Hyperlink"/>
                <w:rFonts w:ascii="Calibri" w:hAnsi="Calibri" w:cs="Calibri"/>
                <w:b/>
                <w:iCs/>
                <w:color w:val="808080" w:themeColor="background1" w:themeShade="80"/>
                <w:sz w:val="18"/>
                <w:szCs w:val="18"/>
                <w:highlight w:val="red"/>
              </w:rPr>
              <w:fldChar w:fldCharType="end"/>
            </w:r>
            <w:bookmarkEnd w:id="3"/>
          </w:p>
        </w:tc>
        <w:tc>
          <w:tcPr>
            <w:tcW w:w="2977" w:type="dxa"/>
            <w:tcBorders>
              <w:bottom w:val="single" w:sz="4" w:space="0" w:color="548DD4" w:themeColor="text2" w:themeTint="99"/>
            </w:tcBorders>
            <w:vAlign w:val="center"/>
          </w:tcPr>
          <w:p w14:paraId="5D20205E" w14:textId="756FDD5F" w:rsidR="004A12AF" w:rsidRPr="00EB67B1" w:rsidRDefault="00855932" w:rsidP="00892667">
            <w:pPr>
              <w:spacing w:after="0"/>
              <w:ind w:left="-57"/>
              <w:jc w:val="center"/>
              <w:rPr>
                <w:rFonts w:ascii="Calibri" w:hAnsi="Calibri" w:cs="Calibri"/>
                <w:b/>
                <w:color w:val="808080" w:themeColor="background1" w:themeShade="80"/>
                <w:sz w:val="18"/>
                <w:szCs w:val="18"/>
              </w:rPr>
            </w:pPr>
            <w:r w:rsidRPr="00EB67B1">
              <w:rPr>
                <w:rFonts w:ascii="Calibri" w:hAnsi="Calibri" w:cs="Calibri"/>
                <w:b/>
                <w:noProof/>
                <w:color w:val="808080" w:themeColor="background1" w:themeShade="80"/>
                <w:sz w:val="18"/>
                <w:szCs w:val="18"/>
              </w:rPr>
              <w:drawing>
                <wp:anchor distT="0" distB="0" distL="114300" distR="114300" simplePos="0" relativeHeight="251658240" behindDoc="0" locked="0" layoutInCell="1" allowOverlap="1" wp14:anchorId="49976755" wp14:editId="2FAB63BD">
                  <wp:simplePos x="0" y="0"/>
                  <wp:positionH relativeFrom="column">
                    <wp:posOffset>1905</wp:posOffset>
                  </wp:positionH>
                  <wp:positionV relativeFrom="paragraph">
                    <wp:posOffset>23495</wp:posOffset>
                  </wp:positionV>
                  <wp:extent cx="1666875" cy="716915"/>
                  <wp:effectExtent l="0" t="0" r="9525" b="6985"/>
                  <wp:wrapNone/>
                  <wp:docPr id="563532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6875" cy="716915"/>
                          </a:xfrm>
                          <a:prstGeom prst="rect">
                            <a:avLst/>
                          </a:prstGeom>
                          <a:noFill/>
                        </pic:spPr>
                      </pic:pic>
                    </a:graphicData>
                  </a:graphic>
                  <wp14:sizeRelH relativeFrom="page">
                    <wp14:pctWidth>0</wp14:pctWidth>
                  </wp14:sizeRelH>
                  <wp14:sizeRelV relativeFrom="page">
                    <wp14:pctHeight>0</wp14:pctHeight>
                  </wp14:sizeRelV>
                </wp:anchor>
              </w:drawing>
            </w:r>
          </w:p>
        </w:tc>
        <w:tc>
          <w:tcPr>
            <w:tcW w:w="1274" w:type="dxa"/>
            <w:tcBorders>
              <w:bottom w:val="single" w:sz="4" w:space="0" w:color="548DD4" w:themeColor="text2" w:themeTint="99"/>
            </w:tcBorders>
            <w:vAlign w:val="center"/>
          </w:tcPr>
          <w:p w14:paraId="2B42D815" w14:textId="0C2279BE" w:rsidR="004A12AF" w:rsidRPr="00EB67B1" w:rsidRDefault="00855932" w:rsidP="008539EE">
            <w:pPr>
              <w:spacing w:after="0"/>
              <w:ind w:left="-57"/>
              <w:jc w:val="center"/>
              <w:rPr>
                <w:rFonts w:ascii="Calibri" w:hAnsi="Calibri" w:cs="Calibri"/>
                <w:color w:val="808080" w:themeColor="background1" w:themeShade="80"/>
                <w:sz w:val="20"/>
                <w:szCs w:val="20"/>
              </w:rPr>
            </w:pPr>
            <w:r w:rsidRPr="00EB67B1">
              <w:rPr>
                <w:rFonts w:ascii="Calibri" w:hAnsi="Calibri" w:cs="Calibri"/>
                <w:color w:val="808080" w:themeColor="background1" w:themeShade="80"/>
                <w:sz w:val="20"/>
                <w:szCs w:val="20"/>
              </w:rPr>
              <w:t>347</w:t>
            </w:r>
          </w:p>
        </w:tc>
        <w:tc>
          <w:tcPr>
            <w:tcW w:w="4825" w:type="dxa"/>
            <w:gridSpan w:val="2"/>
            <w:tcBorders>
              <w:bottom w:val="single" w:sz="4" w:space="0" w:color="548DD4" w:themeColor="text2" w:themeTint="99"/>
            </w:tcBorders>
          </w:tcPr>
          <w:p w14:paraId="37545005" w14:textId="77777777" w:rsidR="00855932" w:rsidRPr="00EB67B1" w:rsidRDefault="00855932" w:rsidP="00855932">
            <w:pPr>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Seasonal fluctuations</w:t>
            </w:r>
          </w:p>
          <w:p w14:paraId="44B136D3" w14:textId="28E9B7DE" w:rsidR="004A12AF" w:rsidRPr="00EB67B1" w:rsidRDefault="004A12AF" w:rsidP="00F55608">
            <w:pPr>
              <w:ind w:right="181"/>
              <w:rPr>
                <w:rFonts w:ascii="Calibri" w:hAnsi="Calibri" w:cs="Calibri"/>
                <w:color w:val="808080" w:themeColor="background1" w:themeShade="80"/>
                <w:sz w:val="14"/>
                <w:szCs w:val="14"/>
              </w:rPr>
            </w:pPr>
          </w:p>
        </w:tc>
        <w:tc>
          <w:tcPr>
            <w:tcW w:w="4107" w:type="dxa"/>
            <w:tcBorders>
              <w:bottom w:val="single" w:sz="4" w:space="0" w:color="548DD4" w:themeColor="text2" w:themeTint="99"/>
            </w:tcBorders>
          </w:tcPr>
          <w:p w14:paraId="2F65B1B0" w14:textId="4C7BF4E2" w:rsidR="00855932" w:rsidRPr="00EB67B1" w:rsidRDefault="00855932" w:rsidP="00855932">
            <w:pPr>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As new licence application types can be applied for online the numbers will increase.   Numbers will continue to fluctuate due to seasonality.</w:t>
            </w:r>
          </w:p>
          <w:p w14:paraId="202487F3" w14:textId="65F2A67B" w:rsidR="004A12AF" w:rsidRPr="00EB67B1" w:rsidRDefault="004A12AF" w:rsidP="00F55608">
            <w:pPr>
              <w:rPr>
                <w:rFonts w:ascii="Calibri" w:hAnsi="Calibri" w:cs="Calibri"/>
                <w:color w:val="808080" w:themeColor="background1" w:themeShade="80"/>
                <w:sz w:val="14"/>
                <w:szCs w:val="14"/>
              </w:rPr>
            </w:pPr>
          </w:p>
        </w:tc>
      </w:tr>
      <w:tr w:rsidR="00B31D44" w:rsidRPr="00EB67B1" w14:paraId="08C91ABE" w14:textId="77777777" w:rsidTr="003F7E4C">
        <w:trPr>
          <w:cantSplit/>
          <w:trHeight w:val="1062"/>
          <w:tblHeader/>
          <w:jc w:val="center"/>
        </w:trPr>
        <w:tc>
          <w:tcPr>
            <w:tcW w:w="2412" w:type="dxa"/>
            <w:tcBorders>
              <w:bottom w:val="single" w:sz="4" w:space="0" w:color="548DD4" w:themeColor="text2" w:themeTint="99"/>
            </w:tcBorders>
            <w:vAlign w:val="center"/>
          </w:tcPr>
          <w:p w14:paraId="75F74ECC" w14:textId="74F5AE7C" w:rsidR="004C3E5E" w:rsidRPr="00EB67B1" w:rsidRDefault="004C3E5E" w:rsidP="00B31D44">
            <w:pPr>
              <w:spacing w:after="0"/>
              <w:ind w:left="57"/>
              <w:rPr>
                <w:rFonts w:ascii="Calibri" w:hAnsi="Calibri" w:cs="Calibri"/>
                <w:b/>
                <w:iCs/>
                <w:color w:val="808080" w:themeColor="background1" w:themeShade="80"/>
                <w:sz w:val="18"/>
                <w:szCs w:val="18"/>
              </w:rPr>
            </w:pPr>
            <w:hyperlink r:id="rId19" w:history="1">
              <w:r w:rsidRPr="00EB67B1">
                <w:rPr>
                  <w:rStyle w:val="Hyperlink"/>
                  <w:rFonts w:ascii="Calibri" w:hAnsi="Calibri" w:cs="Calibri"/>
                  <w:b/>
                  <w:iCs/>
                  <w:color w:val="808080" w:themeColor="background1" w:themeShade="80"/>
                  <w:sz w:val="18"/>
                  <w:szCs w:val="18"/>
                </w:rPr>
                <w:t>No. of catchments with established beaver populations</w:t>
              </w:r>
            </w:hyperlink>
          </w:p>
        </w:tc>
        <w:tc>
          <w:tcPr>
            <w:tcW w:w="2977" w:type="dxa"/>
            <w:tcBorders>
              <w:bottom w:val="single" w:sz="4" w:space="0" w:color="548DD4" w:themeColor="text2" w:themeTint="99"/>
            </w:tcBorders>
            <w:vAlign w:val="center"/>
          </w:tcPr>
          <w:p w14:paraId="2B96E803" w14:textId="4BD9CC7A" w:rsidR="004C3E5E" w:rsidRPr="00EB67B1" w:rsidRDefault="00471BF1" w:rsidP="00892667">
            <w:pPr>
              <w:spacing w:after="0"/>
              <w:ind w:left="57"/>
              <w:jc w:val="center"/>
              <w:rPr>
                <w:rFonts w:ascii="Calibri" w:hAnsi="Calibri" w:cs="Calibri"/>
                <w:b/>
                <w:color w:val="808080" w:themeColor="background1" w:themeShade="80"/>
                <w:sz w:val="18"/>
                <w:szCs w:val="18"/>
              </w:rPr>
            </w:pPr>
            <w:r w:rsidRPr="00EB67B1">
              <w:rPr>
                <w:rFonts w:ascii="Calibri" w:hAnsi="Calibri" w:cs="Calibri"/>
                <w:b/>
                <w:noProof/>
                <w:color w:val="808080" w:themeColor="background1" w:themeShade="80"/>
                <w:sz w:val="18"/>
                <w:szCs w:val="18"/>
              </w:rPr>
              <w:drawing>
                <wp:inline distT="0" distB="0" distL="0" distR="0" wp14:anchorId="0A38DAC4" wp14:editId="7C719B7E">
                  <wp:extent cx="1683888" cy="739472"/>
                  <wp:effectExtent l="0" t="0" r="0" b="3810"/>
                  <wp:docPr id="19012188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2034" cy="747441"/>
                          </a:xfrm>
                          <a:prstGeom prst="rect">
                            <a:avLst/>
                          </a:prstGeom>
                          <a:noFill/>
                        </pic:spPr>
                      </pic:pic>
                    </a:graphicData>
                  </a:graphic>
                </wp:inline>
              </w:drawing>
            </w:r>
          </w:p>
        </w:tc>
        <w:tc>
          <w:tcPr>
            <w:tcW w:w="1274" w:type="dxa"/>
            <w:tcBorders>
              <w:bottom w:val="single" w:sz="4" w:space="0" w:color="548DD4" w:themeColor="text2" w:themeTint="99"/>
            </w:tcBorders>
            <w:vAlign w:val="center"/>
          </w:tcPr>
          <w:p w14:paraId="574F9753" w14:textId="2D672104" w:rsidR="004C3E5E" w:rsidRPr="00EB67B1" w:rsidRDefault="00471BF1" w:rsidP="008539EE">
            <w:pPr>
              <w:spacing w:after="0"/>
              <w:ind w:left="57"/>
              <w:jc w:val="center"/>
              <w:rPr>
                <w:rFonts w:ascii="Calibri" w:hAnsi="Calibri" w:cs="Calibri"/>
                <w:color w:val="808080" w:themeColor="background1" w:themeShade="80"/>
                <w:sz w:val="20"/>
                <w:szCs w:val="20"/>
              </w:rPr>
            </w:pPr>
            <w:r w:rsidRPr="00EB67B1">
              <w:rPr>
                <w:rFonts w:ascii="Calibri" w:hAnsi="Calibri" w:cs="Calibri"/>
                <w:color w:val="808080" w:themeColor="background1" w:themeShade="80"/>
                <w:sz w:val="20"/>
                <w:szCs w:val="20"/>
              </w:rPr>
              <w:t>5</w:t>
            </w:r>
          </w:p>
        </w:tc>
        <w:tc>
          <w:tcPr>
            <w:tcW w:w="4825" w:type="dxa"/>
            <w:gridSpan w:val="2"/>
            <w:tcBorders>
              <w:bottom w:val="single" w:sz="4" w:space="0" w:color="548DD4" w:themeColor="text2" w:themeTint="99"/>
            </w:tcBorders>
          </w:tcPr>
          <w:p w14:paraId="767A76E9" w14:textId="77777777" w:rsidR="00471BF1" w:rsidRPr="00EB67B1" w:rsidRDefault="00471BF1" w:rsidP="00471BF1">
            <w:pPr>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The Upper Beauly application has been very recently received and we are discussing next steps to complete our assessment.</w:t>
            </w:r>
          </w:p>
          <w:p w14:paraId="236D3BFF" w14:textId="2BEE7B4D" w:rsidR="004C3E5E" w:rsidRPr="00EB67B1" w:rsidRDefault="004C3E5E" w:rsidP="00F55608">
            <w:pPr>
              <w:ind w:right="181"/>
              <w:rPr>
                <w:rFonts w:ascii="Calibri" w:hAnsi="Calibri" w:cs="Calibri"/>
                <w:color w:val="808080" w:themeColor="background1" w:themeShade="80"/>
                <w:sz w:val="14"/>
                <w:szCs w:val="14"/>
              </w:rPr>
            </w:pPr>
          </w:p>
        </w:tc>
        <w:tc>
          <w:tcPr>
            <w:tcW w:w="4107" w:type="dxa"/>
            <w:tcBorders>
              <w:bottom w:val="single" w:sz="4" w:space="0" w:color="548DD4" w:themeColor="text2" w:themeTint="99"/>
            </w:tcBorders>
          </w:tcPr>
          <w:p w14:paraId="0BA9E6C9" w14:textId="77777777" w:rsidR="00471BF1" w:rsidRPr="00EB67B1" w:rsidRDefault="00471BF1" w:rsidP="00471BF1">
            <w:pPr>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Internal Discussions are ongoing about a release on </w:t>
            </w:r>
            <w:proofErr w:type="spellStart"/>
            <w:r w:rsidRPr="00EB67B1">
              <w:rPr>
                <w:rFonts w:ascii="Calibri" w:hAnsi="Calibri" w:cs="Calibri"/>
                <w:color w:val="808080" w:themeColor="background1" w:themeShade="80"/>
                <w:sz w:val="14"/>
                <w:szCs w:val="14"/>
              </w:rPr>
              <w:t>Taynish</w:t>
            </w:r>
            <w:proofErr w:type="spellEnd"/>
            <w:r w:rsidRPr="00EB67B1">
              <w:rPr>
                <w:rFonts w:ascii="Calibri" w:hAnsi="Calibri" w:cs="Calibri"/>
                <w:color w:val="808080" w:themeColor="background1" w:themeShade="80"/>
                <w:sz w:val="14"/>
                <w:szCs w:val="14"/>
              </w:rPr>
              <w:t xml:space="preserve"> NNR but this is not imminent and would not lead to a new catchment. </w:t>
            </w:r>
          </w:p>
          <w:p w14:paraId="30A36E3E" w14:textId="346F4673" w:rsidR="004C3E5E" w:rsidRPr="00EB67B1" w:rsidRDefault="004C3E5E" w:rsidP="00F55608">
            <w:pPr>
              <w:ind w:left="57"/>
              <w:rPr>
                <w:rFonts w:ascii="Calibri" w:hAnsi="Calibri" w:cs="Calibri"/>
                <w:color w:val="808080" w:themeColor="background1" w:themeShade="80"/>
                <w:sz w:val="14"/>
                <w:szCs w:val="14"/>
              </w:rPr>
            </w:pPr>
          </w:p>
        </w:tc>
      </w:tr>
      <w:tr w:rsidR="00B31D44" w:rsidRPr="00EB67B1" w14:paraId="787049D6" w14:textId="77777777" w:rsidTr="003F7E4C">
        <w:trPr>
          <w:cantSplit/>
          <w:trHeight w:val="1263"/>
          <w:tblHeader/>
          <w:jc w:val="center"/>
        </w:trPr>
        <w:tc>
          <w:tcPr>
            <w:tcW w:w="2412" w:type="dxa"/>
            <w:tcBorders>
              <w:bottom w:val="single" w:sz="4" w:space="0" w:color="548DD4" w:themeColor="text2" w:themeTint="99"/>
            </w:tcBorders>
            <w:vAlign w:val="center"/>
          </w:tcPr>
          <w:p w14:paraId="1446D71B" w14:textId="2E70A358" w:rsidR="0090078C" w:rsidRPr="00EB67B1" w:rsidRDefault="0090078C" w:rsidP="00B31D44">
            <w:pPr>
              <w:spacing w:after="0"/>
              <w:ind w:left="40"/>
              <w:rPr>
                <w:rFonts w:ascii="Calibri" w:hAnsi="Calibri" w:cs="Calibri"/>
                <w:b/>
                <w:iCs/>
                <w:color w:val="808080" w:themeColor="background1" w:themeShade="80"/>
                <w:sz w:val="18"/>
                <w:szCs w:val="18"/>
              </w:rPr>
            </w:pPr>
            <w:hyperlink r:id="rId21" w:history="1">
              <w:r w:rsidRPr="00EB67B1">
                <w:rPr>
                  <w:rStyle w:val="Hyperlink"/>
                  <w:rFonts w:ascii="Calibri" w:hAnsi="Calibri" w:cs="Calibri"/>
                  <w:b/>
                  <w:iCs/>
                  <w:color w:val="808080" w:themeColor="background1" w:themeShade="80"/>
                  <w:sz w:val="18"/>
                  <w:szCs w:val="18"/>
                </w:rPr>
                <w:t xml:space="preserve">% of holding objections for formal planning applications </w:t>
              </w:r>
            </w:hyperlink>
          </w:p>
        </w:tc>
        <w:tc>
          <w:tcPr>
            <w:tcW w:w="2977" w:type="dxa"/>
            <w:tcBorders>
              <w:bottom w:val="single" w:sz="4" w:space="0" w:color="548DD4" w:themeColor="text2" w:themeTint="99"/>
            </w:tcBorders>
            <w:vAlign w:val="center"/>
          </w:tcPr>
          <w:p w14:paraId="7CB6E525" w14:textId="371A25CB" w:rsidR="0090078C" w:rsidRPr="00EB67B1" w:rsidRDefault="00177240" w:rsidP="00B31D44">
            <w:pPr>
              <w:spacing w:after="0"/>
              <w:ind w:left="171"/>
              <w:rPr>
                <w:rFonts w:ascii="Calibri" w:hAnsi="Calibri" w:cs="Calibri"/>
                <w:b/>
                <w:color w:val="808080" w:themeColor="background1" w:themeShade="80"/>
                <w:sz w:val="18"/>
                <w:szCs w:val="18"/>
              </w:rPr>
            </w:pPr>
            <w:r w:rsidRPr="00EB67B1">
              <w:rPr>
                <w:rFonts w:ascii="Calibri" w:hAnsi="Calibri" w:cs="Calibri"/>
                <w:b/>
                <w:noProof/>
                <w:color w:val="808080" w:themeColor="background1" w:themeShade="80"/>
                <w:sz w:val="18"/>
                <w:szCs w:val="18"/>
              </w:rPr>
              <w:drawing>
                <wp:inline distT="0" distB="0" distL="0" distR="0" wp14:anchorId="63FDA9C4" wp14:editId="1E7B87DF">
                  <wp:extent cx="1731866" cy="856526"/>
                  <wp:effectExtent l="0" t="0" r="1905" b="1270"/>
                  <wp:docPr id="9268406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50057" cy="865523"/>
                          </a:xfrm>
                          <a:prstGeom prst="rect">
                            <a:avLst/>
                          </a:prstGeom>
                          <a:noFill/>
                        </pic:spPr>
                      </pic:pic>
                    </a:graphicData>
                  </a:graphic>
                </wp:inline>
              </w:drawing>
            </w:r>
          </w:p>
        </w:tc>
        <w:tc>
          <w:tcPr>
            <w:tcW w:w="1274" w:type="dxa"/>
            <w:tcBorders>
              <w:bottom w:val="single" w:sz="4" w:space="0" w:color="548DD4" w:themeColor="text2" w:themeTint="99"/>
            </w:tcBorders>
            <w:vAlign w:val="center"/>
          </w:tcPr>
          <w:p w14:paraId="0F81C171" w14:textId="2DFEA8AA" w:rsidR="0090078C" w:rsidRPr="00EB67B1" w:rsidRDefault="00177240" w:rsidP="008539EE">
            <w:pPr>
              <w:spacing w:after="0"/>
              <w:ind w:left="397"/>
              <w:jc w:val="center"/>
              <w:rPr>
                <w:rFonts w:ascii="Arial Narrow" w:hAnsi="Arial Narrow" w:cs="Calibri"/>
                <w:color w:val="808080"/>
                <w:sz w:val="20"/>
                <w:szCs w:val="20"/>
              </w:rPr>
            </w:pPr>
            <w:r w:rsidRPr="00EB67B1">
              <w:rPr>
                <w:rFonts w:ascii="Arial Narrow" w:hAnsi="Arial Narrow" w:cs="Calibri"/>
                <w:color w:val="808080"/>
                <w:sz w:val="20"/>
                <w:szCs w:val="20"/>
              </w:rPr>
              <w:t>10.84%</w:t>
            </w:r>
          </w:p>
        </w:tc>
        <w:tc>
          <w:tcPr>
            <w:tcW w:w="4825" w:type="dxa"/>
            <w:gridSpan w:val="2"/>
            <w:tcBorders>
              <w:bottom w:val="single" w:sz="4" w:space="0" w:color="548DD4" w:themeColor="text2" w:themeTint="99"/>
            </w:tcBorders>
          </w:tcPr>
          <w:p w14:paraId="7FE6CF68" w14:textId="021256F1" w:rsidR="0090078C" w:rsidRPr="00EB67B1" w:rsidRDefault="00177240" w:rsidP="0027236F">
            <w:pPr>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Q3 (up to 17/12) in the RED RAG tolerance (&gt;9%) with proportion of holding objections at 10.8%. SRN mast applications still make up a high proportion of holding objections (8/18 or 44%) but no additional holding objections for peatland restoration proposals. Still in the AMBER RAG tolerance (4-8%) overall so far for Q1-Q3 combined (48 holding objections out of 636 applications = 7.5%).  </w:t>
            </w:r>
          </w:p>
        </w:tc>
        <w:tc>
          <w:tcPr>
            <w:tcW w:w="4107" w:type="dxa"/>
            <w:tcBorders>
              <w:bottom w:val="single" w:sz="4" w:space="0" w:color="548DD4" w:themeColor="text2" w:themeTint="99"/>
            </w:tcBorders>
          </w:tcPr>
          <w:p w14:paraId="54AFD44C" w14:textId="5385607B" w:rsidR="0090078C" w:rsidRPr="00EB67B1" w:rsidRDefault="0027236F" w:rsidP="0027236F">
            <w:pPr>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N</w:t>
            </w:r>
            <w:r w:rsidR="00177240" w:rsidRPr="00EB67B1">
              <w:rPr>
                <w:rFonts w:ascii="Calibri" w:hAnsi="Calibri" w:cs="Calibri"/>
                <w:color w:val="808080" w:themeColor="background1" w:themeShade="80"/>
                <w:sz w:val="14"/>
                <w:szCs w:val="14"/>
              </w:rPr>
              <w:t xml:space="preserve">ew online system for consultations InformedDecision goes live in January, so </w:t>
            </w:r>
            <w:r>
              <w:rPr>
                <w:rFonts w:ascii="Calibri" w:hAnsi="Calibri" w:cs="Calibri"/>
                <w:color w:val="808080" w:themeColor="background1" w:themeShade="80"/>
                <w:sz w:val="14"/>
                <w:szCs w:val="14"/>
              </w:rPr>
              <w:t xml:space="preserve">the impact will be </w:t>
            </w:r>
            <w:r w:rsidR="005C64E2">
              <w:rPr>
                <w:rFonts w:ascii="Calibri" w:hAnsi="Calibri" w:cs="Calibri"/>
                <w:color w:val="808080" w:themeColor="background1" w:themeShade="80"/>
                <w:sz w:val="14"/>
                <w:szCs w:val="14"/>
              </w:rPr>
              <w:t>assessed</w:t>
            </w:r>
            <w:r w:rsidR="00177240" w:rsidRPr="00EB67B1">
              <w:rPr>
                <w:rFonts w:ascii="Calibri" w:hAnsi="Calibri" w:cs="Calibri"/>
                <w:color w:val="808080" w:themeColor="background1" w:themeShade="80"/>
                <w:sz w:val="14"/>
                <w:szCs w:val="14"/>
              </w:rPr>
              <w:t xml:space="preserve"> at end of Q4.</w:t>
            </w:r>
          </w:p>
        </w:tc>
      </w:tr>
    </w:tbl>
    <w:p w14:paraId="7D75CB1D" w14:textId="77777777" w:rsidR="004A12AF" w:rsidRPr="00EB67B1" w:rsidRDefault="004A12AF" w:rsidP="004A12AF">
      <w:pPr>
        <w:spacing w:after="0"/>
        <w:rPr>
          <w:sz w:val="22"/>
          <w:szCs w:val="20"/>
        </w:rPr>
      </w:pPr>
    </w:p>
    <w:p w14:paraId="5FF45D8C" w14:textId="162B0845" w:rsidR="00DA125A" w:rsidRPr="00EB67B1" w:rsidRDefault="00DA125A">
      <w:pPr>
        <w:rPr>
          <w:rFonts w:ascii="Calibri" w:eastAsiaTheme="majorEastAsia" w:hAnsi="Calibri" w:cs="Calibri"/>
          <w:b/>
          <w:sz w:val="22"/>
          <w:szCs w:val="24"/>
        </w:rPr>
      </w:pPr>
    </w:p>
    <w:p w14:paraId="6EEFCAA6" w14:textId="52F549BC" w:rsidR="008D20BE" w:rsidRPr="00EB67B1" w:rsidRDefault="008D20BE" w:rsidP="008D20BE">
      <w:pPr>
        <w:pStyle w:val="Heading2"/>
        <w:shd w:val="clear" w:color="auto" w:fill="007DC3"/>
        <w:jc w:val="center"/>
        <w:rPr>
          <w:rFonts w:ascii="Calibri" w:hAnsi="Calibri" w:cs="Calibri"/>
          <w:sz w:val="22"/>
          <w:szCs w:val="24"/>
        </w:rPr>
      </w:pPr>
      <w:r w:rsidRPr="00EB67B1">
        <w:rPr>
          <w:rFonts w:ascii="Calibri" w:hAnsi="Calibri" w:cs="Calibri"/>
          <w:sz w:val="22"/>
          <w:szCs w:val="24"/>
        </w:rPr>
        <w:t xml:space="preserve">WE HAVE </w:t>
      </w:r>
      <w:r w:rsidR="00B31D44" w:rsidRPr="00EB67B1">
        <w:rPr>
          <w:rFonts w:ascii="Calibri" w:hAnsi="Calibri" w:cs="Calibri"/>
          <w:sz w:val="22"/>
          <w:szCs w:val="24"/>
        </w:rPr>
        <w:t>RESTORED</w:t>
      </w:r>
      <w:r w:rsidRPr="00EB67B1">
        <w:rPr>
          <w:rFonts w:ascii="Calibri" w:hAnsi="Calibri" w:cs="Calibri"/>
          <w:sz w:val="22"/>
          <w:szCs w:val="24"/>
        </w:rPr>
        <w:t xml:space="preserve"> NATURE</w:t>
      </w:r>
    </w:p>
    <w:tbl>
      <w:tblPr>
        <w:tblW w:w="15593" w:type="dxa"/>
        <w:jc w:val="center"/>
        <w:tblLayout w:type="fixed"/>
        <w:tblLook w:val="04A0" w:firstRow="1" w:lastRow="0" w:firstColumn="1" w:lastColumn="0" w:noHBand="0" w:noVBand="1"/>
      </w:tblPr>
      <w:tblGrid>
        <w:gridCol w:w="3119"/>
        <w:gridCol w:w="3118"/>
        <w:gridCol w:w="1277"/>
        <w:gridCol w:w="3826"/>
        <w:gridCol w:w="4253"/>
      </w:tblGrid>
      <w:tr w:rsidR="004914EA" w:rsidRPr="00EB67B1" w14:paraId="2D15FDE9" w14:textId="77777777" w:rsidTr="007E0A44">
        <w:trPr>
          <w:trHeight w:val="367"/>
          <w:tblHeader/>
          <w:jc w:val="center"/>
        </w:trPr>
        <w:tc>
          <w:tcPr>
            <w:tcW w:w="3119" w:type="dxa"/>
            <w:tcBorders>
              <w:bottom w:val="single" w:sz="4" w:space="0" w:color="548DD4" w:themeColor="text2" w:themeTint="99"/>
            </w:tcBorders>
          </w:tcPr>
          <w:p w14:paraId="6DF4F948" w14:textId="77777777" w:rsidR="004914EA" w:rsidRPr="00EB67B1" w:rsidRDefault="004914EA" w:rsidP="003753A7">
            <w:pPr>
              <w:spacing w:after="0"/>
              <w:jc w:val="center"/>
              <w:rPr>
                <w:rFonts w:ascii="Calibri" w:hAnsi="Calibri" w:cs="Calibri"/>
                <w:b/>
                <w:sz w:val="22"/>
                <w:szCs w:val="20"/>
              </w:rPr>
            </w:pPr>
            <w:r w:rsidRPr="00EB67B1">
              <w:rPr>
                <w:rFonts w:ascii="Calibri" w:hAnsi="Calibri" w:cs="Calibri"/>
                <w:b/>
                <w:sz w:val="22"/>
                <w:szCs w:val="20"/>
              </w:rPr>
              <w:t>Measure</w:t>
            </w:r>
          </w:p>
        </w:tc>
        <w:tc>
          <w:tcPr>
            <w:tcW w:w="3118" w:type="dxa"/>
            <w:tcBorders>
              <w:bottom w:val="single" w:sz="4" w:space="0" w:color="548DD4" w:themeColor="text2" w:themeTint="99"/>
            </w:tcBorders>
          </w:tcPr>
          <w:p w14:paraId="6A0C2C1A" w14:textId="1892FF93" w:rsidR="004914EA" w:rsidRPr="00EB67B1" w:rsidRDefault="004914EA" w:rsidP="003753A7">
            <w:pPr>
              <w:spacing w:after="0"/>
              <w:jc w:val="center"/>
              <w:rPr>
                <w:rFonts w:ascii="Calibri" w:hAnsi="Calibri" w:cs="Calibri"/>
                <w:b/>
                <w:sz w:val="22"/>
                <w:szCs w:val="20"/>
              </w:rPr>
            </w:pPr>
            <w:r w:rsidRPr="00EB67B1">
              <w:rPr>
                <w:rFonts w:ascii="Calibri" w:hAnsi="Calibri" w:cs="Calibri"/>
                <w:b/>
                <w:sz w:val="22"/>
                <w:szCs w:val="20"/>
              </w:rPr>
              <w:t>Performance Overview</w:t>
            </w:r>
          </w:p>
        </w:tc>
        <w:tc>
          <w:tcPr>
            <w:tcW w:w="1277" w:type="dxa"/>
            <w:tcBorders>
              <w:bottom w:val="single" w:sz="4" w:space="0" w:color="548DD4" w:themeColor="text2" w:themeTint="99"/>
            </w:tcBorders>
          </w:tcPr>
          <w:p w14:paraId="7004CDB7" w14:textId="77777777" w:rsidR="004914EA" w:rsidRPr="00EB67B1" w:rsidRDefault="004914EA" w:rsidP="003753A7">
            <w:pPr>
              <w:spacing w:after="0"/>
              <w:jc w:val="center"/>
              <w:rPr>
                <w:rFonts w:ascii="Calibri" w:hAnsi="Calibri" w:cs="Calibri"/>
                <w:b/>
                <w:sz w:val="22"/>
                <w:szCs w:val="20"/>
              </w:rPr>
            </w:pPr>
            <w:r w:rsidRPr="00EB67B1">
              <w:rPr>
                <w:rFonts w:ascii="Calibri" w:hAnsi="Calibri" w:cs="Calibri"/>
                <w:b/>
                <w:sz w:val="22"/>
                <w:szCs w:val="20"/>
              </w:rPr>
              <w:t>Actual</w:t>
            </w:r>
          </w:p>
        </w:tc>
        <w:tc>
          <w:tcPr>
            <w:tcW w:w="3826" w:type="dxa"/>
            <w:tcBorders>
              <w:bottom w:val="single" w:sz="4" w:space="0" w:color="548DD4" w:themeColor="text2" w:themeTint="99"/>
            </w:tcBorders>
          </w:tcPr>
          <w:p w14:paraId="0354D162" w14:textId="77777777" w:rsidR="004914EA" w:rsidRPr="00EB67B1" w:rsidRDefault="004914EA" w:rsidP="004F3330">
            <w:pPr>
              <w:spacing w:after="0"/>
              <w:jc w:val="center"/>
              <w:rPr>
                <w:rFonts w:ascii="Calibri" w:hAnsi="Calibri" w:cs="Calibri"/>
                <w:b/>
                <w:sz w:val="22"/>
                <w:szCs w:val="20"/>
              </w:rPr>
            </w:pPr>
            <w:r w:rsidRPr="00EB67B1">
              <w:rPr>
                <w:rFonts w:ascii="Calibri" w:hAnsi="Calibri" w:cs="Calibri"/>
                <w:b/>
                <w:sz w:val="22"/>
                <w:szCs w:val="20"/>
              </w:rPr>
              <w:t>Cause</w:t>
            </w:r>
          </w:p>
        </w:tc>
        <w:tc>
          <w:tcPr>
            <w:tcW w:w="4253" w:type="dxa"/>
            <w:tcBorders>
              <w:bottom w:val="single" w:sz="4" w:space="0" w:color="548DD4" w:themeColor="text2" w:themeTint="99"/>
            </w:tcBorders>
          </w:tcPr>
          <w:p w14:paraId="67F13F4B" w14:textId="77777777" w:rsidR="004914EA" w:rsidRPr="00EB67B1" w:rsidRDefault="004914EA" w:rsidP="004F3330">
            <w:pPr>
              <w:spacing w:after="0"/>
              <w:jc w:val="center"/>
              <w:rPr>
                <w:rFonts w:ascii="Calibri" w:hAnsi="Calibri" w:cs="Calibri"/>
                <w:b/>
                <w:sz w:val="22"/>
                <w:szCs w:val="20"/>
              </w:rPr>
            </w:pPr>
            <w:r w:rsidRPr="00EB67B1">
              <w:rPr>
                <w:rFonts w:ascii="Calibri" w:hAnsi="Calibri" w:cs="Calibri"/>
                <w:b/>
                <w:sz w:val="22"/>
                <w:szCs w:val="20"/>
              </w:rPr>
              <w:t>Response</w:t>
            </w:r>
          </w:p>
        </w:tc>
      </w:tr>
      <w:tr w:rsidR="004914EA" w:rsidRPr="00EB67B1" w14:paraId="68CE47DF" w14:textId="77777777" w:rsidTr="007E0A44">
        <w:trPr>
          <w:trHeight w:hRule="exact" w:val="1559"/>
          <w:jc w:val="center"/>
        </w:trPr>
        <w:tc>
          <w:tcPr>
            <w:tcW w:w="3119" w:type="dxa"/>
            <w:tcBorders>
              <w:top w:val="single" w:sz="4" w:space="0" w:color="548DD4" w:themeColor="text2" w:themeTint="99"/>
              <w:bottom w:val="single" w:sz="4" w:space="0" w:color="548DD4" w:themeColor="text2" w:themeTint="99"/>
            </w:tcBorders>
            <w:vAlign w:val="center"/>
          </w:tcPr>
          <w:p w14:paraId="759BB6DD" w14:textId="08BBE50B" w:rsidR="004914EA" w:rsidRPr="00EB67B1" w:rsidRDefault="004914EA" w:rsidP="0027236F">
            <w:pPr>
              <w:spacing w:after="0"/>
              <w:ind w:left="57"/>
              <w:rPr>
                <w:rFonts w:ascii="Calibri" w:hAnsi="Calibri" w:cs="Calibri"/>
                <w:b/>
                <w:iCs/>
                <w:color w:val="808080" w:themeColor="background1" w:themeShade="80"/>
                <w:sz w:val="18"/>
                <w:szCs w:val="18"/>
              </w:rPr>
            </w:pPr>
            <w:hyperlink r:id="rId23" w:history="1">
              <w:r w:rsidRPr="00EB67B1">
                <w:rPr>
                  <w:rStyle w:val="Hyperlink"/>
                  <w:rFonts w:ascii="Calibri" w:hAnsi="Calibri" w:cs="Calibri"/>
                  <w:b/>
                  <w:iCs/>
                  <w:color w:val="808080" w:themeColor="background1" w:themeShade="80"/>
                  <w:sz w:val="18"/>
                  <w:szCs w:val="18"/>
                </w:rPr>
                <w:t>No. of individual farm businesses that have completed a biodiversity audit</w:t>
              </w:r>
            </w:hyperlink>
          </w:p>
        </w:tc>
        <w:tc>
          <w:tcPr>
            <w:tcW w:w="3118" w:type="dxa"/>
            <w:tcBorders>
              <w:top w:val="single" w:sz="4" w:space="0" w:color="548DD4" w:themeColor="text2" w:themeTint="99"/>
              <w:bottom w:val="single" w:sz="4" w:space="0" w:color="548DD4" w:themeColor="text2" w:themeTint="99"/>
            </w:tcBorders>
            <w:vAlign w:val="center"/>
          </w:tcPr>
          <w:p w14:paraId="71C344CD" w14:textId="15276127" w:rsidR="004914EA" w:rsidRPr="00EB67B1" w:rsidRDefault="00890C2B" w:rsidP="00371D9E">
            <w:pPr>
              <w:spacing w:after="0"/>
              <w:rPr>
                <w:rFonts w:ascii="Calibri" w:hAnsi="Calibri" w:cs="Calibri"/>
                <w:b/>
                <w:color w:val="808080" w:themeColor="background1" w:themeShade="80"/>
                <w:sz w:val="18"/>
                <w:szCs w:val="18"/>
              </w:rPr>
            </w:pPr>
            <w:r w:rsidRPr="00EB67B1">
              <w:rPr>
                <w:rFonts w:ascii="Calibri" w:hAnsi="Calibri" w:cs="Calibri"/>
                <w:b/>
                <w:noProof/>
                <w:color w:val="808080" w:themeColor="background1" w:themeShade="80"/>
                <w:sz w:val="18"/>
                <w:szCs w:val="18"/>
              </w:rPr>
              <w:drawing>
                <wp:inline distT="0" distB="0" distL="0" distR="0" wp14:anchorId="20031BF6" wp14:editId="687EFBF7">
                  <wp:extent cx="1714500" cy="979295"/>
                  <wp:effectExtent l="0" t="0" r="0" b="0"/>
                  <wp:docPr id="855732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6312" cy="986042"/>
                          </a:xfrm>
                          <a:prstGeom prst="rect">
                            <a:avLst/>
                          </a:prstGeom>
                          <a:noFill/>
                        </pic:spPr>
                      </pic:pic>
                    </a:graphicData>
                  </a:graphic>
                </wp:inline>
              </w:drawing>
            </w:r>
          </w:p>
        </w:tc>
        <w:tc>
          <w:tcPr>
            <w:tcW w:w="1277" w:type="dxa"/>
            <w:tcBorders>
              <w:top w:val="single" w:sz="4" w:space="0" w:color="548DD4" w:themeColor="text2" w:themeTint="99"/>
              <w:bottom w:val="single" w:sz="4" w:space="0" w:color="548DD4" w:themeColor="text2" w:themeTint="99"/>
            </w:tcBorders>
            <w:vAlign w:val="center"/>
          </w:tcPr>
          <w:p w14:paraId="6B336AE0" w14:textId="4FADE847" w:rsidR="004914EA" w:rsidRPr="00EB67B1" w:rsidRDefault="00890C2B" w:rsidP="003753A7">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302 Total</w:t>
            </w:r>
          </w:p>
        </w:tc>
        <w:tc>
          <w:tcPr>
            <w:tcW w:w="3826" w:type="dxa"/>
            <w:tcBorders>
              <w:top w:val="single" w:sz="4" w:space="0" w:color="548DD4" w:themeColor="text2" w:themeTint="99"/>
              <w:bottom w:val="single" w:sz="4" w:space="0" w:color="548DD4" w:themeColor="text2" w:themeTint="99"/>
            </w:tcBorders>
          </w:tcPr>
          <w:p w14:paraId="2E97FDB3" w14:textId="11E149C0" w:rsidR="004914EA" w:rsidRPr="00EB67B1" w:rsidRDefault="00890C2B" w:rsidP="00F55608">
            <w:pPr>
              <w:spacing w:after="0"/>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231 farms have completed a biodiversity audit map of their farms.  230 farms have completed a habitat assessment.   231 plus 71 from 2023-24 gives cumulative total of 302.</w:t>
            </w:r>
          </w:p>
        </w:tc>
        <w:tc>
          <w:tcPr>
            <w:tcW w:w="4253" w:type="dxa"/>
            <w:tcBorders>
              <w:top w:val="single" w:sz="4" w:space="0" w:color="548DD4" w:themeColor="text2" w:themeTint="99"/>
              <w:bottom w:val="single" w:sz="4" w:space="0" w:color="548DD4" w:themeColor="text2" w:themeTint="99"/>
            </w:tcBorders>
          </w:tcPr>
          <w:p w14:paraId="17EC8C47" w14:textId="35292BAC" w:rsidR="004914EA" w:rsidRPr="00EB67B1" w:rsidRDefault="005E78E1" w:rsidP="00F55608">
            <w:pPr>
              <w:spacing w:after="0"/>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No response required</w:t>
            </w:r>
          </w:p>
        </w:tc>
      </w:tr>
      <w:tr w:rsidR="00A15D6F" w:rsidRPr="00EB67B1" w14:paraId="6975E74A" w14:textId="77777777" w:rsidTr="007E0A44">
        <w:trPr>
          <w:trHeight w:hRule="exact" w:val="1850"/>
          <w:jc w:val="center"/>
        </w:trPr>
        <w:tc>
          <w:tcPr>
            <w:tcW w:w="3119" w:type="dxa"/>
            <w:tcBorders>
              <w:top w:val="single" w:sz="4" w:space="0" w:color="548DD4" w:themeColor="text2" w:themeTint="99"/>
              <w:bottom w:val="single" w:sz="4" w:space="0" w:color="548DD4" w:themeColor="text2" w:themeTint="99"/>
            </w:tcBorders>
            <w:vAlign w:val="center"/>
          </w:tcPr>
          <w:p w14:paraId="6AB37EFB" w14:textId="01145F42" w:rsidR="004914EA" w:rsidRPr="00EB67B1" w:rsidRDefault="004914EA" w:rsidP="0027236F">
            <w:pPr>
              <w:spacing w:after="0"/>
              <w:ind w:left="57"/>
              <w:rPr>
                <w:rFonts w:ascii="Calibri" w:hAnsi="Calibri" w:cs="Calibri"/>
                <w:b/>
                <w:iCs/>
                <w:color w:val="808080" w:themeColor="background1" w:themeShade="80"/>
                <w:sz w:val="18"/>
                <w:szCs w:val="18"/>
              </w:rPr>
            </w:pPr>
            <w:hyperlink r:id="rId25" w:history="1">
              <w:r w:rsidRPr="00EB67B1">
                <w:rPr>
                  <w:rStyle w:val="Hyperlink"/>
                  <w:rFonts w:ascii="Calibri" w:hAnsi="Calibri" w:cs="Calibri"/>
                  <w:b/>
                  <w:iCs/>
                  <w:color w:val="808080" w:themeColor="background1" w:themeShade="80"/>
                  <w:sz w:val="18"/>
                  <w:szCs w:val="18"/>
                </w:rPr>
                <w:t>No. of marine renewable energy consultations we provide advice on avoiding impacts on nature</w:t>
              </w:r>
            </w:hyperlink>
          </w:p>
        </w:tc>
        <w:tc>
          <w:tcPr>
            <w:tcW w:w="3118" w:type="dxa"/>
            <w:tcBorders>
              <w:top w:val="single" w:sz="4" w:space="0" w:color="548DD4" w:themeColor="text2" w:themeTint="99"/>
              <w:bottom w:val="single" w:sz="4" w:space="0" w:color="548DD4" w:themeColor="text2" w:themeTint="99"/>
            </w:tcBorders>
            <w:vAlign w:val="center"/>
          </w:tcPr>
          <w:p w14:paraId="031B4BB6" w14:textId="4A93218A" w:rsidR="004914EA" w:rsidRPr="00EB67B1" w:rsidRDefault="00177240" w:rsidP="00087704">
            <w:pPr>
              <w:spacing w:after="0"/>
              <w:rPr>
                <w:rFonts w:ascii="Calibri" w:hAnsi="Calibri" w:cs="Calibri"/>
                <w:noProof/>
                <w:color w:val="808080" w:themeColor="background1" w:themeShade="80"/>
                <w:sz w:val="18"/>
                <w:szCs w:val="18"/>
                <w:lang w:eastAsia="en-GB"/>
              </w:rPr>
            </w:pPr>
            <w:r w:rsidRPr="00EB67B1">
              <w:rPr>
                <w:rFonts w:ascii="Calibri" w:hAnsi="Calibri" w:cs="Calibri"/>
                <w:noProof/>
                <w:color w:val="808080" w:themeColor="background1" w:themeShade="80"/>
                <w:sz w:val="18"/>
                <w:szCs w:val="18"/>
                <w:lang w:eastAsia="en-GB"/>
              </w:rPr>
              <w:drawing>
                <wp:inline distT="0" distB="0" distL="0" distR="0" wp14:anchorId="3BC39CAF" wp14:editId="17D87596">
                  <wp:extent cx="1858012" cy="920188"/>
                  <wp:effectExtent l="0" t="0" r="8890" b="0"/>
                  <wp:docPr id="2071322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89198" cy="935633"/>
                          </a:xfrm>
                          <a:prstGeom prst="rect">
                            <a:avLst/>
                          </a:prstGeom>
                          <a:noFill/>
                        </pic:spPr>
                      </pic:pic>
                    </a:graphicData>
                  </a:graphic>
                </wp:inline>
              </w:drawing>
            </w:r>
          </w:p>
        </w:tc>
        <w:tc>
          <w:tcPr>
            <w:tcW w:w="1277" w:type="dxa"/>
            <w:tcBorders>
              <w:top w:val="single" w:sz="4" w:space="0" w:color="548DD4" w:themeColor="text2" w:themeTint="99"/>
              <w:bottom w:val="single" w:sz="4" w:space="0" w:color="548DD4" w:themeColor="text2" w:themeTint="99"/>
            </w:tcBorders>
            <w:vAlign w:val="center"/>
          </w:tcPr>
          <w:p w14:paraId="49344781" w14:textId="021050DD" w:rsidR="004914EA" w:rsidRPr="00EB67B1" w:rsidRDefault="00177240" w:rsidP="003753A7">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93</w:t>
            </w:r>
          </w:p>
        </w:tc>
        <w:tc>
          <w:tcPr>
            <w:tcW w:w="3826" w:type="dxa"/>
            <w:tcBorders>
              <w:top w:val="single" w:sz="4" w:space="0" w:color="548DD4" w:themeColor="text2" w:themeTint="99"/>
              <w:bottom w:val="single" w:sz="4" w:space="0" w:color="548DD4" w:themeColor="text2" w:themeTint="99"/>
            </w:tcBorders>
          </w:tcPr>
          <w:p w14:paraId="4D5BF28A" w14:textId="4F9641AF" w:rsidR="00177240" w:rsidRPr="00EB67B1" w:rsidRDefault="00177240" w:rsidP="00177240">
            <w:pPr>
              <w:spacing w:after="0"/>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Encompasses October holiday period. Includes the following significant consultation responses issued: </w:t>
            </w:r>
            <w:proofErr w:type="spellStart"/>
            <w:r w:rsidRPr="00EB67B1">
              <w:rPr>
                <w:rFonts w:ascii="Calibri" w:hAnsi="Calibri" w:cs="Calibri"/>
                <w:color w:val="808080" w:themeColor="background1" w:themeShade="80"/>
                <w:sz w:val="14"/>
                <w:szCs w:val="14"/>
              </w:rPr>
              <w:t>Bowdun</w:t>
            </w:r>
            <w:proofErr w:type="spellEnd"/>
            <w:r w:rsidRPr="00EB67B1">
              <w:rPr>
                <w:rFonts w:ascii="Calibri" w:hAnsi="Calibri" w:cs="Calibri"/>
                <w:color w:val="808080" w:themeColor="background1" w:themeShade="80"/>
                <w:sz w:val="14"/>
                <w:szCs w:val="14"/>
              </w:rPr>
              <w:t xml:space="preserve"> Scoping, </w:t>
            </w:r>
            <w:proofErr w:type="spellStart"/>
            <w:r w:rsidRPr="00EB67B1">
              <w:rPr>
                <w:rFonts w:ascii="Calibri" w:hAnsi="Calibri" w:cs="Calibri"/>
                <w:color w:val="808080" w:themeColor="background1" w:themeShade="80"/>
                <w:sz w:val="14"/>
                <w:szCs w:val="14"/>
              </w:rPr>
              <w:t>MachairWind</w:t>
            </w:r>
            <w:proofErr w:type="spellEnd"/>
            <w:r w:rsidRPr="00EB67B1">
              <w:rPr>
                <w:rFonts w:ascii="Calibri" w:hAnsi="Calibri" w:cs="Calibri"/>
                <w:color w:val="808080" w:themeColor="background1" w:themeShade="80"/>
                <w:sz w:val="14"/>
                <w:szCs w:val="14"/>
              </w:rPr>
              <w:t xml:space="preserve"> Scoping, West of Orkney Additional Information. </w:t>
            </w:r>
          </w:p>
          <w:p w14:paraId="5B748228" w14:textId="7A305E17" w:rsidR="00177240" w:rsidRPr="00EB67B1" w:rsidRDefault="00177240" w:rsidP="00177240">
            <w:pPr>
              <w:spacing w:after="0"/>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Also includes </w:t>
            </w:r>
            <w:proofErr w:type="spellStart"/>
            <w:r w:rsidRPr="00EB67B1">
              <w:rPr>
                <w:rFonts w:ascii="Calibri" w:hAnsi="Calibri" w:cs="Calibri"/>
                <w:color w:val="808080" w:themeColor="background1" w:themeShade="80"/>
                <w:sz w:val="14"/>
                <w:szCs w:val="14"/>
              </w:rPr>
              <w:t>Talisk</w:t>
            </w:r>
            <w:proofErr w:type="spellEnd"/>
            <w:r w:rsidRPr="00EB67B1">
              <w:rPr>
                <w:rFonts w:ascii="Calibri" w:hAnsi="Calibri" w:cs="Calibri"/>
                <w:color w:val="808080" w:themeColor="background1" w:themeShade="80"/>
                <w:sz w:val="14"/>
                <w:szCs w:val="14"/>
              </w:rPr>
              <w:t xml:space="preserve"> </w:t>
            </w:r>
            <w:r w:rsidR="00A538D3">
              <w:rPr>
                <w:rFonts w:ascii="Calibri" w:hAnsi="Calibri" w:cs="Calibri"/>
                <w:color w:val="808080" w:themeColor="background1" w:themeShade="80"/>
                <w:sz w:val="14"/>
                <w:szCs w:val="14"/>
              </w:rPr>
              <w:t>and</w:t>
            </w:r>
            <w:r w:rsidRPr="00EB67B1">
              <w:rPr>
                <w:rFonts w:ascii="Calibri" w:hAnsi="Calibri" w:cs="Calibri"/>
                <w:color w:val="808080" w:themeColor="background1" w:themeShade="80"/>
                <w:sz w:val="14"/>
                <w:szCs w:val="14"/>
              </w:rPr>
              <w:t xml:space="preserve"> </w:t>
            </w:r>
            <w:proofErr w:type="spellStart"/>
            <w:r w:rsidRPr="00EB67B1">
              <w:rPr>
                <w:rFonts w:ascii="Calibri" w:hAnsi="Calibri" w:cs="Calibri"/>
                <w:color w:val="808080" w:themeColor="background1" w:themeShade="80"/>
                <w:sz w:val="14"/>
                <w:szCs w:val="14"/>
              </w:rPr>
              <w:t>CampionWind</w:t>
            </w:r>
            <w:proofErr w:type="spellEnd"/>
            <w:r w:rsidRPr="00EB67B1">
              <w:rPr>
                <w:rFonts w:ascii="Calibri" w:hAnsi="Calibri" w:cs="Calibri"/>
                <w:color w:val="808080" w:themeColor="background1" w:themeShade="80"/>
                <w:sz w:val="14"/>
                <w:szCs w:val="14"/>
              </w:rPr>
              <w:t xml:space="preserve"> Scoping Workshops. </w:t>
            </w:r>
          </w:p>
          <w:p w14:paraId="75A7F727" w14:textId="24EF3FBC" w:rsidR="004914EA" w:rsidRPr="00EB67B1" w:rsidRDefault="00177240" w:rsidP="00177240">
            <w:pPr>
              <w:spacing w:after="0"/>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Caledonia </w:t>
            </w:r>
            <w:r w:rsidR="00A538D3">
              <w:rPr>
                <w:rFonts w:ascii="Calibri" w:hAnsi="Calibri" w:cs="Calibri"/>
                <w:color w:val="808080" w:themeColor="background1" w:themeShade="80"/>
                <w:sz w:val="14"/>
                <w:szCs w:val="14"/>
              </w:rPr>
              <w:t>and</w:t>
            </w:r>
            <w:r w:rsidRPr="00EB67B1">
              <w:rPr>
                <w:rFonts w:ascii="Calibri" w:hAnsi="Calibri" w:cs="Calibri"/>
                <w:color w:val="808080" w:themeColor="background1" w:themeShade="80"/>
                <w:sz w:val="14"/>
                <w:szCs w:val="14"/>
              </w:rPr>
              <w:t xml:space="preserve"> Muir </w:t>
            </w:r>
            <w:proofErr w:type="spellStart"/>
            <w:r w:rsidRPr="00EB67B1">
              <w:rPr>
                <w:rFonts w:ascii="Calibri" w:hAnsi="Calibri" w:cs="Calibri"/>
                <w:color w:val="808080" w:themeColor="background1" w:themeShade="80"/>
                <w:sz w:val="14"/>
                <w:szCs w:val="14"/>
              </w:rPr>
              <w:t>Mhor</w:t>
            </w:r>
            <w:proofErr w:type="spellEnd"/>
            <w:r w:rsidRPr="00EB67B1">
              <w:rPr>
                <w:rFonts w:ascii="Calibri" w:hAnsi="Calibri" w:cs="Calibri"/>
                <w:color w:val="808080" w:themeColor="background1" w:themeShade="80"/>
                <w:sz w:val="14"/>
                <w:szCs w:val="14"/>
              </w:rPr>
              <w:t xml:space="preserve"> s36 Applications received and work on these underway.</w:t>
            </w:r>
          </w:p>
        </w:tc>
        <w:tc>
          <w:tcPr>
            <w:tcW w:w="4253" w:type="dxa"/>
            <w:tcBorders>
              <w:top w:val="single" w:sz="4" w:space="0" w:color="548DD4" w:themeColor="text2" w:themeTint="99"/>
              <w:bottom w:val="single" w:sz="4" w:space="0" w:color="548DD4" w:themeColor="text2" w:themeTint="99"/>
            </w:tcBorders>
          </w:tcPr>
          <w:p w14:paraId="191558B0" w14:textId="77777777" w:rsidR="00177240" w:rsidRPr="00EB67B1" w:rsidRDefault="00177240" w:rsidP="00177240">
            <w:pPr>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No response required.</w:t>
            </w:r>
          </w:p>
          <w:p w14:paraId="47C19B76" w14:textId="5D21C19C" w:rsidR="004914EA" w:rsidRPr="00EB67B1" w:rsidRDefault="004914EA" w:rsidP="00F55608">
            <w:pPr>
              <w:spacing w:after="0"/>
              <w:ind w:right="181"/>
              <w:rPr>
                <w:rFonts w:ascii="Calibri" w:hAnsi="Calibri" w:cs="Calibri"/>
                <w:color w:val="808080" w:themeColor="background1" w:themeShade="80"/>
                <w:sz w:val="14"/>
                <w:szCs w:val="14"/>
              </w:rPr>
            </w:pPr>
          </w:p>
        </w:tc>
      </w:tr>
      <w:tr w:rsidR="00A15D6F" w:rsidRPr="00EB67B1" w14:paraId="327CCC74" w14:textId="77777777" w:rsidTr="00EB67B1">
        <w:trPr>
          <w:trHeight w:hRule="exact" w:val="2183"/>
          <w:jc w:val="center"/>
        </w:trPr>
        <w:tc>
          <w:tcPr>
            <w:tcW w:w="3119" w:type="dxa"/>
            <w:tcBorders>
              <w:top w:val="single" w:sz="4" w:space="0" w:color="548DD4" w:themeColor="text2" w:themeTint="99"/>
              <w:bottom w:val="single" w:sz="4" w:space="0" w:color="548DD4" w:themeColor="text2" w:themeTint="99"/>
            </w:tcBorders>
            <w:vAlign w:val="center"/>
          </w:tcPr>
          <w:p w14:paraId="1BEE0319" w14:textId="1331AB0C" w:rsidR="004914EA" w:rsidRPr="00EB67B1" w:rsidRDefault="004914EA" w:rsidP="0027236F">
            <w:pPr>
              <w:spacing w:after="0"/>
              <w:ind w:left="57"/>
              <w:rPr>
                <w:rFonts w:ascii="Calibri" w:hAnsi="Calibri" w:cs="Calibri"/>
                <w:b/>
                <w:iCs/>
                <w:color w:val="808080" w:themeColor="background1" w:themeShade="80"/>
                <w:sz w:val="18"/>
                <w:szCs w:val="18"/>
              </w:rPr>
            </w:pPr>
            <w:hyperlink r:id="rId27" w:history="1">
              <w:r w:rsidRPr="00EB67B1">
                <w:rPr>
                  <w:rStyle w:val="Hyperlink"/>
                  <w:rFonts w:ascii="Calibri" w:hAnsi="Calibri" w:cs="Calibri"/>
                  <w:b/>
                  <w:iCs/>
                  <w:color w:val="808080" w:themeColor="background1" w:themeShade="80"/>
                  <w:sz w:val="18"/>
                  <w:szCs w:val="18"/>
                </w:rPr>
                <w:t xml:space="preserve">NatureScot is in partnership with new </w:t>
              </w:r>
            </w:hyperlink>
            <w:r w:rsidR="00B20645" w:rsidRPr="00EB67B1">
              <w:rPr>
                <w:rStyle w:val="Hyperlink"/>
                <w:rFonts w:ascii="Calibri" w:hAnsi="Calibri" w:cs="Calibri"/>
                <w:b/>
                <w:iCs/>
                <w:color w:val="808080" w:themeColor="background1" w:themeShade="80"/>
                <w:sz w:val="18"/>
                <w:szCs w:val="18"/>
              </w:rPr>
              <w:t>recipients</w:t>
            </w:r>
          </w:p>
        </w:tc>
        <w:tc>
          <w:tcPr>
            <w:tcW w:w="3118" w:type="dxa"/>
            <w:tcBorders>
              <w:top w:val="single" w:sz="4" w:space="0" w:color="548DD4" w:themeColor="text2" w:themeTint="99"/>
              <w:bottom w:val="single" w:sz="4" w:space="0" w:color="548DD4" w:themeColor="text2" w:themeTint="99"/>
            </w:tcBorders>
            <w:vAlign w:val="center"/>
          </w:tcPr>
          <w:p w14:paraId="14F99147" w14:textId="6D6A96FA" w:rsidR="004914EA" w:rsidRPr="00EB67B1" w:rsidRDefault="00177240" w:rsidP="003753A7">
            <w:pPr>
              <w:spacing w:after="0"/>
              <w:jc w:val="center"/>
              <w:rPr>
                <w:rFonts w:ascii="Calibri" w:hAnsi="Calibri" w:cs="Calibri"/>
                <w:b/>
                <w:color w:val="808080" w:themeColor="background1" w:themeShade="80"/>
                <w:sz w:val="18"/>
                <w:szCs w:val="18"/>
              </w:rPr>
            </w:pPr>
            <w:r w:rsidRPr="00EB67B1">
              <w:rPr>
                <w:rFonts w:ascii="Calibri" w:hAnsi="Calibri" w:cs="Calibri"/>
                <w:b/>
                <w:noProof/>
                <w:color w:val="808080" w:themeColor="background1" w:themeShade="80"/>
                <w:sz w:val="18"/>
                <w:szCs w:val="18"/>
              </w:rPr>
              <w:drawing>
                <wp:inline distT="0" distB="0" distL="0" distR="0" wp14:anchorId="73E34F70" wp14:editId="3328EB8B">
                  <wp:extent cx="1840375" cy="757509"/>
                  <wp:effectExtent l="0" t="0" r="7620" b="5080"/>
                  <wp:docPr id="2423989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61779" cy="766319"/>
                          </a:xfrm>
                          <a:prstGeom prst="rect">
                            <a:avLst/>
                          </a:prstGeom>
                          <a:noFill/>
                        </pic:spPr>
                      </pic:pic>
                    </a:graphicData>
                  </a:graphic>
                </wp:inline>
              </w:drawing>
            </w:r>
          </w:p>
        </w:tc>
        <w:tc>
          <w:tcPr>
            <w:tcW w:w="1277" w:type="dxa"/>
            <w:tcBorders>
              <w:top w:val="single" w:sz="4" w:space="0" w:color="548DD4" w:themeColor="text2" w:themeTint="99"/>
              <w:bottom w:val="single" w:sz="4" w:space="0" w:color="548DD4" w:themeColor="text2" w:themeTint="99"/>
            </w:tcBorders>
            <w:vAlign w:val="center"/>
          </w:tcPr>
          <w:p w14:paraId="4547174D" w14:textId="6AAD47C6" w:rsidR="004914EA" w:rsidRPr="00EB67B1" w:rsidRDefault="00177240" w:rsidP="003753A7">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4</w:t>
            </w:r>
          </w:p>
        </w:tc>
        <w:tc>
          <w:tcPr>
            <w:tcW w:w="3826" w:type="dxa"/>
            <w:tcBorders>
              <w:top w:val="single" w:sz="4" w:space="0" w:color="548DD4" w:themeColor="text2" w:themeTint="99"/>
              <w:bottom w:val="single" w:sz="4" w:space="0" w:color="548DD4" w:themeColor="text2" w:themeTint="99"/>
            </w:tcBorders>
          </w:tcPr>
          <w:p w14:paraId="5355BBE3" w14:textId="634A0FF7" w:rsidR="004914EA" w:rsidRPr="00EB67B1" w:rsidRDefault="00177240" w:rsidP="0027236F">
            <w:pPr>
              <w:spacing w:after="0"/>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1 new HN recipient (out of 2 new HN grants).</w:t>
            </w:r>
            <w:r w:rsidR="0027236F">
              <w:rPr>
                <w:rFonts w:ascii="Calibri" w:hAnsi="Calibri" w:cs="Calibri"/>
                <w:color w:val="808080" w:themeColor="background1" w:themeShade="80"/>
                <w:sz w:val="14"/>
                <w:szCs w:val="14"/>
              </w:rPr>
              <w:t xml:space="preserve"> </w:t>
            </w:r>
            <w:r w:rsidRPr="00EB67B1">
              <w:rPr>
                <w:rFonts w:ascii="Calibri" w:hAnsi="Calibri" w:cs="Calibri"/>
                <w:color w:val="808080" w:themeColor="background1" w:themeShade="80"/>
                <w:sz w:val="14"/>
                <w:szCs w:val="14"/>
              </w:rPr>
              <w:t>3 new TN Development recipients (out of 9 new TN Development grants).</w:t>
            </w:r>
            <w:r w:rsidR="0027236F">
              <w:rPr>
                <w:rFonts w:ascii="Calibri" w:hAnsi="Calibri" w:cs="Calibri"/>
                <w:color w:val="808080" w:themeColor="background1" w:themeShade="80"/>
                <w:sz w:val="14"/>
                <w:szCs w:val="14"/>
              </w:rPr>
              <w:t xml:space="preserve"> </w:t>
            </w:r>
            <w:r w:rsidRPr="00EB67B1">
              <w:rPr>
                <w:rFonts w:ascii="Calibri" w:hAnsi="Calibri" w:cs="Calibri"/>
                <w:color w:val="808080" w:themeColor="background1" w:themeShade="80"/>
                <w:sz w:val="14"/>
                <w:szCs w:val="14"/>
              </w:rPr>
              <w:t>0 new TN Delivery recipients (out of 2 new TN Delivery grants)."</w:t>
            </w:r>
          </w:p>
        </w:tc>
        <w:tc>
          <w:tcPr>
            <w:tcW w:w="4253" w:type="dxa"/>
            <w:tcBorders>
              <w:top w:val="single" w:sz="4" w:space="0" w:color="548DD4" w:themeColor="text2" w:themeTint="99"/>
              <w:bottom w:val="single" w:sz="4" w:space="0" w:color="548DD4" w:themeColor="text2" w:themeTint="99"/>
            </w:tcBorders>
          </w:tcPr>
          <w:p w14:paraId="000DB39C" w14:textId="3DC90177" w:rsidR="00EB67B1" w:rsidRPr="00EB67B1" w:rsidRDefault="0027236F" w:rsidP="00EB67B1">
            <w:pPr>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T</w:t>
            </w:r>
            <w:r w:rsidR="00EB67B1" w:rsidRPr="00EB67B1">
              <w:rPr>
                <w:rFonts w:ascii="Calibri" w:hAnsi="Calibri" w:cs="Calibri"/>
                <w:color w:val="808080" w:themeColor="background1" w:themeShade="80"/>
                <w:sz w:val="14"/>
                <w:szCs w:val="14"/>
              </w:rPr>
              <w:t xml:space="preserve">here was one NRF decision panel held for decisions across both Helping Nature and Transforming Nature strands of the programme. This was the final panel under the current NRF programme for Helping Nature and Transforming Nature delivery funding, with a limited budget remaining for 1 year projects starting in April 2025. New recipients of NRF funding include a farm in Dumfries </w:t>
            </w:r>
            <w:r w:rsidR="00A538D3">
              <w:rPr>
                <w:rFonts w:ascii="Calibri" w:hAnsi="Calibri" w:cs="Calibri"/>
                <w:color w:val="808080" w:themeColor="background1" w:themeShade="80"/>
                <w:sz w:val="14"/>
                <w:szCs w:val="14"/>
              </w:rPr>
              <w:t>and</w:t>
            </w:r>
            <w:r w:rsidR="00EB67B1" w:rsidRPr="00EB67B1">
              <w:rPr>
                <w:rFonts w:ascii="Calibri" w:hAnsi="Calibri" w:cs="Calibri"/>
                <w:color w:val="808080" w:themeColor="background1" w:themeShade="80"/>
                <w:sz w:val="14"/>
                <w:szCs w:val="14"/>
              </w:rPr>
              <w:t xml:space="preserve"> Galloway (</w:t>
            </w:r>
            <w:proofErr w:type="spellStart"/>
            <w:r w:rsidR="00EB67B1" w:rsidRPr="00EB67B1">
              <w:rPr>
                <w:rFonts w:ascii="Calibri" w:hAnsi="Calibri" w:cs="Calibri"/>
                <w:color w:val="808080" w:themeColor="background1" w:themeShade="80"/>
                <w:sz w:val="14"/>
                <w:szCs w:val="14"/>
              </w:rPr>
              <w:t>Balmangan</w:t>
            </w:r>
            <w:proofErr w:type="spellEnd"/>
            <w:r w:rsidR="00EB67B1" w:rsidRPr="00EB67B1">
              <w:rPr>
                <w:rFonts w:ascii="Calibri" w:hAnsi="Calibri" w:cs="Calibri"/>
                <w:color w:val="808080" w:themeColor="background1" w:themeShade="80"/>
                <w:sz w:val="14"/>
                <w:szCs w:val="14"/>
              </w:rPr>
              <w:t xml:space="preserve"> Farm) and South Kintyre Development Trust. </w:t>
            </w:r>
          </w:p>
          <w:p w14:paraId="1B15E848" w14:textId="30A205AF" w:rsidR="004914EA" w:rsidRPr="00EB67B1" w:rsidRDefault="004914EA" w:rsidP="00F55608">
            <w:pPr>
              <w:spacing w:after="0"/>
              <w:ind w:right="181"/>
              <w:rPr>
                <w:rFonts w:ascii="Calibri" w:hAnsi="Calibri" w:cs="Calibri"/>
                <w:color w:val="808080" w:themeColor="background1" w:themeShade="80"/>
                <w:sz w:val="14"/>
                <w:szCs w:val="14"/>
              </w:rPr>
            </w:pPr>
          </w:p>
        </w:tc>
      </w:tr>
      <w:tr w:rsidR="004914EA" w:rsidRPr="00EB67B1" w14:paraId="0B880800" w14:textId="77777777" w:rsidTr="007E0A44">
        <w:trPr>
          <w:trHeight w:hRule="exact" w:val="1623"/>
          <w:jc w:val="center"/>
        </w:trPr>
        <w:tc>
          <w:tcPr>
            <w:tcW w:w="3119" w:type="dxa"/>
            <w:tcBorders>
              <w:top w:val="single" w:sz="4" w:space="0" w:color="548DD4" w:themeColor="text2" w:themeTint="99"/>
              <w:bottom w:val="single" w:sz="4" w:space="0" w:color="548DD4" w:themeColor="text2" w:themeTint="99"/>
            </w:tcBorders>
            <w:vAlign w:val="center"/>
          </w:tcPr>
          <w:p w14:paraId="5CC944F2" w14:textId="68D547FF" w:rsidR="004914EA" w:rsidRPr="00EB67B1" w:rsidRDefault="004914EA" w:rsidP="0027236F">
            <w:pPr>
              <w:spacing w:after="0"/>
              <w:ind w:left="57"/>
              <w:rPr>
                <w:rFonts w:ascii="Calibri" w:hAnsi="Calibri" w:cs="Calibri"/>
                <w:b/>
                <w:iCs/>
                <w:color w:val="808080" w:themeColor="background1" w:themeShade="80"/>
                <w:sz w:val="18"/>
                <w:szCs w:val="18"/>
              </w:rPr>
            </w:pPr>
            <w:hyperlink r:id="rId29" w:history="1">
              <w:r w:rsidRPr="00EB67B1">
                <w:rPr>
                  <w:rStyle w:val="Hyperlink"/>
                  <w:rFonts w:ascii="Calibri" w:hAnsi="Calibri" w:cs="Calibri"/>
                  <w:b/>
                  <w:iCs/>
                  <w:color w:val="808080" w:themeColor="background1" w:themeShade="80"/>
                  <w:sz w:val="18"/>
                  <w:szCs w:val="18"/>
                </w:rPr>
                <w:t>External funds raised by SMEEF and the amount allocated to projects.</w:t>
              </w:r>
            </w:hyperlink>
          </w:p>
        </w:tc>
        <w:tc>
          <w:tcPr>
            <w:tcW w:w="3118" w:type="dxa"/>
            <w:tcBorders>
              <w:top w:val="single" w:sz="4" w:space="0" w:color="548DD4" w:themeColor="text2" w:themeTint="99"/>
              <w:bottom w:val="single" w:sz="4" w:space="0" w:color="548DD4" w:themeColor="text2" w:themeTint="99"/>
            </w:tcBorders>
            <w:vAlign w:val="center"/>
          </w:tcPr>
          <w:p w14:paraId="3066D14E" w14:textId="6F165E30" w:rsidR="004914EA" w:rsidRPr="00EB67B1" w:rsidRDefault="00471BF1" w:rsidP="003753A7">
            <w:pPr>
              <w:spacing w:after="0"/>
              <w:jc w:val="center"/>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7AA9448B" wp14:editId="55E9F383">
                  <wp:extent cx="1828800" cy="840741"/>
                  <wp:effectExtent l="0" t="0" r="0" b="0"/>
                  <wp:docPr id="6546318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41917" cy="846771"/>
                          </a:xfrm>
                          <a:prstGeom prst="rect">
                            <a:avLst/>
                          </a:prstGeom>
                          <a:noFill/>
                        </pic:spPr>
                      </pic:pic>
                    </a:graphicData>
                  </a:graphic>
                </wp:inline>
              </w:drawing>
            </w:r>
          </w:p>
        </w:tc>
        <w:tc>
          <w:tcPr>
            <w:tcW w:w="1277" w:type="dxa"/>
            <w:tcBorders>
              <w:top w:val="single" w:sz="4" w:space="0" w:color="548DD4" w:themeColor="text2" w:themeTint="99"/>
              <w:bottom w:val="single" w:sz="4" w:space="0" w:color="548DD4" w:themeColor="text2" w:themeTint="99"/>
            </w:tcBorders>
            <w:vAlign w:val="center"/>
          </w:tcPr>
          <w:p w14:paraId="73786B8F" w14:textId="0136413F" w:rsidR="004914EA" w:rsidRPr="0027236F" w:rsidRDefault="00471BF1" w:rsidP="0027236F">
            <w:pPr>
              <w:spacing w:after="0"/>
              <w:jc w:val="center"/>
              <w:rPr>
                <w:rFonts w:ascii="Calibri" w:hAnsi="Calibri" w:cs="Calibri"/>
                <w:color w:val="808080" w:themeColor="background1" w:themeShade="80"/>
                <w:sz w:val="18"/>
                <w:szCs w:val="18"/>
              </w:rPr>
            </w:pPr>
            <w:r w:rsidRPr="0027236F">
              <w:rPr>
                <w:rFonts w:ascii="Calibri" w:hAnsi="Calibri" w:cs="Calibri"/>
                <w:color w:val="808080" w:themeColor="background1" w:themeShade="80"/>
                <w:sz w:val="18"/>
                <w:szCs w:val="18"/>
              </w:rPr>
              <w:t>£460,000</w:t>
            </w:r>
          </w:p>
        </w:tc>
        <w:tc>
          <w:tcPr>
            <w:tcW w:w="3826" w:type="dxa"/>
            <w:tcBorders>
              <w:top w:val="single" w:sz="4" w:space="0" w:color="548DD4" w:themeColor="text2" w:themeTint="99"/>
              <w:bottom w:val="single" w:sz="4" w:space="0" w:color="548DD4" w:themeColor="text2" w:themeTint="99"/>
            </w:tcBorders>
          </w:tcPr>
          <w:p w14:paraId="6DC33F10" w14:textId="20D10D66" w:rsidR="004914EA" w:rsidRPr="00EB67B1" w:rsidRDefault="00471BF1" w:rsidP="00471BF1">
            <w:pPr>
              <w:spacing w:after="0"/>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£400,000 from SHEPD towards Seagrass Fund; £50,000 for </w:t>
            </w:r>
            <w:r w:rsidR="0027236F" w:rsidRPr="00EB67B1">
              <w:rPr>
                <w:rFonts w:ascii="Calibri" w:hAnsi="Calibri" w:cs="Calibri"/>
                <w:color w:val="808080" w:themeColor="background1" w:themeShade="80"/>
                <w:sz w:val="14"/>
                <w:szCs w:val="14"/>
              </w:rPr>
              <w:t>Seabird Resilience</w:t>
            </w:r>
            <w:r w:rsidRPr="00EB67B1">
              <w:rPr>
                <w:rFonts w:ascii="Calibri" w:hAnsi="Calibri" w:cs="Calibri"/>
                <w:color w:val="808080" w:themeColor="background1" w:themeShade="80"/>
                <w:sz w:val="14"/>
                <w:szCs w:val="14"/>
              </w:rPr>
              <w:t xml:space="preserve"> Fund and £10,000 of unrestricted funds</w:t>
            </w:r>
          </w:p>
        </w:tc>
        <w:tc>
          <w:tcPr>
            <w:tcW w:w="4253" w:type="dxa"/>
            <w:tcBorders>
              <w:top w:val="single" w:sz="4" w:space="0" w:color="548DD4" w:themeColor="text2" w:themeTint="99"/>
              <w:bottom w:val="single" w:sz="4" w:space="0" w:color="548DD4" w:themeColor="text2" w:themeTint="99"/>
            </w:tcBorders>
          </w:tcPr>
          <w:p w14:paraId="76573B3A" w14:textId="4C679CFA" w:rsidR="004914EA" w:rsidRPr="00EB67B1" w:rsidRDefault="00471BF1" w:rsidP="00F55608">
            <w:pPr>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£300,000 expected in Q4 for Seabird Resilience Fund. Grants of up to £1.7m to be awarded in Q4 from Seagrass Fund</w:t>
            </w:r>
          </w:p>
        </w:tc>
      </w:tr>
      <w:tr w:rsidR="00CB70E5" w:rsidRPr="00EB67B1" w14:paraId="755D8BC3" w14:textId="77777777" w:rsidTr="003F7E4C">
        <w:trPr>
          <w:trHeight w:hRule="exact" w:val="1627"/>
          <w:jc w:val="center"/>
        </w:trPr>
        <w:tc>
          <w:tcPr>
            <w:tcW w:w="3119" w:type="dxa"/>
            <w:tcBorders>
              <w:top w:val="single" w:sz="4" w:space="0" w:color="548DD4" w:themeColor="text2" w:themeTint="99"/>
              <w:bottom w:val="single" w:sz="4" w:space="0" w:color="548DD4" w:themeColor="text2" w:themeTint="99"/>
            </w:tcBorders>
            <w:vAlign w:val="center"/>
          </w:tcPr>
          <w:p w14:paraId="6F9880D2" w14:textId="54272CBA" w:rsidR="00CB70E5" w:rsidRPr="00EB67B1" w:rsidRDefault="00CB70E5" w:rsidP="0027236F">
            <w:pPr>
              <w:spacing w:after="0"/>
              <w:ind w:left="57"/>
              <w:rPr>
                <w:sz w:val="22"/>
                <w:szCs w:val="20"/>
              </w:rPr>
            </w:pPr>
            <w:hyperlink r:id="rId31" w:history="1">
              <w:r w:rsidRPr="00EB67B1">
                <w:rPr>
                  <w:rStyle w:val="Hyperlink"/>
                  <w:rFonts w:ascii="Calibri" w:hAnsi="Calibri" w:cs="Calibri"/>
                  <w:b/>
                  <w:iCs/>
                  <w:color w:val="808080" w:themeColor="background1" w:themeShade="80"/>
                  <w:sz w:val="18"/>
                  <w:szCs w:val="18"/>
                </w:rPr>
                <w:t>Area (hectares) of peatland put on the road to recovery</w:t>
              </w:r>
            </w:hyperlink>
          </w:p>
        </w:tc>
        <w:tc>
          <w:tcPr>
            <w:tcW w:w="3118" w:type="dxa"/>
            <w:tcBorders>
              <w:top w:val="single" w:sz="4" w:space="0" w:color="548DD4" w:themeColor="text2" w:themeTint="99"/>
              <w:bottom w:val="single" w:sz="4" w:space="0" w:color="548DD4" w:themeColor="text2" w:themeTint="99"/>
            </w:tcBorders>
            <w:vAlign w:val="center"/>
          </w:tcPr>
          <w:p w14:paraId="4892DC78" w14:textId="0B6778A6" w:rsidR="00CB70E5" w:rsidRPr="00EB67B1" w:rsidRDefault="009803C7" w:rsidP="003753A7">
            <w:pPr>
              <w:spacing w:after="0"/>
              <w:jc w:val="center"/>
              <w:rPr>
                <w:rFonts w:ascii="Calibri" w:hAnsi="Calibri" w:cs="Calibri"/>
                <w:noProof/>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7597CEB5" wp14:editId="506ED709">
                  <wp:extent cx="1929510" cy="1001368"/>
                  <wp:effectExtent l="0" t="0" r="0" b="8890"/>
                  <wp:docPr id="1603936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51087" cy="1012566"/>
                          </a:xfrm>
                          <a:prstGeom prst="rect">
                            <a:avLst/>
                          </a:prstGeom>
                          <a:noFill/>
                        </pic:spPr>
                      </pic:pic>
                    </a:graphicData>
                  </a:graphic>
                </wp:inline>
              </w:drawing>
            </w:r>
          </w:p>
        </w:tc>
        <w:tc>
          <w:tcPr>
            <w:tcW w:w="1277" w:type="dxa"/>
            <w:tcBorders>
              <w:top w:val="single" w:sz="4" w:space="0" w:color="548DD4" w:themeColor="text2" w:themeTint="99"/>
              <w:bottom w:val="single" w:sz="4" w:space="0" w:color="548DD4" w:themeColor="text2" w:themeTint="99"/>
            </w:tcBorders>
            <w:vAlign w:val="center"/>
          </w:tcPr>
          <w:p w14:paraId="4520BBE3" w14:textId="3361AEC2" w:rsidR="00CB70E5" w:rsidRPr="00EB67B1" w:rsidRDefault="009803C7" w:rsidP="00CF6F4D">
            <w:pPr>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3287</w:t>
            </w:r>
            <w:r w:rsidR="00057057" w:rsidRPr="00EB67B1">
              <w:rPr>
                <w:rFonts w:ascii="Calibri" w:hAnsi="Calibri" w:cs="Calibri"/>
                <w:color w:val="808080" w:themeColor="background1" w:themeShade="80"/>
                <w:sz w:val="18"/>
                <w:szCs w:val="18"/>
              </w:rPr>
              <w:t>ha</w:t>
            </w:r>
          </w:p>
        </w:tc>
        <w:tc>
          <w:tcPr>
            <w:tcW w:w="3826" w:type="dxa"/>
            <w:tcBorders>
              <w:top w:val="single" w:sz="4" w:space="0" w:color="548DD4" w:themeColor="text2" w:themeTint="99"/>
              <w:bottom w:val="single" w:sz="4" w:space="0" w:color="548DD4" w:themeColor="text2" w:themeTint="99"/>
            </w:tcBorders>
          </w:tcPr>
          <w:p w14:paraId="225E22A2" w14:textId="77777777" w:rsidR="009803C7" w:rsidRPr="00EB67B1" w:rsidRDefault="009803C7" w:rsidP="009803C7">
            <w:pPr>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Completed projects to date in current financial year.</w:t>
            </w:r>
          </w:p>
          <w:p w14:paraId="13D4DA92" w14:textId="1CBC0E97" w:rsidR="00CB70E5" w:rsidRPr="00EB67B1" w:rsidRDefault="00CB70E5" w:rsidP="00F55608">
            <w:pPr>
              <w:ind w:right="181"/>
              <w:rPr>
                <w:rFonts w:ascii="Calibri" w:hAnsi="Calibri" w:cs="Calibri"/>
                <w:color w:val="808080" w:themeColor="background1" w:themeShade="80"/>
                <w:sz w:val="14"/>
                <w:szCs w:val="14"/>
              </w:rPr>
            </w:pPr>
          </w:p>
        </w:tc>
        <w:tc>
          <w:tcPr>
            <w:tcW w:w="4253" w:type="dxa"/>
            <w:tcBorders>
              <w:top w:val="single" w:sz="4" w:space="0" w:color="548DD4" w:themeColor="text2" w:themeTint="99"/>
              <w:bottom w:val="single" w:sz="4" w:space="0" w:color="548DD4" w:themeColor="text2" w:themeTint="99"/>
            </w:tcBorders>
          </w:tcPr>
          <w:p w14:paraId="0C057174" w14:textId="6E88F95D" w:rsidR="009803C7" w:rsidRPr="00EB67B1" w:rsidRDefault="009803C7" w:rsidP="009803C7">
            <w:pPr>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The Target of the </w:t>
            </w:r>
            <w:r w:rsidR="0027236F" w:rsidRPr="00EB67B1">
              <w:rPr>
                <w:rFonts w:ascii="Calibri" w:hAnsi="Calibri" w:cs="Calibri"/>
                <w:color w:val="808080" w:themeColor="background1" w:themeShade="80"/>
                <w:sz w:val="14"/>
                <w:szCs w:val="14"/>
              </w:rPr>
              <w:t>year has</w:t>
            </w:r>
            <w:r w:rsidRPr="00EB67B1">
              <w:rPr>
                <w:rFonts w:ascii="Calibri" w:hAnsi="Calibri" w:cs="Calibri"/>
                <w:color w:val="808080" w:themeColor="background1" w:themeShade="80"/>
                <w:sz w:val="14"/>
                <w:szCs w:val="14"/>
              </w:rPr>
              <w:t xml:space="preserve"> changed once again due to an additional funding allocation from Scottish Government of £850k.  The new target is now 7,400ha.  We are currently on track to exceed this target in Q4.</w:t>
            </w:r>
          </w:p>
          <w:p w14:paraId="67D1C41D" w14:textId="3230FF39" w:rsidR="00CB70E5" w:rsidRPr="00EB67B1" w:rsidRDefault="00CB70E5" w:rsidP="00F55608">
            <w:pPr>
              <w:ind w:right="181"/>
              <w:rPr>
                <w:rFonts w:ascii="Calibri" w:hAnsi="Calibri" w:cs="Calibri"/>
                <w:color w:val="808080" w:themeColor="background1" w:themeShade="80"/>
                <w:sz w:val="14"/>
                <w:szCs w:val="14"/>
              </w:rPr>
            </w:pPr>
          </w:p>
        </w:tc>
      </w:tr>
    </w:tbl>
    <w:p w14:paraId="1CA393B8" w14:textId="6429B77B" w:rsidR="00EF3E44" w:rsidRPr="00EB67B1" w:rsidRDefault="00EF3E44">
      <w:pPr>
        <w:rPr>
          <w:rFonts w:ascii="Calibri" w:eastAsiaTheme="majorEastAsia" w:hAnsi="Calibri" w:cs="Calibri"/>
          <w:b/>
          <w:sz w:val="22"/>
          <w:szCs w:val="24"/>
        </w:rPr>
      </w:pPr>
    </w:p>
    <w:p w14:paraId="42817CC3" w14:textId="6D276D93" w:rsidR="008D20BE" w:rsidRPr="00EB67B1" w:rsidRDefault="008D20BE" w:rsidP="008D20BE">
      <w:pPr>
        <w:pStyle w:val="Heading2"/>
        <w:shd w:val="clear" w:color="auto" w:fill="007DC3"/>
        <w:jc w:val="center"/>
        <w:rPr>
          <w:rFonts w:ascii="Calibri" w:hAnsi="Calibri" w:cs="Calibri"/>
          <w:sz w:val="22"/>
          <w:szCs w:val="24"/>
        </w:rPr>
      </w:pPr>
      <w:r w:rsidRPr="00EB67B1">
        <w:rPr>
          <w:rFonts w:ascii="Calibri" w:hAnsi="Calibri" w:cs="Calibri"/>
          <w:sz w:val="22"/>
          <w:szCs w:val="24"/>
        </w:rPr>
        <w:t xml:space="preserve">THE VALUE OF NATURE IS RECOGNISED </w:t>
      </w:r>
    </w:p>
    <w:tbl>
      <w:tblPr>
        <w:tblW w:w="15877" w:type="dxa"/>
        <w:jc w:val="center"/>
        <w:tblLayout w:type="fixed"/>
        <w:tblLook w:val="04A0" w:firstRow="1" w:lastRow="0" w:firstColumn="1" w:lastColumn="0" w:noHBand="0" w:noVBand="1"/>
      </w:tblPr>
      <w:tblGrid>
        <w:gridCol w:w="2978"/>
        <w:gridCol w:w="2977"/>
        <w:gridCol w:w="992"/>
        <w:gridCol w:w="3969"/>
        <w:gridCol w:w="4961"/>
      </w:tblGrid>
      <w:tr w:rsidR="004914EA" w:rsidRPr="00EB67B1" w14:paraId="407B871A" w14:textId="77777777" w:rsidTr="007B1B9E">
        <w:trPr>
          <w:tblHeader/>
          <w:jc w:val="center"/>
        </w:trPr>
        <w:tc>
          <w:tcPr>
            <w:tcW w:w="2978" w:type="dxa"/>
            <w:tcBorders>
              <w:bottom w:val="single" w:sz="4" w:space="0" w:color="548DD4" w:themeColor="text2" w:themeTint="99"/>
            </w:tcBorders>
          </w:tcPr>
          <w:p w14:paraId="0CEFE3C6" w14:textId="77777777" w:rsidR="004914EA" w:rsidRPr="00EB67B1" w:rsidRDefault="004914EA" w:rsidP="004914EA">
            <w:pPr>
              <w:spacing w:after="0"/>
              <w:jc w:val="center"/>
              <w:rPr>
                <w:rFonts w:ascii="Calibri" w:hAnsi="Calibri" w:cs="Calibri"/>
                <w:b/>
                <w:sz w:val="22"/>
                <w:szCs w:val="20"/>
              </w:rPr>
            </w:pPr>
            <w:r w:rsidRPr="00EB67B1">
              <w:rPr>
                <w:rFonts w:ascii="Calibri" w:hAnsi="Calibri" w:cs="Calibri"/>
                <w:b/>
                <w:sz w:val="22"/>
                <w:szCs w:val="20"/>
              </w:rPr>
              <w:t>Measure</w:t>
            </w:r>
          </w:p>
        </w:tc>
        <w:tc>
          <w:tcPr>
            <w:tcW w:w="2977" w:type="dxa"/>
            <w:tcBorders>
              <w:bottom w:val="single" w:sz="4" w:space="0" w:color="548DD4" w:themeColor="text2" w:themeTint="99"/>
            </w:tcBorders>
          </w:tcPr>
          <w:p w14:paraId="6A01D98D" w14:textId="77777777" w:rsidR="004914EA" w:rsidRPr="00EB67B1" w:rsidRDefault="004914EA" w:rsidP="004914EA">
            <w:pPr>
              <w:spacing w:after="0"/>
              <w:jc w:val="center"/>
              <w:rPr>
                <w:rFonts w:ascii="Calibri" w:hAnsi="Calibri" w:cs="Calibri"/>
                <w:b/>
                <w:sz w:val="22"/>
                <w:szCs w:val="20"/>
              </w:rPr>
            </w:pPr>
            <w:r w:rsidRPr="00EB67B1">
              <w:rPr>
                <w:rFonts w:ascii="Calibri" w:hAnsi="Calibri" w:cs="Calibri"/>
                <w:b/>
                <w:sz w:val="22"/>
                <w:szCs w:val="20"/>
              </w:rPr>
              <w:t>Performance Overview</w:t>
            </w:r>
          </w:p>
        </w:tc>
        <w:tc>
          <w:tcPr>
            <w:tcW w:w="992" w:type="dxa"/>
            <w:tcBorders>
              <w:bottom w:val="single" w:sz="4" w:space="0" w:color="548DD4" w:themeColor="text2" w:themeTint="99"/>
            </w:tcBorders>
          </w:tcPr>
          <w:p w14:paraId="6403E005" w14:textId="77777777" w:rsidR="004914EA" w:rsidRPr="00EB67B1" w:rsidRDefault="004914EA" w:rsidP="004914EA">
            <w:pPr>
              <w:spacing w:after="0"/>
              <w:jc w:val="center"/>
              <w:rPr>
                <w:rFonts w:ascii="Calibri" w:hAnsi="Calibri" w:cs="Calibri"/>
                <w:b/>
                <w:sz w:val="22"/>
                <w:szCs w:val="20"/>
              </w:rPr>
            </w:pPr>
            <w:r w:rsidRPr="00EB67B1">
              <w:rPr>
                <w:rFonts w:ascii="Calibri" w:hAnsi="Calibri" w:cs="Calibri"/>
                <w:b/>
                <w:sz w:val="22"/>
                <w:szCs w:val="20"/>
              </w:rPr>
              <w:t>Actual</w:t>
            </w:r>
          </w:p>
        </w:tc>
        <w:tc>
          <w:tcPr>
            <w:tcW w:w="3969" w:type="dxa"/>
            <w:tcBorders>
              <w:bottom w:val="single" w:sz="4" w:space="0" w:color="548DD4" w:themeColor="text2" w:themeTint="99"/>
            </w:tcBorders>
          </w:tcPr>
          <w:p w14:paraId="03B60BF1" w14:textId="77777777" w:rsidR="004914EA" w:rsidRPr="00EB67B1" w:rsidRDefault="004914EA" w:rsidP="004F3330">
            <w:pPr>
              <w:spacing w:after="0"/>
              <w:jc w:val="center"/>
              <w:rPr>
                <w:rFonts w:ascii="Calibri" w:hAnsi="Calibri" w:cs="Calibri"/>
                <w:b/>
                <w:sz w:val="22"/>
                <w:szCs w:val="20"/>
              </w:rPr>
            </w:pPr>
            <w:r w:rsidRPr="00EB67B1">
              <w:rPr>
                <w:rFonts w:ascii="Calibri" w:hAnsi="Calibri" w:cs="Calibri"/>
                <w:b/>
                <w:sz w:val="22"/>
                <w:szCs w:val="20"/>
              </w:rPr>
              <w:t>Cause</w:t>
            </w:r>
          </w:p>
        </w:tc>
        <w:tc>
          <w:tcPr>
            <w:tcW w:w="4961" w:type="dxa"/>
            <w:tcBorders>
              <w:bottom w:val="single" w:sz="4" w:space="0" w:color="548DD4" w:themeColor="text2" w:themeTint="99"/>
            </w:tcBorders>
          </w:tcPr>
          <w:p w14:paraId="79F4D425" w14:textId="77777777" w:rsidR="004914EA" w:rsidRPr="00EB67B1" w:rsidRDefault="004914EA" w:rsidP="004F3330">
            <w:pPr>
              <w:spacing w:after="0"/>
              <w:jc w:val="center"/>
              <w:rPr>
                <w:rFonts w:ascii="Calibri" w:hAnsi="Calibri" w:cs="Calibri"/>
                <w:b/>
                <w:sz w:val="22"/>
                <w:szCs w:val="20"/>
              </w:rPr>
            </w:pPr>
            <w:r w:rsidRPr="00EB67B1">
              <w:rPr>
                <w:rFonts w:ascii="Calibri" w:hAnsi="Calibri" w:cs="Calibri"/>
                <w:b/>
                <w:sz w:val="22"/>
                <w:szCs w:val="20"/>
              </w:rPr>
              <w:t>Response</w:t>
            </w:r>
          </w:p>
        </w:tc>
      </w:tr>
      <w:tr w:rsidR="008B6E5C" w:rsidRPr="00EB67B1" w14:paraId="164CF011" w14:textId="77777777" w:rsidTr="007E0A44">
        <w:trPr>
          <w:trHeight w:val="850"/>
          <w:jc w:val="center"/>
        </w:trPr>
        <w:tc>
          <w:tcPr>
            <w:tcW w:w="2978" w:type="dxa"/>
            <w:tcBorders>
              <w:top w:val="single" w:sz="4" w:space="0" w:color="548DD4" w:themeColor="text2" w:themeTint="99"/>
              <w:bottom w:val="single" w:sz="4" w:space="0" w:color="548DD4" w:themeColor="text2" w:themeTint="99"/>
            </w:tcBorders>
            <w:vAlign w:val="center"/>
          </w:tcPr>
          <w:p w14:paraId="79A7DEC2" w14:textId="5633D379" w:rsidR="004914EA" w:rsidRPr="0027236F" w:rsidRDefault="003A5820" w:rsidP="0027236F">
            <w:pPr>
              <w:spacing w:after="0"/>
              <w:ind w:left="57"/>
              <w:rPr>
                <w:rStyle w:val="Hyperlink"/>
                <w:color w:val="808080" w:themeColor="background1" w:themeShade="80"/>
              </w:rPr>
            </w:pPr>
            <w:hyperlink r:id="rId33" w:history="1">
              <w:r w:rsidRPr="00EB67B1">
                <w:rPr>
                  <w:rStyle w:val="Hyperlink"/>
                  <w:rFonts w:ascii="Calibri" w:hAnsi="Calibri" w:cs="Calibri"/>
                  <w:b/>
                  <w:iCs/>
                  <w:color w:val="808080" w:themeColor="background1" w:themeShade="80"/>
                  <w:sz w:val="18"/>
                  <w:szCs w:val="18"/>
                </w:rPr>
                <w:t>Engagement Rate on Make Space for Nature (MSFN) webpages</w:t>
              </w:r>
            </w:hyperlink>
            <w:r w:rsidR="00E768CD" w:rsidRPr="00EB67B1">
              <w:rPr>
                <w:rStyle w:val="Hyperlink"/>
                <w:rFonts w:ascii="Calibri" w:hAnsi="Calibri" w:cs="Calibri"/>
                <w:b/>
                <w:iCs/>
                <w:color w:val="808080" w:themeColor="background1" w:themeShade="80"/>
                <w:sz w:val="18"/>
                <w:szCs w:val="18"/>
              </w:rPr>
              <w:t xml:space="preserve"> </w:t>
            </w:r>
          </w:p>
        </w:tc>
        <w:tc>
          <w:tcPr>
            <w:tcW w:w="2977" w:type="dxa"/>
            <w:tcBorders>
              <w:top w:val="single" w:sz="4" w:space="0" w:color="548DD4" w:themeColor="text2" w:themeTint="99"/>
              <w:bottom w:val="single" w:sz="4" w:space="0" w:color="548DD4" w:themeColor="text2" w:themeTint="99"/>
            </w:tcBorders>
            <w:vAlign w:val="center"/>
          </w:tcPr>
          <w:p w14:paraId="3819A499" w14:textId="4B2D7697" w:rsidR="004914EA" w:rsidRPr="00EB67B1" w:rsidRDefault="00277F80" w:rsidP="004914EA">
            <w:pPr>
              <w:spacing w:after="0"/>
              <w:jc w:val="center"/>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520634E1" wp14:editId="1AF1D088">
                  <wp:extent cx="1759161" cy="561372"/>
                  <wp:effectExtent l="0" t="0" r="0" b="0"/>
                  <wp:docPr id="13108780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93885" cy="572453"/>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4ACC5F9E" w14:textId="040CDE1F" w:rsidR="004914EA" w:rsidRPr="00EB67B1" w:rsidRDefault="00277F80" w:rsidP="004914EA">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94%</w:t>
            </w:r>
          </w:p>
        </w:tc>
        <w:tc>
          <w:tcPr>
            <w:tcW w:w="3969" w:type="dxa"/>
            <w:tcBorders>
              <w:top w:val="single" w:sz="4" w:space="0" w:color="548DD4" w:themeColor="text2" w:themeTint="99"/>
              <w:bottom w:val="single" w:sz="4" w:space="0" w:color="548DD4" w:themeColor="text2" w:themeTint="99"/>
            </w:tcBorders>
          </w:tcPr>
          <w:p w14:paraId="1D7D08AB" w14:textId="1F584364" w:rsidR="004914EA" w:rsidRPr="00EB67B1" w:rsidRDefault="00277F80" w:rsidP="007E0A44">
            <w:pPr>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Unable to report on </w:t>
            </w:r>
            <w:r w:rsidR="0027236F" w:rsidRPr="00EB67B1">
              <w:rPr>
                <w:rFonts w:ascii="Calibri" w:hAnsi="Calibri" w:cs="Calibri"/>
                <w:color w:val="808080" w:themeColor="background1" w:themeShade="80"/>
                <w:sz w:val="14"/>
                <w:szCs w:val="14"/>
              </w:rPr>
              <w:t>web traffic</w:t>
            </w:r>
            <w:r w:rsidRPr="00EB67B1">
              <w:rPr>
                <w:rFonts w:ascii="Calibri" w:hAnsi="Calibri" w:cs="Calibri"/>
                <w:color w:val="808080" w:themeColor="background1" w:themeShade="80"/>
                <w:sz w:val="14"/>
                <w:szCs w:val="14"/>
              </w:rPr>
              <w:t xml:space="preserve"> due to ongoing cookies issue.</w:t>
            </w:r>
          </w:p>
        </w:tc>
        <w:tc>
          <w:tcPr>
            <w:tcW w:w="4961" w:type="dxa"/>
            <w:tcBorders>
              <w:top w:val="single" w:sz="4" w:space="0" w:color="548DD4" w:themeColor="text2" w:themeTint="99"/>
              <w:bottom w:val="single" w:sz="4" w:space="0" w:color="548DD4" w:themeColor="text2" w:themeTint="99"/>
            </w:tcBorders>
          </w:tcPr>
          <w:p w14:paraId="60C23A8C" w14:textId="53C3F553" w:rsidR="004914EA" w:rsidRPr="00EB67B1" w:rsidRDefault="00277F80" w:rsidP="007E0A44">
            <w:pPr>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We partnered with four diverse content creators to help connect with less engaged audiences; Chris Lawlor and The Chaotic Scot, alongside two new collaborators: Tales </w:t>
            </w:r>
            <w:r w:rsidR="0027236F" w:rsidRPr="00EB67B1">
              <w:rPr>
                <w:rFonts w:ascii="Calibri" w:hAnsi="Calibri" w:cs="Calibri"/>
                <w:color w:val="808080" w:themeColor="background1" w:themeShade="80"/>
                <w:sz w:val="14"/>
                <w:szCs w:val="14"/>
              </w:rPr>
              <w:t>by</w:t>
            </w:r>
            <w:r w:rsidRPr="00EB67B1">
              <w:rPr>
                <w:rFonts w:ascii="Calibri" w:hAnsi="Calibri" w:cs="Calibri"/>
                <w:color w:val="808080" w:themeColor="background1" w:themeShade="80"/>
                <w:sz w:val="14"/>
                <w:szCs w:val="14"/>
              </w:rPr>
              <w:t xml:space="preserve"> Josh (Scottish Black Adventurers) who promotes diversity in outdoor spaces, and Simply Emma, a leading accessibility and disability blogger. Each influencer developed bespoke, authentic content inspired by the MSFN seasonal tips.</w:t>
            </w:r>
          </w:p>
        </w:tc>
      </w:tr>
      <w:tr w:rsidR="00471BF1" w:rsidRPr="00EB67B1" w14:paraId="149AA65A" w14:textId="77777777" w:rsidTr="007E0A44">
        <w:trPr>
          <w:trHeight w:val="1462"/>
          <w:jc w:val="center"/>
        </w:trPr>
        <w:tc>
          <w:tcPr>
            <w:tcW w:w="2978" w:type="dxa"/>
            <w:tcBorders>
              <w:top w:val="single" w:sz="4" w:space="0" w:color="548DD4" w:themeColor="text2" w:themeTint="99"/>
              <w:bottom w:val="single" w:sz="4" w:space="0" w:color="548DD4" w:themeColor="text2" w:themeTint="99"/>
            </w:tcBorders>
            <w:vAlign w:val="center"/>
          </w:tcPr>
          <w:p w14:paraId="15768AC1" w14:textId="6C574717" w:rsidR="00471BF1" w:rsidRPr="0027236F" w:rsidRDefault="00471BF1" w:rsidP="0027236F">
            <w:pPr>
              <w:spacing w:after="0"/>
              <w:ind w:left="57"/>
              <w:rPr>
                <w:rStyle w:val="Hyperlink"/>
                <w:color w:val="808080" w:themeColor="background1" w:themeShade="80"/>
              </w:rPr>
            </w:pPr>
            <w:hyperlink r:id="rId35" w:history="1">
              <w:r w:rsidRPr="00EB67B1">
                <w:rPr>
                  <w:rStyle w:val="Hyperlink"/>
                  <w:rFonts w:ascii="Calibri" w:hAnsi="Calibri" w:cs="Calibri"/>
                  <w:b/>
                  <w:iCs/>
                  <w:color w:val="808080" w:themeColor="background1" w:themeShade="80"/>
                  <w:sz w:val="18"/>
                  <w:szCs w:val="18"/>
                </w:rPr>
                <w:t>No. of Landscape partnerships that NatureScot is involved in that use a natural capital approach</w:t>
              </w:r>
            </w:hyperlink>
          </w:p>
        </w:tc>
        <w:tc>
          <w:tcPr>
            <w:tcW w:w="2977" w:type="dxa"/>
            <w:tcBorders>
              <w:top w:val="single" w:sz="4" w:space="0" w:color="548DD4" w:themeColor="text2" w:themeTint="99"/>
              <w:bottom w:val="single" w:sz="4" w:space="0" w:color="548DD4" w:themeColor="text2" w:themeTint="99"/>
            </w:tcBorders>
            <w:vAlign w:val="center"/>
          </w:tcPr>
          <w:p w14:paraId="7FB5BE70" w14:textId="3A99995A" w:rsidR="00471BF1" w:rsidRPr="00EB67B1" w:rsidRDefault="00471BF1" w:rsidP="00471BF1">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N/A</w:t>
            </w:r>
          </w:p>
        </w:tc>
        <w:tc>
          <w:tcPr>
            <w:tcW w:w="992" w:type="dxa"/>
            <w:tcBorders>
              <w:top w:val="single" w:sz="4" w:space="0" w:color="548DD4" w:themeColor="text2" w:themeTint="99"/>
              <w:bottom w:val="single" w:sz="4" w:space="0" w:color="548DD4" w:themeColor="text2" w:themeTint="99"/>
            </w:tcBorders>
            <w:vAlign w:val="center"/>
          </w:tcPr>
          <w:p w14:paraId="7A57D4F5" w14:textId="319CE1DF" w:rsidR="00471BF1" w:rsidRPr="00EB67B1" w:rsidRDefault="00471BF1" w:rsidP="00471BF1">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N/A</w:t>
            </w:r>
          </w:p>
        </w:tc>
        <w:tc>
          <w:tcPr>
            <w:tcW w:w="3969" w:type="dxa"/>
            <w:tcBorders>
              <w:top w:val="single" w:sz="4" w:space="0" w:color="548DD4" w:themeColor="text2" w:themeTint="99"/>
              <w:bottom w:val="single" w:sz="4" w:space="0" w:color="548DD4" w:themeColor="text2" w:themeTint="99"/>
            </w:tcBorders>
          </w:tcPr>
          <w:p w14:paraId="1691A807" w14:textId="7DC3D493" w:rsidR="00471BF1" w:rsidRPr="00EB67B1" w:rsidRDefault="0027236F" w:rsidP="00471BF1">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We</w:t>
            </w:r>
            <w:r w:rsidR="00471BF1" w:rsidRPr="00EB67B1">
              <w:rPr>
                <w:rFonts w:ascii="Calibri" w:hAnsi="Calibri" w:cs="Calibri"/>
                <w:color w:val="808080" w:themeColor="background1" w:themeShade="80"/>
                <w:sz w:val="14"/>
                <w:szCs w:val="14"/>
              </w:rPr>
              <w:t xml:space="preserve"> will be sending a follow up email to the landscape scale restoration projects that NatureScot is involved in. We </w:t>
            </w:r>
            <w:r>
              <w:rPr>
                <w:rFonts w:ascii="Calibri" w:hAnsi="Calibri" w:cs="Calibri"/>
                <w:color w:val="808080" w:themeColor="background1" w:themeShade="80"/>
                <w:sz w:val="14"/>
                <w:szCs w:val="14"/>
              </w:rPr>
              <w:t>will</w:t>
            </w:r>
            <w:r w:rsidR="00471BF1" w:rsidRPr="00EB67B1">
              <w:rPr>
                <w:rFonts w:ascii="Calibri" w:hAnsi="Calibri" w:cs="Calibri"/>
                <w:color w:val="808080" w:themeColor="background1" w:themeShade="80"/>
                <w:sz w:val="14"/>
                <w:szCs w:val="14"/>
              </w:rPr>
              <w:t xml:space="preserve"> include a question about whether a natural capital approach was used.</w:t>
            </w:r>
          </w:p>
        </w:tc>
        <w:tc>
          <w:tcPr>
            <w:tcW w:w="4961" w:type="dxa"/>
            <w:tcBorders>
              <w:top w:val="single" w:sz="4" w:space="0" w:color="548DD4" w:themeColor="text2" w:themeTint="99"/>
              <w:bottom w:val="single" w:sz="4" w:space="0" w:color="548DD4" w:themeColor="text2" w:themeTint="99"/>
            </w:tcBorders>
          </w:tcPr>
          <w:p w14:paraId="6CE7D31B" w14:textId="1FA758DB" w:rsidR="00471BF1" w:rsidRPr="00EB67B1" w:rsidRDefault="00471BF1" w:rsidP="00471BF1">
            <w:pPr>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This question, and additional background information about what a natural capital approach is, will be sent to the landscape scale restoration projects in Q4. Data for the measure will start to become available following responses to this email in Q4.  </w:t>
            </w:r>
          </w:p>
        </w:tc>
      </w:tr>
      <w:tr w:rsidR="00471BF1" w:rsidRPr="00EB67B1" w14:paraId="2D2F2D6C" w14:textId="77777777" w:rsidTr="007E0A44">
        <w:trPr>
          <w:trHeight w:val="850"/>
          <w:jc w:val="center"/>
        </w:trPr>
        <w:tc>
          <w:tcPr>
            <w:tcW w:w="2978" w:type="dxa"/>
            <w:tcBorders>
              <w:top w:val="single" w:sz="4" w:space="0" w:color="548DD4" w:themeColor="text2" w:themeTint="99"/>
              <w:bottom w:val="single" w:sz="4" w:space="0" w:color="548DD4" w:themeColor="text2" w:themeTint="99"/>
            </w:tcBorders>
            <w:vAlign w:val="center"/>
          </w:tcPr>
          <w:p w14:paraId="0B3B2974" w14:textId="58613B0F" w:rsidR="00471BF1" w:rsidRPr="0027236F" w:rsidRDefault="00471BF1" w:rsidP="0027236F">
            <w:pPr>
              <w:spacing w:after="0"/>
              <w:ind w:left="57"/>
              <w:rPr>
                <w:rStyle w:val="Hyperlink"/>
                <w:color w:val="808080" w:themeColor="background1" w:themeShade="80"/>
              </w:rPr>
            </w:pPr>
            <w:hyperlink r:id="rId36" w:history="1">
              <w:r w:rsidRPr="00EB67B1">
                <w:rPr>
                  <w:rStyle w:val="Hyperlink"/>
                  <w:rFonts w:ascii="Calibri" w:hAnsi="Calibri" w:cs="Calibri"/>
                  <w:b/>
                  <w:iCs/>
                  <w:color w:val="808080" w:themeColor="background1" w:themeShade="80"/>
                  <w:sz w:val="18"/>
                  <w:szCs w:val="18"/>
                </w:rPr>
                <w:t>Nature-restoration jobs and skill development opportunities created through our activity</w:t>
              </w:r>
            </w:hyperlink>
          </w:p>
        </w:tc>
        <w:tc>
          <w:tcPr>
            <w:tcW w:w="2977" w:type="dxa"/>
            <w:tcBorders>
              <w:top w:val="single" w:sz="4" w:space="0" w:color="548DD4" w:themeColor="text2" w:themeTint="99"/>
              <w:bottom w:val="single" w:sz="4" w:space="0" w:color="548DD4" w:themeColor="text2" w:themeTint="99"/>
            </w:tcBorders>
            <w:vAlign w:val="center"/>
          </w:tcPr>
          <w:p w14:paraId="77B1F42B" w14:textId="163BC6BB" w:rsidR="00471BF1" w:rsidRPr="00EB67B1" w:rsidRDefault="00471BF1" w:rsidP="00471BF1">
            <w:pPr>
              <w:spacing w:after="0"/>
              <w:jc w:val="center"/>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5F709B74" wp14:editId="71D2817D">
                  <wp:extent cx="1602912" cy="695325"/>
                  <wp:effectExtent l="0" t="0" r="0" b="0"/>
                  <wp:docPr id="1300038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09556" cy="698207"/>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00F11C32" w14:textId="77CDBCE8" w:rsidR="00471BF1" w:rsidRPr="00EB67B1" w:rsidRDefault="00471BF1" w:rsidP="00471BF1">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399</w:t>
            </w:r>
          </w:p>
        </w:tc>
        <w:tc>
          <w:tcPr>
            <w:tcW w:w="3969" w:type="dxa"/>
            <w:tcBorders>
              <w:top w:val="single" w:sz="4" w:space="0" w:color="548DD4" w:themeColor="text2" w:themeTint="99"/>
              <w:bottom w:val="single" w:sz="4" w:space="0" w:color="548DD4" w:themeColor="text2" w:themeTint="99"/>
            </w:tcBorders>
          </w:tcPr>
          <w:p w14:paraId="3CD36655" w14:textId="277AD313" w:rsidR="00471BF1" w:rsidRPr="00EB67B1" w:rsidRDefault="00471BF1" w:rsidP="00471BF1">
            <w:pPr>
              <w:spacing w:after="0"/>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Additional cohort of SRUC </w:t>
            </w:r>
            <w:r w:rsidR="0027236F">
              <w:rPr>
                <w:rFonts w:ascii="Calibri" w:hAnsi="Calibri" w:cs="Calibri"/>
                <w:color w:val="808080" w:themeColor="background1" w:themeShade="80"/>
                <w:sz w:val="14"/>
                <w:szCs w:val="14"/>
              </w:rPr>
              <w:t>s</w:t>
            </w:r>
            <w:r w:rsidRPr="00EB67B1">
              <w:rPr>
                <w:rFonts w:ascii="Calibri" w:hAnsi="Calibri" w:cs="Calibri"/>
                <w:color w:val="808080" w:themeColor="background1" w:themeShade="80"/>
                <w:sz w:val="14"/>
                <w:szCs w:val="14"/>
              </w:rPr>
              <w:t>hort course students and strong turn out to Hydrology training</w:t>
            </w:r>
          </w:p>
        </w:tc>
        <w:tc>
          <w:tcPr>
            <w:tcW w:w="4961" w:type="dxa"/>
            <w:tcBorders>
              <w:top w:val="single" w:sz="4" w:space="0" w:color="548DD4" w:themeColor="text2" w:themeTint="99"/>
              <w:bottom w:val="single" w:sz="4" w:space="0" w:color="548DD4" w:themeColor="text2" w:themeTint="99"/>
            </w:tcBorders>
          </w:tcPr>
          <w:p w14:paraId="15099F41" w14:textId="4EE3B5FB" w:rsidR="00471BF1" w:rsidRPr="00EB67B1" w:rsidRDefault="00471BF1" w:rsidP="00471BF1">
            <w:pPr>
              <w:spacing w:after="0"/>
              <w:ind w:right="181"/>
              <w:rPr>
                <w:rFonts w:ascii="Calibri" w:hAnsi="Calibri" w:cs="Calibri"/>
                <w:color w:val="808080" w:themeColor="background1" w:themeShade="80"/>
                <w:sz w:val="14"/>
                <w:szCs w:val="14"/>
              </w:rPr>
            </w:pPr>
          </w:p>
        </w:tc>
      </w:tr>
      <w:tr w:rsidR="00471BF1" w:rsidRPr="00EB67B1" w14:paraId="078D82DF" w14:textId="77777777" w:rsidTr="007E0A44">
        <w:trPr>
          <w:trHeight w:val="850"/>
          <w:jc w:val="center"/>
        </w:trPr>
        <w:tc>
          <w:tcPr>
            <w:tcW w:w="2978" w:type="dxa"/>
            <w:tcBorders>
              <w:top w:val="single" w:sz="4" w:space="0" w:color="548DD4" w:themeColor="text2" w:themeTint="99"/>
              <w:bottom w:val="single" w:sz="4" w:space="0" w:color="548DD4" w:themeColor="text2" w:themeTint="99"/>
            </w:tcBorders>
            <w:vAlign w:val="center"/>
          </w:tcPr>
          <w:p w14:paraId="3602FD67" w14:textId="61A2F45C" w:rsidR="00471BF1" w:rsidRPr="0027236F" w:rsidRDefault="00471BF1" w:rsidP="0027236F">
            <w:pPr>
              <w:spacing w:after="0"/>
              <w:ind w:left="57"/>
              <w:rPr>
                <w:rStyle w:val="Hyperlink"/>
                <w:rFonts w:ascii="Calibri" w:hAnsi="Calibri" w:cs="Calibri"/>
                <w:b/>
                <w:iCs/>
                <w:color w:val="808080" w:themeColor="background1" w:themeShade="80"/>
                <w:sz w:val="18"/>
                <w:szCs w:val="18"/>
              </w:rPr>
            </w:pPr>
            <w:hyperlink r:id="rId38" w:history="1">
              <w:r w:rsidRPr="00EB67B1">
                <w:rPr>
                  <w:rStyle w:val="Hyperlink"/>
                  <w:rFonts w:ascii="Calibri" w:hAnsi="Calibri" w:cs="Calibri"/>
                  <w:b/>
                  <w:iCs/>
                  <w:color w:val="808080" w:themeColor="background1" w:themeShade="80"/>
                  <w:sz w:val="18"/>
                  <w:szCs w:val="18"/>
                </w:rPr>
                <w:t>Young People that we engage with on Skills</w:t>
              </w:r>
            </w:hyperlink>
          </w:p>
        </w:tc>
        <w:tc>
          <w:tcPr>
            <w:tcW w:w="2977" w:type="dxa"/>
            <w:tcBorders>
              <w:top w:val="single" w:sz="4" w:space="0" w:color="548DD4" w:themeColor="text2" w:themeTint="99"/>
              <w:bottom w:val="single" w:sz="4" w:space="0" w:color="548DD4" w:themeColor="text2" w:themeTint="99"/>
            </w:tcBorders>
            <w:vAlign w:val="center"/>
          </w:tcPr>
          <w:p w14:paraId="2BC02EA9" w14:textId="6CBA1C71" w:rsidR="00471BF1" w:rsidRPr="00EB67B1" w:rsidRDefault="00471BF1" w:rsidP="00471BF1">
            <w:pPr>
              <w:spacing w:after="0"/>
              <w:jc w:val="both"/>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33EF6422" wp14:editId="703E7B8D">
                  <wp:extent cx="1647825" cy="798431"/>
                  <wp:effectExtent l="0" t="0" r="0" b="1905"/>
                  <wp:docPr id="8821824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51376" cy="800152"/>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06CAE5DC" w14:textId="526028E5" w:rsidR="00471BF1" w:rsidRPr="00EB67B1" w:rsidRDefault="00471BF1" w:rsidP="00471BF1">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1814</w:t>
            </w:r>
          </w:p>
        </w:tc>
        <w:tc>
          <w:tcPr>
            <w:tcW w:w="3969" w:type="dxa"/>
            <w:tcBorders>
              <w:top w:val="single" w:sz="4" w:space="0" w:color="548DD4" w:themeColor="text2" w:themeTint="99"/>
              <w:bottom w:val="single" w:sz="4" w:space="0" w:color="548DD4" w:themeColor="text2" w:themeTint="99"/>
            </w:tcBorders>
          </w:tcPr>
          <w:p w14:paraId="30E0E1F2" w14:textId="57F9D50B" w:rsidR="00471BF1" w:rsidRPr="00EB67B1" w:rsidRDefault="00471BF1" w:rsidP="00471BF1">
            <w:pPr>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Plan to attend U of E Discover Careers/P </w:t>
            </w:r>
            <w:r w:rsidR="00A538D3">
              <w:rPr>
                <w:rFonts w:ascii="Calibri" w:hAnsi="Calibri" w:cs="Calibri"/>
                <w:color w:val="808080" w:themeColor="background1" w:themeShade="80"/>
                <w:sz w:val="14"/>
                <w:szCs w:val="14"/>
              </w:rPr>
              <w:t>and</w:t>
            </w:r>
            <w:r w:rsidRPr="00EB67B1">
              <w:rPr>
                <w:rFonts w:ascii="Calibri" w:hAnsi="Calibri" w:cs="Calibri"/>
                <w:color w:val="808080" w:themeColor="background1" w:themeShade="80"/>
                <w:sz w:val="14"/>
                <w:szCs w:val="14"/>
              </w:rPr>
              <w:t xml:space="preserve"> K Youth Climate Conference and run a NatureScot </w:t>
            </w:r>
            <w:r w:rsidR="0027236F">
              <w:rPr>
                <w:rFonts w:ascii="Calibri" w:hAnsi="Calibri" w:cs="Calibri"/>
                <w:color w:val="808080" w:themeColor="background1" w:themeShade="80"/>
                <w:sz w:val="14"/>
                <w:szCs w:val="14"/>
              </w:rPr>
              <w:t>“</w:t>
            </w:r>
            <w:r w:rsidRPr="00EB67B1">
              <w:rPr>
                <w:rFonts w:ascii="Calibri" w:hAnsi="Calibri" w:cs="Calibri"/>
                <w:color w:val="808080" w:themeColor="background1" w:themeShade="80"/>
                <w:sz w:val="14"/>
                <w:szCs w:val="14"/>
              </w:rPr>
              <w:t>Meet the Professionals</w:t>
            </w:r>
            <w:r w:rsidR="0027236F">
              <w:rPr>
                <w:rFonts w:ascii="Calibri" w:hAnsi="Calibri" w:cs="Calibri"/>
                <w:color w:val="808080" w:themeColor="background1" w:themeShade="80"/>
                <w:sz w:val="14"/>
                <w:szCs w:val="14"/>
              </w:rPr>
              <w:t>”</w:t>
            </w:r>
            <w:r w:rsidRPr="00EB67B1">
              <w:rPr>
                <w:rFonts w:ascii="Calibri" w:hAnsi="Calibri" w:cs="Calibri"/>
                <w:color w:val="808080" w:themeColor="background1" w:themeShade="80"/>
                <w:sz w:val="14"/>
                <w:szCs w:val="14"/>
              </w:rPr>
              <w:t xml:space="preserve"> Webinar.</w:t>
            </w:r>
          </w:p>
        </w:tc>
        <w:tc>
          <w:tcPr>
            <w:tcW w:w="4961" w:type="dxa"/>
            <w:tcBorders>
              <w:top w:val="single" w:sz="4" w:space="0" w:color="548DD4" w:themeColor="text2" w:themeTint="99"/>
              <w:bottom w:val="single" w:sz="4" w:space="0" w:color="548DD4" w:themeColor="text2" w:themeTint="99"/>
            </w:tcBorders>
          </w:tcPr>
          <w:p w14:paraId="3E48BD28" w14:textId="53F91F2E" w:rsidR="00471BF1" w:rsidRPr="00EB67B1" w:rsidRDefault="00471BF1" w:rsidP="00471BF1">
            <w:pPr>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Partnering with Edinburgh and Glasgow Universities to drive attendance.</w:t>
            </w:r>
          </w:p>
        </w:tc>
      </w:tr>
      <w:tr w:rsidR="00471BF1" w:rsidRPr="00EB67B1" w14:paraId="7C3C7513" w14:textId="77777777" w:rsidTr="007E0A44">
        <w:trPr>
          <w:trHeight w:val="850"/>
          <w:jc w:val="center"/>
        </w:trPr>
        <w:tc>
          <w:tcPr>
            <w:tcW w:w="2978" w:type="dxa"/>
            <w:tcBorders>
              <w:top w:val="single" w:sz="4" w:space="0" w:color="548DD4" w:themeColor="text2" w:themeTint="99"/>
              <w:bottom w:val="single" w:sz="4" w:space="0" w:color="548DD4" w:themeColor="text2" w:themeTint="99"/>
            </w:tcBorders>
            <w:vAlign w:val="center"/>
          </w:tcPr>
          <w:p w14:paraId="6AB035D2" w14:textId="6E53013F" w:rsidR="00471BF1" w:rsidRPr="0027236F" w:rsidRDefault="00471BF1" w:rsidP="0027236F">
            <w:pPr>
              <w:spacing w:after="0"/>
              <w:ind w:left="57"/>
              <w:rPr>
                <w:rStyle w:val="Hyperlink"/>
                <w:iCs/>
                <w:color w:val="808080" w:themeColor="background1" w:themeShade="80"/>
              </w:rPr>
            </w:pPr>
            <w:hyperlink r:id="rId40" w:history="1">
              <w:r w:rsidRPr="0027236F">
                <w:rPr>
                  <w:rStyle w:val="Hyperlink"/>
                  <w:rFonts w:ascii="Calibri" w:hAnsi="Calibri" w:cs="Calibri"/>
                  <w:b/>
                  <w:iCs/>
                  <w:color w:val="808080" w:themeColor="background1" w:themeShade="80"/>
                  <w:sz w:val="18"/>
                  <w:szCs w:val="18"/>
                </w:rPr>
                <w:t>National Nature Reserve online engagement</w:t>
              </w:r>
            </w:hyperlink>
          </w:p>
        </w:tc>
        <w:tc>
          <w:tcPr>
            <w:tcW w:w="2977" w:type="dxa"/>
            <w:tcBorders>
              <w:top w:val="single" w:sz="4" w:space="0" w:color="548DD4" w:themeColor="text2" w:themeTint="99"/>
              <w:bottom w:val="single" w:sz="4" w:space="0" w:color="548DD4" w:themeColor="text2" w:themeTint="99"/>
            </w:tcBorders>
            <w:vAlign w:val="center"/>
          </w:tcPr>
          <w:p w14:paraId="050DBAD8" w14:textId="61E0BF5F" w:rsidR="00471BF1" w:rsidRPr="00EB67B1" w:rsidRDefault="00EB67B1" w:rsidP="00471BF1">
            <w:pPr>
              <w:spacing w:after="0"/>
              <w:jc w:val="both"/>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3126ECD5" wp14:editId="2524BC5D">
                  <wp:extent cx="1700307" cy="736270"/>
                  <wp:effectExtent l="0" t="0" r="0" b="6985"/>
                  <wp:docPr id="497053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21511" cy="745452"/>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7AC5A61D" w14:textId="51E6DA8C" w:rsidR="00471BF1" w:rsidRPr="00EB67B1" w:rsidRDefault="00EB67B1" w:rsidP="00C977E9">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495590</w:t>
            </w:r>
          </w:p>
        </w:tc>
        <w:tc>
          <w:tcPr>
            <w:tcW w:w="3969" w:type="dxa"/>
            <w:tcBorders>
              <w:top w:val="single" w:sz="4" w:space="0" w:color="548DD4" w:themeColor="text2" w:themeTint="99"/>
              <w:bottom w:val="single" w:sz="4" w:space="0" w:color="548DD4" w:themeColor="text2" w:themeTint="99"/>
            </w:tcBorders>
          </w:tcPr>
          <w:p w14:paraId="2AE13E2D" w14:textId="523358E3" w:rsidR="00EB67B1" w:rsidRPr="00EB67B1" w:rsidRDefault="00EB67B1" w:rsidP="00EB67B1">
            <w:pPr>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Significant decrease in engagement but </w:t>
            </w:r>
            <w:r w:rsidR="00C977E9">
              <w:rPr>
                <w:rFonts w:ascii="Calibri" w:hAnsi="Calibri" w:cs="Calibri"/>
                <w:color w:val="808080" w:themeColor="background1" w:themeShade="80"/>
                <w:sz w:val="14"/>
                <w:szCs w:val="14"/>
              </w:rPr>
              <w:t>no causality identified</w:t>
            </w:r>
            <w:r w:rsidRPr="00EB67B1">
              <w:rPr>
                <w:rFonts w:ascii="Calibri" w:hAnsi="Calibri" w:cs="Calibri"/>
                <w:color w:val="808080" w:themeColor="background1" w:themeShade="80"/>
                <w:sz w:val="14"/>
                <w:szCs w:val="14"/>
              </w:rPr>
              <w:t xml:space="preserve"> as post level remains consistent. </w:t>
            </w:r>
          </w:p>
          <w:p w14:paraId="0B82A8D7" w14:textId="1AFD4D9B" w:rsidR="00471BF1" w:rsidRPr="00EB67B1" w:rsidRDefault="00471BF1" w:rsidP="00471BF1">
            <w:pPr>
              <w:ind w:right="181"/>
              <w:rPr>
                <w:rFonts w:ascii="Calibri" w:hAnsi="Calibri" w:cs="Calibri"/>
                <w:color w:val="808080" w:themeColor="background1" w:themeShade="80"/>
                <w:sz w:val="14"/>
                <w:szCs w:val="14"/>
              </w:rPr>
            </w:pPr>
          </w:p>
        </w:tc>
        <w:tc>
          <w:tcPr>
            <w:tcW w:w="4961" w:type="dxa"/>
            <w:tcBorders>
              <w:top w:val="single" w:sz="4" w:space="0" w:color="548DD4" w:themeColor="text2" w:themeTint="99"/>
              <w:bottom w:val="single" w:sz="4" w:space="0" w:color="548DD4" w:themeColor="text2" w:themeTint="99"/>
            </w:tcBorders>
          </w:tcPr>
          <w:p w14:paraId="2E93EECA" w14:textId="12814276" w:rsidR="00471BF1" w:rsidRPr="00EB67B1" w:rsidRDefault="00C977E9" w:rsidP="00471BF1">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Further investigation for the decrease required</w:t>
            </w:r>
          </w:p>
        </w:tc>
      </w:tr>
    </w:tbl>
    <w:p w14:paraId="43A286FB" w14:textId="77777777" w:rsidR="00E81C9D" w:rsidRPr="00EB67B1" w:rsidRDefault="00E81C9D">
      <w:pPr>
        <w:rPr>
          <w:rFonts w:ascii="Calibri" w:eastAsiaTheme="majorEastAsia" w:hAnsi="Calibri" w:cs="Calibri"/>
          <w:b/>
          <w:sz w:val="18"/>
          <w:szCs w:val="18"/>
        </w:rPr>
      </w:pPr>
    </w:p>
    <w:p w14:paraId="66229A98" w14:textId="77777777" w:rsidR="00CB70E5" w:rsidRPr="00EB67B1" w:rsidRDefault="00CB70E5">
      <w:pPr>
        <w:rPr>
          <w:rFonts w:ascii="Calibri" w:eastAsiaTheme="majorEastAsia" w:hAnsi="Calibri" w:cs="Calibri"/>
          <w:b/>
          <w:sz w:val="18"/>
          <w:szCs w:val="18"/>
        </w:rPr>
      </w:pPr>
    </w:p>
    <w:p w14:paraId="4B43FC5B" w14:textId="77777777" w:rsidR="00CC6DCB" w:rsidRPr="00EB67B1" w:rsidRDefault="00CC6DCB">
      <w:pPr>
        <w:rPr>
          <w:rFonts w:ascii="Calibri" w:eastAsiaTheme="majorEastAsia" w:hAnsi="Calibri" w:cs="Calibri"/>
          <w:b/>
          <w:sz w:val="18"/>
          <w:szCs w:val="18"/>
        </w:rPr>
      </w:pPr>
    </w:p>
    <w:p w14:paraId="42A62740" w14:textId="77777777" w:rsidR="00CC6DCB" w:rsidRPr="00EB67B1" w:rsidRDefault="00CC6DCB">
      <w:pPr>
        <w:rPr>
          <w:rFonts w:ascii="Calibri" w:eastAsiaTheme="majorEastAsia" w:hAnsi="Calibri" w:cs="Calibri"/>
          <w:b/>
          <w:sz w:val="18"/>
          <w:szCs w:val="18"/>
        </w:rPr>
      </w:pPr>
    </w:p>
    <w:p w14:paraId="0BDF97CD" w14:textId="77777777" w:rsidR="00CC6DCB" w:rsidRPr="00EB67B1" w:rsidRDefault="00CC6DCB">
      <w:pPr>
        <w:rPr>
          <w:rFonts w:ascii="Calibri" w:eastAsiaTheme="majorEastAsia" w:hAnsi="Calibri" w:cs="Calibri"/>
          <w:b/>
          <w:sz w:val="18"/>
          <w:szCs w:val="18"/>
        </w:rPr>
      </w:pPr>
    </w:p>
    <w:p w14:paraId="1554C64F" w14:textId="77777777" w:rsidR="00CC6DCB" w:rsidRPr="00EB67B1" w:rsidRDefault="00CC6DCB">
      <w:pPr>
        <w:rPr>
          <w:rFonts w:ascii="Calibri" w:eastAsiaTheme="majorEastAsia" w:hAnsi="Calibri" w:cs="Calibri"/>
          <w:b/>
          <w:sz w:val="18"/>
          <w:szCs w:val="18"/>
        </w:rPr>
      </w:pPr>
    </w:p>
    <w:p w14:paraId="6A4836A2" w14:textId="77777777" w:rsidR="008D20BE" w:rsidRPr="00EB67B1" w:rsidRDefault="008D20BE" w:rsidP="008D20BE">
      <w:pPr>
        <w:pStyle w:val="Heading2"/>
        <w:shd w:val="clear" w:color="auto" w:fill="007DC3"/>
        <w:jc w:val="center"/>
        <w:rPr>
          <w:rFonts w:ascii="Calibri" w:hAnsi="Calibri" w:cs="Calibri"/>
          <w:sz w:val="22"/>
          <w:szCs w:val="24"/>
        </w:rPr>
      </w:pPr>
      <w:r w:rsidRPr="00EB67B1">
        <w:rPr>
          <w:rFonts w:ascii="Calibri" w:hAnsi="Calibri" w:cs="Calibri"/>
          <w:sz w:val="22"/>
          <w:szCs w:val="24"/>
        </w:rPr>
        <w:t>WE HAVE TRANSFORMED HOW WE WORK</w:t>
      </w:r>
    </w:p>
    <w:tbl>
      <w:tblPr>
        <w:tblW w:w="15735" w:type="dxa"/>
        <w:jc w:val="center"/>
        <w:tblLayout w:type="fixed"/>
        <w:tblLook w:val="04A0" w:firstRow="1" w:lastRow="0" w:firstColumn="1" w:lastColumn="0" w:noHBand="0" w:noVBand="1"/>
      </w:tblPr>
      <w:tblGrid>
        <w:gridCol w:w="1559"/>
        <w:gridCol w:w="4253"/>
        <w:gridCol w:w="1984"/>
        <w:gridCol w:w="2693"/>
        <w:gridCol w:w="5246"/>
      </w:tblGrid>
      <w:tr w:rsidR="009B1972" w:rsidRPr="00EB67B1" w14:paraId="314B497C" w14:textId="77777777" w:rsidTr="007E0A44">
        <w:trPr>
          <w:trHeight w:val="252"/>
          <w:tblHeader/>
          <w:jc w:val="center"/>
        </w:trPr>
        <w:tc>
          <w:tcPr>
            <w:tcW w:w="1559" w:type="dxa"/>
            <w:tcBorders>
              <w:bottom w:val="single" w:sz="4" w:space="0" w:color="548DD4" w:themeColor="text2" w:themeTint="99"/>
            </w:tcBorders>
          </w:tcPr>
          <w:p w14:paraId="0983C07D" w14:textId="77777777" w:rsidR="004914EA" w:rsidRPr="00EB67B1" w:rsidRDefault="004914EA" w:rsidP="00930721">
            <w:pPr>
              <w:spacing w:after="0"/>
              <w:jc w:val="center"/>
              <w:rPr>
                <w:rFonts w:ascii="Calibri" w:hAnsi="Calibri" w:cs="Calibri"/>
                <w:b/>
                <w:sz w:val="22"/>
                <w:szCs w:val="20"/>
              </w:rPr>
            </w:pPr>
            <w:bookmarkStart w:id="4" w:name="_Hlk163809393"/>
            <w:r w:rsidRPr="00EB67B1">
              <w:rPr>
                <w:rFonts w:ascii="Calibri" w:hAnsi="Calibri" w:cs="Calibri"/>
                <w:b/>
                <w:sz w:val="22"/>
                <w:szCs w:val="20"/>
              </w:rPr>
              <w:t>Measure</w:t>
            </w:r>
          </w:p>
        </w:tc>
        <w:tc>
          <w:tcPr>
            <w:tcW w:w="4253" w:type="dxa"/>
            <w:tcBorders>
              <w:bottom w:val="single" w:sz="4" w:space="0" w:color="548DD4" w:themeColor="text2" w:themeTint="99"/>
            </w:tcBorders>
          </w:tcPr>
          <w:p w14:paraId="1E7C4212" w14:textId="77777777" w:rsidR="004914EA" w:rsidRPr="00EB67B1" w:rsidRDefault="004914EA" w:rsidP="00930721">
            <w:pPr>
              <w:spacing w:after="0"/>
              <w:jc w:val="center"/>
              <w:rPr>
                <w:rFonts w:ascii="Calibri" w:hAnsi="Calibri" w:cs="Calibri"/>
                <w:b/>
                <w:sz w:val="22"/>
                <w:szCs w:val="20"/>
              </w:rPr>
            </w:pPr>
            <w:r w:rsidRPr="00EB67B1">
              <w:rPr>
                <w:rFonts w:ascii="Calibri" w:hAnsi="Calibri" w:cs="Calibri"/>
                <w:b/>
                <w:sz w:val="22"/>
                <w:szCs w:val="20"/>
              </w:rPr>
              <w:t>Performance Overview</w:t>
            </w:r>
          </w:p>
        </w:tc>
        <w:tc>
          <w:tcPr>
            <w:tcW w:w="1984" w:type="dxa"/>
            <w:tcBorders>
              <w:bottom w:val="single" w:sz="4" w:space="0" w:color="548DD4" w:themeColor="text2" w:themeTint="99"/>
            </w:tcBorders>
          </w:tcPr>
          <w:p w14:paraId="1FFF6B08" w14:textId="77777777" w:rsidR="004914EA" w:rsidRPr="00EB67B1" w:rsidRDefault="004914EA" w:rsidP="00930721">
            <w:pPr>
              <w:spacing w:after="0"/>
              <w:jc w:val="center"/>
              <w:rPr>
                <w:rFonts w:ascii="Calibri" w:hAnsi="Calibri" w:cs="Calibri"/>
                <w:b/>
                <w:sz w:val="22"/>
                <w:szCs w:val="20"/>
              </w:rPr>
            </w:pPr>
            <w:r w:rsidRPr="00EB67B1">
              <w:rPr>
                <w:rFonts w:ascii="Calibri" w:hAnsi="Calibri" w:cs="Calibri"/>
                <w:b/>
                <w:sz w:val="22"/>
                <w:szCs w:val="20"/>
              </w:rPr>
              <w:t>Actual</w:t>
            </w:r>
          </w:p>
        </w:tc>
        <w:tc>
          <w:tcPr>
            <w:tcW w:w="2693" w:type="dxa"/>
            <w:tcBorders>
              <w:bottom w:val="single" w:sz="4" w:space="0" w:color="548DD4" w:themeColor="text2" w:themeTint="99"/>
            </w:tcBorders>
          </w:tcPr>
          <w:p w14:paraId="24B9D81E" w14:textId="77777777" w:rsidR="004914EA" w:rsidRPr="00EB67B1" w:rsidRDefault="004914EA" w:rsidP="004F3330">
            <w:pPr>
              <w:spacing w:after="0"/>
              <w:jc w:val="center"/>
              <w:rPr>
                <w:rFonts w:ascii="Calibri" w:hAnsi="Calibri" w:cs="Calibri"/>
                <w:b/>
                <w:sz w:val="22"/>
                <w:szCs w:val="20"/>
              </w:rPr>
            </w:pPr>
            <w:r w:rsidRPr="00EB67B1">
              <w:rPr>
                <w:rFonts w:ascii="Calibri" w:hAnsi="Calibri" w:cs="Calibri"/>
                <w:b/>
                <w:sz w:val="22"/>
                <w:szCs w:val="20"/>
              </w:rPr>
              <w:t>Cause</w:t>
            </w:r>
          </w:p>
        </w:tc>
        <w:tc>
          <w:tcPr>
            <w:tcW w:w="5246" w:type="dxa"/>
            <w:tcBorders>
              <w:bottom w:val="single" w:sz="4" w:space="0" w:color="548DD4" w:themeColor="text2" w:themeTint="99"/>
            </w:tcBorders>
          </w:tcPr>
          <w:p w14:paraId="08A4B1F2" w14:textId="77777777" w:rsidR="004914EA" w:rsidRPr="00EB67B1" w:rsidRDefault="004914EA" w:rsidP="004F3330">
            <w:pPr>
              <w:spacing w:after="0"/>
              <w:jc w:val="center"/>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Response</w:t>
            </w:r>
          </w:p>
        </w:tc>
      </w:tr>
      <w:tr w:rsidR="004914EA" w:rsidRPr="00EB67B1" w14:paraId="45619461" w14:textId="77777777" w:rsidTr="007E0A44">
        <w:trPr>
          <w:trHeight w:val="898"/>
          <w:jc w:val="center"/>
        </w:trPr>
        <w:tc>
          <w:tcPr>
            <w:tcW w:w="1559" w:type="dxa"/>
            <w:tcBorders>
              <w:top w:val="single" w:sz="4" w:space="0" w:color="548DD4" w:themeColor="text2" w:themeTint="99"/>
              <w:bottom w:val="single" w:sz="4" w:space="0" w:color="548DD4" w:themeColor="text2" w:themeTint="99"/>
            </w:tcBorders>
            <w:vAlign w:val="center"/>
          </w:tcPr>
          <w:p w14:paraId="60BB33F4" w14:textId="6AB87330" w:rsidR="004914EA" w:rsidRPr="0027236F" w:rsidRDefault="004914EA" w:rsidP="0027236F">
            <w:pPr>
              <w:spacing w:after="0"/>
              <w:ind w:left="57"/>
              <w:rPr>
                <w:rStyle w:val="Hyperlink"/>
                <w:color w:val="808080" w:themeColor="background1" w:themeShade="80"/>
              </w:rPr>
            </w:pPr>
            <w:hyperlink r:id="rId42" w:history="1">
              <w:proofErr w:type="spellStart"/>
              <w:r w:rsidRPr="00EB67B1">
                <w:rPr>
                  <w:rStyle w:val="Hyperlink"/>
                  <w:rFonts w:ascii="Calibri" w:hAnsi="Calibri" w:cs="Calibri"/>
                  <w:b/>
                  <w:iCs/>
                  <w:color w:val="808080" w:themeColor="background1" w:themeShade="80"/>
                  <w:sz w:val="18"/>
                  <w:szCs w:val="18"/>
                </w:rPr>
                <w:t>Sq</w:t>
              </w:r>
              <w:proofErr w:type="spellEnd"/>
              <w:r w:rsidRPr="00EB67B1">
                <w:rPr>
                  <w:rStyle w:val="Hyperlink"/>
                  <w:rFonts w:ascii="Calibri" w:hAnsi="Calibri" w:cs="Calibri"/>
                  <w:b/>
                  <w:iCs/>
                  <w:color w:val="808080" w:themeColor="background1" w:themeShade="80"/>
                  <w:sz w:val="18"/>
                  <w:szCs w:val="18"/>
                </w:rPr>
                <w:t xml:space="preserve"> meterage of floorspace dedicated to NatureScot</w:t>
              </w:r>
            </w:hyperlink>
          </w:p>
        </w:tc>
        <w:tc>
          <w:tcPr>
            <w:tcW w:w="4253" w:type="dxa"/>
            <w:tcBorders>
              <w:top w:val="single" w:sz="4" w:space="0" w:color="548DD4" w:themeColor="text2" w:themeTint="99"/>
              <w:bottom w:val="single" w:sz="4" w:space="0" w:color="548DD4" w:themeColor="text2" w:themeTint="99"/>
            </w:tcBorders>
            <w:vAlign w:val="center"/>
          </w:tcPr>
          <w:p w14:paraId="08C4FF58" w14:textId="398879E2" w:rsidR="004914EA" w:rsidRPr="00EB67B1" w:rsidRDefault="000176B3" w:rsidP="00930721">
            <w:pPr>
              <w:spacing w:after="0"/>
              <w:jc w:val="center"/>
              <w:rPr>
                <w:rFonts w:ascii="Calibri" w:hAnsi="Calibri" w:cs="Calibri"/>
                <w:color w:val="808080" w:themeColor="background1" w:themeShade="80"/>
                <w:sz w:val="18"/>
                <w:szCs w:val="18"/>
              </w:rPr>
            </w:pPr>
            <w:r>
              <w:rPr>
                <w:rFonts w:ascii="Calibri" w:hAnsi="Calibri" w:cs="Calibri"/>
                <w:color w:val="808080" w:themeColor="background1" w:themeShade="80"/>
                <w:sz w:val="18"/>
                <w:szCs w:val="18"/>
              </w:rPr>
              <w:t>On Track</w:t>
            </w:r>
          </w:p>
        </w:tc>
        <w:tc>
          <w:tcPr>
            <w:tcW w:w="1984" w:type="dxa"/>
            <w:tcBorders>
              <w:top w:val="single" w:sz="4" w:space="0" w:color="548DD4" w:themeColor="text2" w:themeTint="99"/>
              <w:bottom w:val="single" w:sz="4" w:space="0" w:color="548DD4" w:themeColor="text2" w:themeTint="99"/>
            </w:tcBorders>
            <w:vAlign w:val="center"/>
          </w:tcPr>
          <w:p w14:paraId="0884956F" w14:textId="2FBFBCD6" w:rsidR="004914EA" w:rsidRPr="00EB67B1" w:rsidRDefault="00CC6DCB" w:rsidP="00CC6DCB">
            <w:pPr>
              <w:spacing w:after="0" w:line="480" w:lineRule="auto"/>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5883 m2</w:t>
            </w:r>
          </w:p>
        </w:tc>
        <w:tc>
          <w:tcPr>
            <w:tcW w:w="2693" w:type="dxa"/>
            <w:tcBorders>
              <w:top w:val="single" w:sz="4" w:space="0" w:color="548DD4" w:themeColor="text2" w:themeTint="99"/>
              <w:bottom w:val="single" w:sz="4" w:space="0" w:color="548DD4" w:themeColor="text2" w:themeTint="99"/>
            </w:tcBorders>
          </w:tcPr>
          <w:p w14:paraId="61657B38" w14:textId="5989A851" w:rsidR="004914EA" w:rsidRPr="00EB67B1" w:rsidRDefault="00CC6DCB" w:rsidP="007E0A44">
            <w:pPr>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As noted in previous updates we appointed Savills to undertake a review of all of our space plans for the NatureScot </w:t>
            </w:r>
            <w:r w:rsidR="00C977E9" w:rsidRPr="00EB67B1">
              <w:rPr>
                <w:rFonts w:ascii="Calibri" w:hAnsi="Calibri" w:cs="Calibri"/>
                <w:color w:val="808080" w:themeColor="background1" w:themeShade="80"/>
                <w:sz w:val="14"/>
                <w:szCs w:val="14"/>
              </w:rPr>
              <w:t>offices, update</w:t>
            </w:r>
            <w:r w:rsidRPr="00EB67B1">
              <w:rPr>
                <w:rFonts w:ascii="Calibri" w:hAnsi="Calibri" w:cs="Calibri"/>
                <w:color w:val="808080" w:themeColor="background1" w:themeShade="80"/>
                <w:sz w:val="14"/>
                <w:szCs w:val="14"/>
              </w:rPr>
              <w:t xml:space="preserve"> all the drawings where required and provide revised benchmarking data reporting on the space that NatureScot occup</w:t>
            </w:r>
            <w:r w:rsidR="00C977E9">
              <w:rPr>
                <w:rFonts w:ascii="Calibri" w:hAnsi="Calibri" w:cs="Calibri"/>
                <w:color w:val="808080" w:themeColor="background1" w:themeShade="80"/>
                <w:sz w:val="14"/>
                <w:szCs w:val="14"/>
              </w:rPr>
              <w:t>ies</w:t>
            </w:r>
            <w:r w:rsidRPr="00EB67B1">
              <w:rPr>
                <w:rFonts w:ascii="Calibri" w:hAnsi="Calibri" w:cs="Calibri"/>
                <w:color w:val="808080" w:themeColor="background1" w:themeShade="80"/>
                <w:sz w:val="14"/>
                <w:szCs w:val="14"/>
              </w:rPr>
              <w:t xml:space="preserve">. This has now been completed </w:t>
            </w:r>
            <w:r w:rsidR="00C977E9">
              <w:rPr>
                <w:rFonts w:ascii="Calibri" w:hAnsi="Calibri" w:cs="Calibri"/>
                <w:color w:val="808080" w:themeColor="background1" w:themeShade="80"/>
                <w:sz w:val="14"/>
                <w:szCs w:val="14"/>
              </w:rPr>
              <w:t>and a</w:t>
            </w:r>
            <w:r w:rsidRPr="00EB67B1">
              <w:rPr>
                <w:rFonts w:ascii="Calibri" w:hAnsi="Calibri" w:cs="Calibri"/>
                <w:color w:val="808080" w:themeColor="background1" w:themeShade="80"/>
                <w:sz w:val="14"/>
                <w:szCs w:val="14"/>
              </w:rPr>
              <w:t xml:space="preserve"> baseline data set issued by Savills</w:t>
            </w:r>
            <w:r w:rsidR="00353F88">
              <w:rPr>
                <w:rFonts w:ascii="Calibri" w:hAnsi="Calibri" w:cs="Calibri"/>
                <w:color w:val="808080" w:themeColor="background1" w:themeShade="80"/>
                <w:sz w:val="14"/>
                <w:szCs w:val="14"/>
              </w:rPr>
              <w:t>.</w:t>
            </w:r>
          </w:p>
        </w:tc>
        <w:tc>
          <w:tcPr>
            <w:tcW w:w="5246" w:type="dxa"/>
            <w:tcBorders>
              <w:top w:val="single" w:sz="4" w:space="0" w:color="548DD4" w:themeColor="text2" w:themeTint="99"/>
              <w:bottom w:val="single" w:sz="4" w:space="0" w:color="548DD4" w:themeColor="text2" w:themeTint="99"/>
            </w:tcBorders>
          </w:tcPr>
          <w:p w14:paraId="0D350085" w14:textId="2E7E8B1C" w:rsidR="004914EA" w:rsidRPr="00EB67B1" w:rsidRDefault="00353F88" w:rsidP="007E0A44">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 xml:space="preserve">The </w:t>
            </w:r>
            <w:r w:rsidR="00CC6DCB" w:rsidRPr="00EB67B1">
              <w:rPr>
                <w:rFonts w:ascii="Calibri" w:hAnsi="Calibri" w:cs="Calibri"/>
                <w:color w:val="808080" w:themeColor="background1" w:themeShade="80"/>
                <w:sz w:val="14"/>
                <w:szCs w:val="14"/>
              </w:rPr>
              <w:t xml:space="preserve">relocation works carried </w:t>
            </w:r>
            <w:r>
              <w:rPr>
                <w:rFonts w:ascii="Calibri" w:hAnsi="Calibri" w:cs="Calibri"/>
                <w:color w:val="808080" w:themeColor="background1" w:themeShade="80"/>
                <w:sz w:val="14"/>
                <w:szCs w:val="14"/>
              </w:rPr>
              <w:t>out this</w:t>
            </w:r>
            <w:r w:rsidR="00CC6DCB" w:rsidRPr="00EB67B1">
              <w:rPr>
                <w:rFonts w:ascii="Calibri" w:hAnsi="Calibri" w:cs="Calibri"/>
                <w:color w:val="808080" w:themeColor="background1" w:themeShade="80"/>
                <w:sz w:val="14"/>
                <w:szCs w:val="14"/>
              </w:rPr>
              <w:t xml:space="preserve"> year at Dunoon, Cupar, Clydebank and Galashiels have delivered a reduction in office space of approximately 640m². </w:t>
            </w:r>
            <w:r w:rsidR="00C977E9">
              <w:rPr>
                <w:rFonts w:ascii="Calibri" w:hAnsi="Calibri" w:cs="Calibri"/>
                <w:color w:val="808080" w:themeColor="background1" w:themeShade="80"/>
                <w:sz w:val="14"/>
                <w:szCs w:val="14"/>
              </w:rPr>
              <w:t>T</w:t>
            </w:r>
            <w:r w:rsidR="00CC6DCB" w:rsidRPr="00EB67B1">
              <w:rPr>
                <w:rFonts w:ascii="Calibri" w:hAnsi="Calibri" w:cs="Calibri"/>
                <w:color w:val="808080" w:themeColor="background1" w:themeShade="80"/>
                <w:sz w:val="14"/>
                <w:szCs w:val="14"/>
              </w:rPr>
              <w:t>he Clydebank office relocated in late November 2024 and the Galashiels office is scheduled to relocate in February 2025 so the benchmarking data for these new offices will have to be updated in the new benchmarking baseline data set.</w:t>
            </w:r>
          </w:p>
        </w:tc>
      </w:tr>
      <w:bookmarkEnd w:id="4"/>
      <w:tr w:rsidR="004914EA" w:rsidRPr="00EB67B1" w14:paraId="1BB67F07" w14:textId="77777777" w:rsidTr="007E0A44">
        <w:trPr>
          <w:trHeight w:val="1733"/>
          <w:jc w:val="center"/>
        </w:trPr>
        <w:tc>
          <w:tcPr>
            <w:tcW w:w="1559" w:type="dxa"/>
            <w:tcBorders>
              <w:top w:val="single" w:sz="4" w:space="0" w:color="548DD4" w:themeColor="text2" w:themeTint="99"/>
              <w:bottom w:val="single" w:sz="4" w:space="0" w:color="548DD4" w:themeColor="text2" w:themeTint="99"/>
            </w:tcBorders>
            <w:vAlign w:val="center"/>
          </w:tcPr>
          <w:p w14:paraId="762869D4" w14:textId="583F972E" w:rsidR="004914EA" w:rsidRPr="0027236F" w:rsidRDefault="00BF24F0" w:rsidP="0027236F">
            <w:pPr>
              <w:spacing w:after="0"/>
              <w:ind w:left="57"/>
              <w:rPr>
                <w:rStyle w:val="Hyperlink"/>
                <w:color w:val="808080" w:themeColor="background1" w:themeShade="80"/>
              </w:rPr>
            </w:pPr>
            <w:r w:rsidRPr="00EB67B1">
              <w:rPr>
                <w:rStyle w:val="Hyperlink"/>
                <w:rFonts w:ascii="Calibri" w:hAnsi="Calibri" w:cs="Calibri"/>
                <w:b/>
                <w:iCs/>
                <w:color w:val="808080" w:themeColor="background1" w:themeShade="80"/>
                <w:sz w:val="18"/>
                <w:szCs w:val="18"/>
              </w:rPr>
              <w:fldChar w:fldCharType="begin"/>
            </w:r>
            <w:r w:rsidRPr="0027236F">
              <w:rPr>
                <w:rStyle w:val="Hyperlink"/>
                <w:rFonts w:ascii="Calibri" w:hAnsi="Calibri" w:cs="Calibri"/>
                <w:b/>
                <w:iCs/>
                <w:color w:val="808080" w:themeColor="background1" w:themeShade="80"/>
                <w:sz w:val="18"/>
                <w:szCs w:val="18"/>
              </w:rPr>
              <w:instrText>HYPERLINK "https://naturescot.nexus.objective.co.uk/documents/A3736962/details"</w:instrText>
            </w:r>
            <w:r w:rsidRPr="00EB67B1">
              <w:rPr>
                <w:rStyle w:val="Hyperlink"/>
                <w:rFonts w:ascii="Calibri" w:hAnsi="Calibri" w:cs="Calibri"/>
                <w:b/>
                <w:iCs/>
                <w:color w:val="808080" w:themeColor="background1" w:themeShade="80"/>
                <w:sz w:val="18"/>
                <w:szCs w:val="18"/>
              </w:rPr>
            </w:r>
            <w:r w:rsidRPr="00EB67B1">
              <w:rPr>
                <w:rStyle w:val="Hyperlink"/>
                <w:rFonts w:ascii="Calibri" w:hAnsi="Calibri" w:cs="Calibri"/>
                <w:b/>
                <w:iCs/>
                <w:color w:val="808080" w:themeColor="background1" w:themeShade="80"/>
                <w:sz w:val="18"/>
                <w:szCs w:val="18"/>
              </w:rPr>
              <w:fldChar w:fldCharType="separate"/>
            </w:r>
            <w:r w:rsidR="005E05B0" w:rsidRPr="00EB67B1">
              <w:rPr>
                <w:rStyle w:val="Hyperlink"/>
                <w:rFonts w:ascii="Calibri" w:hAnsi="Calibri" w:cs="Calibri"/>
                <w:b/>
                <w:iCs/>
                <w:color w:val="808080" w:themeColor="background1" w:themeShade="80"/>
                <w:sz w:val="18"/>
                <w:szCs w:val="18"/>
              </w:rPr>
              <w:t>Total emission</w:t>
            </w:r>
            <w:r w:rsidR="003E3917" w:rsidRPr="00EB67B1">
              <w:rPr>
                <w:rStyle w:val="Hyperlink"/>
                <w:rFonts w:ascii="Calibri" w:hAnsi="Calibri" w:cs="Calibri"/>
                <w:b/>
                <w:iCs/>
                <w:color w:val="808080" w:themeColor="background1" w:themeShade="80"/>
                <w:sz w:val="18"/>
                <w:szCs w:val="18"/>
              </w:rPr>
              <w:t xml:space="preserve">s </w:t>
            </w:r>
            <w:r w:rsidR="005E05B0" w:rsidRPr="00EB67B1">
              <w:rPr>
                <w:rStyle w:val="Hyperlink"/>
                <w:rFonts w:ascii="Calibri" w:hAnsi="Calibri" w:cs="Calibri"/>
                <w:b/>
                <w:iCs/>
                <w:color w:val="808080" w:themeColor="background1" w:themeShade="80"/>
                <w:sz w:val="18"/>
                <w:szCs w:val="18"/>
              </w:rPr>
              <w:t>(tCO2)</w:t>
            </w:r>
            <w:r w:rsidRPr="00EB67B1">
              <w:rPr>
                <w:rStyle w:val="Hyperlink"/>
                <w:rFonts w:ascii="Calibri" w:hAnsi="Calibri" w:cs="Calibri"/>
                <w:b/>
                <w:iCs/>
                <w:color w:val="808080" w:themeColor="background1" w:themeShade="80"/>
                <w:sz w:val="18"/>
                <w:szCs w:val="18"/>
              </w:rPr>
              <w:fldChar w:fldCharType="end"/>
            </w:r>
          </w:p>
        </w:tc>
        <w:tc>
          <w:tcPr>
            <w:tcW w:w="4253" w:type="dxa"/>
            <w:tcBorders>
              <w:top w:val="single" w:sz="4" w:space="0" w:color="548DD4" w:themeColor="text2" w:themeTint="99"/>
              <w:bottom w:val="single" w:sz="4" w:space="0" w:color="548DD4" w:themeColor="text2" w:themeTint="99"/>
            </w:tcBorders>
            <w:vAlign w:val="center"/>
          </w:tcPr>
          <w:p w14:paraId="0770E846" w14:textId="7B82D063" w:rsidR="004914EA" w:rsidRPr="00EB67B1" w:rsidRDefault="003E3917" w:rsidP="00930721">
            <w:pPr>
              <w:spacing w:after="0"/>
              <w:jc w:val="center"/>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1D01F222" wp14:editId="192FFE8D">
                  <wp:extent cx="2486473" cy="1088021"/>
                  <wp:effectExtent l="0" t="0" r="0" b="0"/>
                  <wp:docPr id="106068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93111" cy="1090926"/>
                          </a:xfrm>
                          <a:prstGeom prst="rect">
                            <a:avLst/>
                          </a:prstGeom>
                          <a:noFill/>
                        </pic:spPr>
                      </pic:pic>
                    </a:graphicData>
                  </a:graphic>
                </wp:inline>
              </w:drawing>
            </w:r>
          </w:p>
        </w:tc>
        <w:tc>
          <w:tcPr>
            <w:tcW w:w="1984" w:type="dxa"/>
            <w:tcBorders>
              <w:top w:val="single" w:sz="4" w:space="0" w:color="548DD4" w:themeColor="text2" w:themeTint="99"/>
              <w:bottom w:val="single" w:sz="4" w:space="0" w:color="548DD4" w:themeColor="text2" w:themeTint="99"/>
            </w:tcBorders>
            <w:vAlign w:val="center"/>
          </w:tcPr>
          <w:p w14:paraId="118B7B75" w14:textId="51986673" w:rsidR="004914EA" w:rsidRPr="00EB67B1" w:rsidRDefault="003E3917" w:rsidP="00930721">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462,075</w:t>
            </w:r>
          </w:p>
        </w:tc>
        <w:tc>
          <w:tcPr>
            <w:tcW w:w="2693" w:type="dxa"/>
            <w:tcBorders>
              <w:top w:val="single" w:sz="4" w:space="0" w:color="548DD4" w:themeColor="text2" w:themeTint="99"/>
              <w:bottom w:val="single" w:sz="4" w:space="0" w:color="548DD4" w:themeColor="text2" w:themeTint="99"/>
            </w:tcBorders>
          </w:tcPr>
          <w:p w14:paraId="2F0BE98F" w14:textId="4E6216EA" w:rsidR="004914EA" w:rsidRPr="00EB67B1" w:rsidRDefault="008D406B" w:rsidP="007E0A44">
            <w:pPr>
              <w:ind w:right="181"/>
              <w:rPr>
                <w:rFonts w:ascii="Calibri" w:hAnsi="Calibri" w:cs="Calibri"/>
                <w:color w:val="808080" w:themeColor="background1" w:themeShade="80"/>
                <w:sz w:val="14"/>
                <w:szCs w:val="14"/>
              </w:rPr>
            </w:pPr>
            <w:r>
              <w:rPr>
                <w:rFonts w:ascii="Calibri" w:hAnsi="Calibri" w:cs="Calibri"/>
                <w:color w:val="808080" w:themeColor="background1" w:themeShade="80"/>
                <w:sz w:val="14"/>
                <w:szCs w:val="14"/>
              </w:rPr>
              <w:t>Half year total t</w:t>
            </w:r>
            <w:r w:rsidR="003E3917" w:rsidRPr="00EB67B1">
              <w:rPr>
                <w:rFonts w:ascii="Calibri" w:hAnsi="Calibri" w:cs="Calibri"/>
                <w:color w:val="808080" w:themeColor="background1" w:themeShade="80"/>
                <w:sz w:val="14"/>
                <w:szCs w:val="14"/>
              </w:rPr>
              <w:t>ak</w:t>
            </w:r>
            <w:r w:rsidR="00353F88">
              <w:rPr>
                <w:rFonts w:ascii="Calibri" w:hAnsi="Calibri" w:cs="Calibri"/>
                <w:color w:val="808080" w:themeColor="background1" w:themeShade="80"/>
                <w:sz w:val="14"/>
                <w:szCs w:val="14"/>
              </w:rPr>
              <w:t>en</w:t>
            </w:r>
            <w:r w:rsidR="003E3917" w:rsidRPr="00EB67B1">
              <w:rPr>
                <w:rFonts w:ascii="Calibri" w:hAnsi="Calibri" w:cs="Calibri"/>
                <w:color w:val="808080" w:themeColor="background1" w:themeShade="80"/>
                <w:sz w:val="14"/>
                <w:szCs w:val="14"/>
              </w:rPr>
              <w:t xml:space="preserve"> from total in Annual Climate Change Duties </w:t>
            </w:r>
            <w:r w:rsidR="00353F88">
              <w:rPr>
                <w:rFonts w:ascii="Calibri" w:hAnsi="Calibri" w:cs="Calibri"/>
                <w:color w:val="808080" w:themeColor="background1" w:themeShade="80"/>
                <w:sz w:val="14"/>
                <w:szCs w:val="14"/>
              </w:rPr>
              <w:t>metrics.</w:t>
            </w:r>
          </w:p>
        </w:tc>
        <w:tc>
          <w:tcPr>
            <w:tcW w:w="5246" w:type="dxa"/>
            <w:tcBorders>
              <w:top w:val="single" w:sz="4" w:space="0" w:color="548DD4" w:themeColor="text2" w:themeTint="99"/>
              <w:bottom w:val="single" w:sz="4" w:space="0" w:color="548DD4" w:themeColor="text2" w:themeTint="99"/>
            </w:tcBorders>
          </w:tcPr>
          <w:p w14:paraId="2844EA23" w14:textId="77777777" w:rsidR="008D406B" w:rsidRDefault="008D406B" w:rsidP="008D406B">
            <w:pPr>
              <w:ind w:right="181"/>
              <w:rPr>
                <w:rFonts w:ascii="Calibri" w:hAnsi="Calibri" w:cs="Calibri"/>
                <w:color w:val="808080" w:themeColor="background1" w:themeShade="80"/>
                <w:sz w:val="14"/>
                <w:szCs w:val="14"/>
              </w:rPr>
            </w:pPr>
            <w:r w:rsidRPr="008D406B">
              <w:rPr>
                <w:rFonts w:ascii="Calibri" w:hAnsi="Calibri" w:cs="Calibri"/>
                <w:color w:val="808080" w:themeColor="background1" w:themeShade="80"/>
                <w:sz w:val="14"/>
                <w:szCs w:val="14"/>
              </w:rPr>
              <w:t>New Net Zero Team Leader appointed to post in December 2024</w:t>
            </w:r>
            <w:r>
              <w:rPr>
                <w:rFonts w:ascii="Calibri" w:hAnsi="Calibri" w:cs="Calibri"/>
                <w:color w:val="808080" w:themeColor="background1" w:themeShade="80"/>
                <w:sz w:val="14"/>
                <w:szCs w:val="14"/>
              </w:rPr>
              <w:t>.</w:t>
            </w:r>
          </w:p>
          <w:p w14:paraId="25DBDBC3" w14:textId="04F33399" w:rsidR="008D406B" w:rsidRPr="008D406B" w:rsidRDefault="008D406B" w:rsidP="008D406B">
            <w:pPr>
              <w:ind w:right="181"/>
              <w:rPr>
                <w:rFonts w:ascii="Calibri" w:hAnsi="Calibri" w:cs="Calibri"/>
                <w:color w:val="808080" w:themeColor="background1" w:themeShade="80"/>
                <w:sz w:val="14"/>
                <w:szCs w:val="14"/>
              </w:rPr>
            </w:pPr>
            <w:r w:rsidRPr="008D406B">
              <w:rPr>
                <w:rFonts w:ascii="Calibri" w:hAnsi="Calibri" w:cs="Calibri"/>
                <w:color w:val="808080" w:themeColor="background1" w:themeShade="80"/>
                <w:sz w:val="14"/>
                <w:szCs w:val="14"/>
              </w:rPr>
              <w:t>The Annual Public Bodies Climate Change Duties Report was submitted in Nove</w:t>
            </w:r>
            <w:r>
              <w:rPr>
                <w:rFonts w:ascii="Calibri" w:hAnsi="Calibri" w:cs="Calibri"/>
                <w:color w:val="808080" w:themeColor="background1" w:themeShade="80"/>
                <w:sz w:val="14"/>
                <w:szCs w:val="14"/>
              </w:rPr>
              <w:t xml:space="preserve">mber. </w:t>
            </w:r>
            <w:r w:rsidRPr="008D406B">
              <w:rPr>
                <w:rFonts w:ascii="Calibri" w:hAnsi="Calibri" w:cs="Calibri"/>
                <w:color w:val="808080" w:themeColor="background1" w:themeShade="80"/>
                <w:sz w:val="14"/>
                <w:szCs w:val="14"/>
              </w:rPr>
              <w:t xml:space="preserve">Total was 924.15 tonnes compared to 914.81 tonnes in 22/23. </w:t>
            </w:r>
            <w:r>
              <w:rPr>
                <w:rFonts w:ascii="Calibri" w:hAnsi="Calibri" w:cs="Calibri"/>
                <w:color w:val="808080" w:themeColor="background1" w:themeShade="80"/>
                <w:sz w:val="14"/>
                <w:szCs w:val="14"/>
              </w:rPr>
              <w:t>The increase is largely due to increased FTE (</w:t>
            </w:r>
            <w:r w:rsidRPr="008D406B">
              <w:rPr>
                <w:rFonts w:ascii="Calibri" w:hAnsi="Calibri" w:cs="Calibri"/>
                <w:color w:val="808080" w:themeColor="background1" w:themeShade="80"/>
                <w:sz w:val="14"/>
                <w:szCs w:val="14"/>
              </w:rPr>
              <w:t>744 compared to 714 in previous year</w:t>
            </w:r>
            <w:r>
              <w:rPr>
                <w:rFonts w:ascii="Calibri" w:hAnsi="Calibri" w:cs="Calibri"/>
                <w:color w:val="808080" w:themeColor="background1" w:themeShade="80"/>
                <w:sz w:val="14"/>
                <w:szCs w:val="14"/>
              </w:rPr>
              <w:t>)</w:t>
            </w:r>
            <w:r w:rsidRPr="008D406B">
              <w:rPr>
                <w:rFonts w:ascii="Calibri" w:hAnsi="Calibri" w:cs="Calibri"/>
                <w:color w:val="808080" w:themeColor="background1" w:themeShade="80"/>
                <w:sz w:val="14"/>
                <w:szCs w:val="14"/>
              </w:rPr>
              <w:t>. Building emissions and homeworking saw a decrease while travel and helicopter use saw an increase.</w:t>
            </w:r>
          </w:p>
          <w:p w14:paraId="7E8A9EAE" w14:textId="3ACC2494" w:rsidR="008D406B" w:rsidRPr="008D406B" w:rsidRDefault="008D406B" w:rsidP="008D406B">
            <w:pPr>
              <w:ind w:right="181"/>
              <w:rPr>
                <w:rFonts w:ascii="Calibri" w:hAnsi="Calibri" w:cs="Calibri"/>
                <w:color w:val="808080" w:themeColor="background1" w:themeShade="80"/>
                <w:sz w:val="14"/>
                <w:szCs w:val="14"/>
              </w:rPr>
            </w:pPr>
            <w:r w:rsidRPr="008D406B">
              <w:rPr>
                <w:rFonts w:ascii="Calibri" w:hAnsi="Calibri" w:cs="Calibri"/>
                <w:color w:val="808080" w:themeColor="background1" w:themeShade="80"/>
                <w:sz w:val="14"/>
                <w:szCs w:val="14"/>
              </w:rPr>
              <w:t>We are reviewing our current Travel Hierarchy</w:t>
            </w:r>
            <w:r>
              <w:rPr>
                <w:rFonts w:ascii="Calibri" w:hAnsi="Calibri" w:cs="Calibri"/>
                <w:color w:val="808080" w:themeColor="background1" w:themeShade="80"/>
                <w:sz w:val="14"/>
                <w:szCs w:val="14"/>
              </w:rPr>
              <w:t xml:space="preserve"> and developing a </w:t>
            </w:r>
            <w:r w:rsidRPr="008D406B">
              <w:rPr>
                <w:rFonts w:ascii="Calibri" w:hAnsi="Calibri" w:cs="Calibri"/>
                <w:color w:val="808080" w:themeColor="background1" w:themeShade="80"/>
                <w:sz w:val="14"/>
                <w:szCs w:val="14"/>
              </w:rPr>
              <w:t xml:space="preserve">new </w:t>
            </w:r>
            <w:r>
              <w:rPr>
                <w:rFonts w:ascii="Calibri" w:hAnsi="Calibri" w:cs="Calibri"/>
                <w:color w:val="808080" w:themeColor="background1" w:themeShade="80"/>
                <w:sz w:val="14"/>
                <w:szCs w:val="14"/>
              </w:rPr>
              <w:t xml:space="preserve">policy that </w:t>
            </w:r>
            <w:r w:rsidR="000B32A8">
              <w:rPr>
                <w:rFonts w:ascii="Calibri" w:hAnsi="Calibri" w:cs="Calibri"/>
                <w:color w:val="808080" w:themeColor="background1" w:themeShade="80"/>
                <w:sz w:val="14"/>
                <w:szCs w:val="14"/>
              </w:rPr>
              <w:t xml:space="preserve">is </w:t>
            </w:r>
            <w:r w:rsidR="000B32A8" w:rsidRPr="008D406B">
              <w:rPr>
                <w:rFonts w:ascii="Calibri" w:hAnsi="Calibri" w:cs="Calibri"/>
                <w:color w:val="808080" w:themeColor="background1" w:themeShade="80"/>
                <w:sz w:val="14"/>
                <w:szCs w:val="14"/>
              </w:rPr>
              <w:t>a</w:t>
            </w:r>
            <w:r w:rsidRPr="008D406B">
              <w:rPr>
                <w:rFonts w:ascii="Calibri" w:hAnsi="Calibri" w:cs="Calibri"/>
                <w:color w:val="808080" w:themeColor="background1" w:themeShade="80"/>
                <w:sz w:val="14"/>
                <w:szCs w:val="14"/>
              </w:rPr>
              <w:t xml:space="preserve"> decision making framework which emphasises the carbon emissions of the total journey.</w:t>
            </w:r>
          </w:p>
          <w:p w14:paraId="26F6670F" w14:textId="77777777" w:rsidR="008D406B" w:rsidRPr="008D406B" w:rsidRDefault="008D406B" w:rsidP="008D406B">
            <w:pPr>
              <w:ind w:right="181"/>
              <w:rPr>
                <w:rFonts w:ascii="Calibri" w:hAnsi="Calibri" w:cs="Calibri"/>
                <w:color w:val="808080" w:themeColor="background1" w:themeShade="80"/>
                <w:sz w:val="14"/>
                <w:szCs w:val="14"/>
              </w:rPr>
            </w:pPr>
            <w:r w:rsidRPr="008D406B">
              <w:rPr>
                <w:rFonts w:ascii="Calibri" w:hAnsi="Calibri" w:cs="Calibri"/>
                <w:color w:val="808080" w:themeColor="background1" w:themeShade="80"/>
                <w:sz w:val="14"/>
                <w:szCs w:val="14"/>
              </w:rPr>
              <w:t> </w:t>
            </w:r>
          </w:p>
          <w:p w14:paraId="770BD34F" w14:textId="3276E4E2" w:rsidR="004914EA" w:rsidRPr="00EB67B1" w:rsidRDefault="004914EA" w:rsidP="007E0A44">
            <w:pPr>
              <w:ind w:right="181"/>
              <w:rPr>
                <w:rFonts w:ascii="Calibri" w:hAnsi="Calibri" w:cs="Calibri"/>
                <w:color w:val="808080" w:themeColor="background1" w:themeShade="80"/>
                <w:sz w:val="14"/>
                <w:szCs w:val="14"/>
              </w:rPr>
            </w:pPr>
          </w:p>
        </w:tc>
      </w:tr>
      <w:tr w:rsidR="00A15D6F" w:rsidRPr="00EB67B1" w14:paraId="47915FAF" w14:textId="77777777" w:rsidTr="007E0A44">
        <w:trPr>
          <w:trHeight w:val="3697"/>
          <w:jc w:val="center"/>
        </w:trPr>
        <w:tc>
          <w:tcPr>
            <w:tcW w:w="1559" w:type="dxa"/>
            <w:tcBorders>
              <w:top w:val="single" w:sz="4" w:space="0" w:color="548DD4" w:themeColor="text2" w:themeTint="99"/>
              <w:bottom w:val="single" w:sz="4" w:space="0" w:color="548DD4" w:themeColor="text2" w:themeTint="99"/>
            </w:tcBorders>
            <w:vAlign w:val="center"/>
          </w:tcPr>
          <w:p w14:paraId="2414CD24" w14:textId="0C7C2D98" w:rsidR="004914EA" w:rsidRPr="0027236F" w:rsidRDefault="004914EA" w:rsidP="0027236F">
            <w:pPr>
              <w:spacing w:after="0"/>
              <w:ind w:left="57"/>
              <w:rPr>
                <w:rStyle w:val="Hyperlink"/>
                <w:color w:val="808080" w:themeColor="background1" w:themeShade="80"/>
              </w:rPr>
            </w:pPr>
            <w:hyperlink r:id="rId44" w:history="1">
              <w:r w:rsidRPr="00EB67B1">
                <w:rPr>
                  <w:rStyle w:val="Hyperlink"/>
                  <w:rFonts w:ascii="Calibri" w:hAnsi="Calibri" w:cs="Calibri"/>
                  <w:b/>
                  <w:iCs/>
                  <w:color w:val="808080" w:themeColor="background1" w:themeShade="80"/>
                  <w:sz w:val="18"/>
                  <w:szCs w:val="18"/>
                </w:rPr>
                <w:t>Workforce Diversity</w:t>
              </w:r>
            </w:hyperlink>
            <w:r w:rsidR="000C0C63" w:rsidRPr="00EB67B1">
              <w:rPr>
                <w:rStyle w:val="Hyperlink"/>
                <w:rFonts w:ascii="Calibri" w:hAnsi="Calibri" w:cs="Calibri"/>
                <w:b/>
                <w:iCs/>
                <w:color w:val="808080" w:themeColor="background1" w:themeShade="80"/>
                <w:sz w:val="18"/>
                <w:szCs w:val="18"/>
              </w:rPr>
              <w:t xml:space="preserve"> </w:t>
            </w:r>
          </w:p>
        </w:tc>
        <w:tc>
          <w:tcPr>
            <w:tcW w:w="4253" w:type="dxa"/>
            <w:tcBorders>
              <w:top w:val="single" w:sz="4" w:space="0" w:color="548DD4" w:themeColor="text2" w:themeTint="99"/>
              <w:bottom w:val="single" w:sz="4" w:space="0" w:color="548DD4" w:themeColor="text2" w:themeTint="99"/>
            </w:tcBorders>
            <w:vAlign w:val="center"/>
          </w:tcPr>
          <w:p w14:paraId="13AEF8D0" w14:textId="77777777" w:rsidR="00B65223" w:rsidRPr="00EB67B1" w:rsidRDefault="003E3917" w:rsidP="00B65223">
            <w:pPr>
              <w:spacing w:after="0"/>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7675A4FE" wp14:editId="625135A6">
                  <wp:extent cx="2364105" cy="342900"/>
                  <wp:effectExtent l="0" t="0" r="0" b="0"/>
                  <wp:docPr id="17186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44710" cy="354591"/>
                          </a:xfrm>
                          <a:prstGeom prst="rect">
                            <a:avLst/>
                          </a:prstGeom>
                          <a:noFill/>
                        </pic:spPr>
                      </pic:pic>
                    </a:graphicData>
                  </a:graphic>
                </wp:inline>
              </w:drawing>
            </w:r>
          </w:p>
          <w:p w14:paraId="728A211B" w14:textId="77777777" w:rsidR="003E3917" w:rsidRPr="00EB67B1" w:rsidRDefault="003E3917" w:rsidP="00B65223">
            <w:pPr>
              <w:spacing w:after="0"/>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27E43D0C" wp14:editId="77542E3D">
                  <wp:extent cx="2364205" cy="497840"/>
                  <wp:effectExtent l="0" t="0" r="0" b="0"/>
                  <wp:docPr id="11459938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30925" cy="511889"/>
                          </a:xfrm>
                          <a:prstGeom prst="rect">
                            <a:avLst/>
                          </a:prstGeom>
                          <a:noFill/>
                        </pic:spPr>
                      </pic:pic>
                    </a:graphicData>
                  </a:graphic>
                </wp:inline>
              </w:drawing>
            </w:r>
          </w:p>
          <w:p w14:paraId="4AFEAD21" w14:textId="77777777" w:rsidR="003E3917" w:rsidRPr="00EB67B1" w:rsidRDefault="003E3917" w:rsidP="00B65223">
            <w:pPr>
              <w:spacing w:after="0"/>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7E171E02" wp14:editId="2855CB38">
                  <wp:extent cx="2364105" cy="316865"/>
                  <wp:effectExtent l="0" t="0" r="0" b="6985"/>
                  <wp:docPr id="7120506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81734" cy="332631"/>
                          </a:xfrm>
                          <a:prstGeom prst="rect">
                            <a:avLst/>
                          </a:prstGeom>
                          <a:noFill/>
                        </pic:spPr>
                      </pic:pic>
                    </a:graphicData>
                  </a:graphic>
                </wp:inline>
              </w:drawing>
            </w:r>
          </w:p>
          <w:p w14:paraId="4D0EAEC7" w14:textId="2DB2F21E" w:rsidR="003E3917" w:rsidRPr="00EB67B1" w:rsidRDefault="003E3917" w:rsidP="00B65223">
            <w:pPr>
              <w:spacing w:after="0"/>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106E3F70" wp14:editId="5F0AB916">
                  <wp:extent cx="2364105" cy="743585"/>
                  <wp:effectExtent l="0" t="0" r="0" b="0"/>
                  <wp:docPr id="18506819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424523" cy="762588"/>
                          </a:xfrm>
                          <a:prstGeom prst="rect">
                            <a:avLst/>
                          </a:prstGeom>
                          <a:noFill/>
                        </pic:spPr>
                      </pic:pic>
                    </a:graphicData>
                  </a:graphic>
                </wp:inline>
              </w:drawing>
            </w:r>
          </w:p>
        </w:tc>
        <w:tc>
          <w:tcPr>
            <w:tcW w:w="1984" w:type="dxa"/>
            <w:tcBorders>
              <w:top w:val="single" w:sz="4" w:space="0" w:color="548DD4" w:themeColor="text2" w:themeTint="99"/>
              <w:bottom w:val="single" w:sz="4" w:space="0" w:color="548DD4" w:themeColor="text2" w:themeTint="99"/>
            </w:tcBorders>
            <w:vAlign w:val="center"/>
          </w:tcPr>
          <w:p w14:paraId="4753D3D2" w14:textId="0DAB806A" w:rsidR="004914EA" w:rsidRPr="00C977E9" w:rsidRDefault="003E3917" w:rsidP="00C977E9">
            <w:pPr>
              <w:spacing w:after="0"/>
              <w:jc w:val="center"/>
              <w:rPr>
                <w:rFonts w:ascii="Calibri" w:hAnsi="Calibri" w:cs="Calibri"/>
                <w:color w:val="808080" w:themeColor="background1" w:themeShade="80"/>
                <w:sz w:val="14"/>
                <w:szCs w:val="14"/>
              </w:rPr>
            </w:pPr>
            <w:r w:rsidRPr="00C977E9">
              <w:rPr>
                <w:rFonts w:ascii="Calibri" w:hAnsi="Calibri" w:cs="Calibri"/>
                <w:color w:val="808080" w:themeColor="background1" w:themeShade="80"/>
                <w:sz w:val="18"/>
                <w:szCs w:val="18"/>
              </w:rPr>
              <w:t>49</w:t>
            </w:r>
          </w:p>
        </w:tc>
        <w:tc>
          <w:tcPr>
            <w:tcW w:w="2693" w:type="dxa"/>
            <w:tcBorders>
              <w:top w:val="single" w:sz="4" w:space="0" w:color="548DD4" w:themeColor="text2" w:themeTint="99"/>
              <w:bottom w:val="single" w:sz="4" w:space="0" w:color="548DD4" w:themeColor="text2" w:themeTint="99"/>
            </w:tcBorders>
          </w:tcPr>
          <w:p w14:paraId="75F1FCB9" w14:textId="264094D5" w:rsidR="003E3917" w:rsidRPr="00EB67B1" w:rsidRDefault="003E3917" w:rsidP="00C977E9">
            <w:pPr>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Cultural norms remain. We continue to work in Partnership to tackle these.</w:t>
            </w:r>
          </w:p>
        </w:tc>
        <w:tc>
          <w:tcPr>
            <w:tcW w:w="5246" w:type="dxa"/>
            <w:tcBorders>
              <w:top w:val="single" w:sz="4" w:space="0" w:color="548DD4" w:themeColor="text2" w:themeTint="99"/>
              <w:bottom w:val="single" w:sz="4" w:space="0" w:color="548DD4" w:themeColor="text2" w:themeTint="99"/>
            </w:tcBorders>
          </w:tcPr>
          <w:p w14:paraId="32D9120A" w14:textId="65F066A3" w:rsidR="003E3917" w:rsidRPr="00EB67B1" w:rsidRDefault="003E3917" w:rsidP="003E3917">
            <w:pPr>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The draft equality report, due to be published in 2025, shows how the work of the inclusive recruitment project has been mainstreamed into our day-to-day work. </w:t>
            </w:r>
          </w:p>
          <w:p w14:paraId="5F793273" w14:textId="759AC665" w:rsidR="004914EA" w:rsidRPr="00EB67B1" w:rsidRDefault="003E3917" w:rsidP="003E3917">
            <w:pPr>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We have made progress on the Equality Outcomes and contributory actions. For example, we have joined a </w:t>
            </w:r>
            <w:r w:rsidR="00914E87">
              <w:rPr>
                <w:rFonts w:ascii="Calibri" w:hAnsi="Calibri" w:cs="Calibri"/>
                <w:color w:val="808080" w:themeColor="background1" w:themeShade="80"/>
                <w:sz w:val="14"/>
                <w:szCs w:val="14"/>
              </w:rPr>
              <w:t>B</w:t>
            </w:r>
            <w:r w:rsidRPr="00EB67B1">
              <w:rPr>
                <w:rFonts w:ascii="Calibri" w:hAnsi="Calibri" w:cs="Calibri"/>
                <w:color w:val="808080" w:themeColor="background1" w:themeShade="80"/>
                <w:sz w:val="14"/>
                <w:szCs w:val="14"/>
              </w:rPr>
              <w:t xml:space="preserve">oard </w:t>
            </w:r>
            <w:r w:rsidR="00914E87">
              <w:rPr>
                <w:rFonts w:ascii="Calibri" w:hAnsi="Calibri" w:cs="Calibri"/>
                <w:color w:val="808080" w:themeColor="background1" w:themeShade="80"/>
                <w:sz w:val="14"/>
                <w:szCs w:val="14"/>
              </w:rPr>
              <w:t>A</w:t>
            </w:r>
            <w:r w:rsidRPr="00EB67B1">
              <w:rPr>
                <w:rFonts w:ascii="Calibri" w:hAnsi="Calibri" w:cs="Calibri"/>
                <w:color w:val="808080" w:themeColor="background1" w:themeShade="80"/>
                <w:sz w:val="14"/>
                <w:szCs w:val="14"/>
              </w:rPr>
              <w:t xml:space="preserve">pprentice scheme that is open to people with no prior </w:t>
            </w:r>
            <w:r w:rsidR="00914E87" w:rsidRPr="00EB67B1">
              <w:rPr>
                <w:rFonts w:ascii="Calibri" w:hAnsi="Calibri" w:cs="Calibri"/>
                <w:color w:val="808080" w:themeColor="background1" w:themeShade="80"/>
                <w:sz w:val="14"/>
                <w:szCs w:val="14"/>
              </w:rPr>
              <w:t>experience,</w:t>
            </w:r>
            <w:r w:rsidRPr="00EB67B1">
              <w:rPr>
                <w:rFonts w:ascii="Calibri" w:hAnsi="Calibri" w:cs="Calibri"/>
                <w:color w:val="808080" w:themeColor="background1" w:themeShade="80"/>
                <w:sz w:val="14"/>
                <w:szCs w:val="14"/>
              </w:rPr>
              <w:t xml:space="preserve"> and we will welcome a placement into NatureScot's board in January 2025.  </w:t>
            </w:r>
          </w:p>
        </w:tc>
      </w:tr>
      <w:tr w:rsidR="002A3C54" w:rsidRPr="00EB67B1" w14:paraId="310AEF39" w14:textId="77777777" w:rsidTr="003F7E4C">
        <w:trPr>
          <w:trHeight w:val="1663"/>
          <w:jc w:val="center"/>
        </w:trPr>
        <w:tc>
          <w:tcPr>
            <w:tcW w:w="1559" w:type="dxa"/>
            <w:tcBorders>
              <w:top w:val="single" w:sz="4" w:space="0" w:color="548DD4" w:themeColor="text2" w:themeTint="99"/>
              <w:bottom w:val="single" w:sz="4" w:space="0" w:color="548DD4" w:themeColor="text2" w:themeTint="99"/>
            </w:tcBorders>
            <w:vAlign w:val="center"/>
          </w:tcPr>
          <w:p w14:paraId="3F485A93" w14:textId="4877A9FE" w:rsidR="002A3C54" w:rsidRPr="0027236F" w:rsidRDefault="00197293" w:rsidP="0027236F">
            <w:pPr>
              <w:spacing w:after="0"/>
              <w:ind w:left="57"/>
              <w:rPr>
                <w:rStyle w:val="Hyperlink"/>
                <w:rFonts w:ascii="Calibri" w:hAnsi="Calibri" w:cs="Calibri"/>
                <w:b/>
                <w:iCs/>
                <w:color w:val="808080" w:themeColor="background1" w:themeShade="80"/>
                <w:sz w:val="18"/>
                <w:szCs w:val="18"/>
              </w:rPr>
            </w:pPr>
            <w:hyperlink r:id="rId49" w:history="1">
              <w:r w:rsidRPr="00EB67B1">
                <w:rPr>
                  <w:rStyle w:val="Hyperlink"/>
                  <w:rFonts w:ascii="Calibri" w:hAnsi="Calibri" w:cs="Calibri"/>
                  <w:b/>
                  <w:iCs/>
                  <w:color w:val="808080" w:themeColor="background1" w:themeShade="80"/>
                  <w:sz w:val="18"/>
                  <w:szCs w:val="18"/>
                </w:rPr>
                <w:t>% Of Implemented Audit Recommendations</w:t>
              </w:r>
            </w:hyperlink>
          </w:p>
        </w:tc>
        <w:tc>
          <w:tcPr>
            <w:tcW w:w="4253" w:type="dxa"/>
            <w:tcBorders>
              <w:top w:val="single" w:sz="4" w:space="0" w:color="548DD4" w:themeColor="text2" w:themeTint="99"/>
              <w:bottom w:val="single" w:sz="4" w:space="0" w:color="548DD4" w:themeColor="text2" w:themeTint="99"/>
            </w:tcBorders>
            <w:vAlign w:val="center"/>
          </w:tcPr>
          <w:p w14:paraId="55C78022" w14:textId="6352663A" w:rsidR="002A3C54" w:rsidRPr="00EB67B1" w:rsidRDefault="00890C2B" w:rsidP="00092FC8">
            <w:pPr>
              <w:spacing w:after="0"/>
              <w:jc w:val="center"/>
              <w:rPr>
                <w:rFonts w:ascii="Calibri" w:hAnsi="Calibri" w:cs="Calibri"/>
                <w:color w:val="808080" w:themeColor="background1" w:themeShade="80"/>
                <w:sz w:val="18"/>
                <w:szCs w:val="18"/>
              </w:rPr>
            </w:pPr>
            <w:r w:rsidRPr="00EB67B1">
              <w:rPr>
                <w:rFonts w:ascii="Calibri" w:hAnsi="Calibri" w:cs="Calibri"/>
                <w:noProof/>
                <w:color w:val="808080" w:themeColor="background1" w:themeShade="80"/>
                <w:sz w:val="18"/>
                <w:szCs w:val="18"/>
              </w:rPr>
              <w:drawing>
                <wp:inline distT="0" distB="0" distL="0" distR="0" wp14:anchorId="4A3E53AC" wp14:editId="2D6EC194">
                  <wp:extent cx="1552575" cy="707755"/>
                  <wp:effectExtent l="0" t="0" r="0" b="0"/>
                  <wp:docPr id="20457516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66738" cy="714211"/>
                          </a:xfrm>
                          <a:prstGeom prst="rect">
                            <a:avLst/>
                          </a:prstGeom>
                          <a:noFill/>
                        </pic:spPr>
                      </pic:pic>
                    </a:graphicData>
                  </a:graphic>
                </wp:inline>
              </w:drawing>
            </w:r>
          </w:p>
        </w:tc>
        <w:tc>
          <w:tcPr>
            <w:tcW w:w="1984" w:type="dxa"/>
            <w:tcBorders>
              <w:top w:val="single" w:sz="4" w:space="0" w:color="548DD4" w:themeColor="text2" w:themeTint="99"/>
              <w:bottom w:val="single" w:sz="4" w:space="0" w:color="548DD4" w:themeColor="text2" w:themeTint="99"/>
            </w:tcBorders>
            <w:vAlign w:val="center"/>
          </w:tcPr>
          <w:p w14:paraId="618B842C" w14:textId="33B591EE" w:rsidR="002A3C54" w:rsidRPr="00EB67B1" w:rsidRDefault="00890C2B" w:rsidP="00092FC8">
            <w:pPr>
              <w:spacing w:after="0"/>
              <w:jc w:val="center"/>
              <w:rPr>
                <w:rFonts w:ascii="Calibri" w:hAnsi="Calibri" w:cs="Calibri"/>
                <w:color w:val="808080" w:themeColor="background1" w:themeShade="80"/>
                <w:sz w:val="18"/>
                <w:szCs w:val="18"/>
              </w:rPr>
            </w:pPr>
            <w:r w:rsidRPr="00EB67B1">
              <w:rPr>
                <w:rFonts w:ascii="Calibri" w:hAnsi="Calibri" w:cs="Calibri"/>
                <w:color w:val="808080" w:themeColor="background1" w:themeShade="80"/>
                <w:sz w:val="18"/>
                <w:szCs w:val="18"/>
              </w:rPr>
              <w:t>95%</w:t>
            </w:r>
          </w:p>
        </w:tc>
        <w:tc>
          <w:tcPr>
            <w:tcW w:w="2693" w:type="dxa"/>
            <w:tcBorders>
              <w:top w:val="single" w:sz="4" w:space="0" w:color="548DD4" w:themeColor="text2" w:themeTint="99"/>
              <w:bottom w:val="single" w:sz="4" w:space="0" w:color="548DD4" w:themeColor="text2" w:themeTint="99"/>
            </w:tcBorders>
          </w:tcPr>
          <w:p w14:paraId="405A746F" w14:textId="51E99807" w:rsidR="002A3C54" w:rsidRPr="00EB67B1" w:rsidRDefault="00890C2B" w:rsidP="007E0A44">
            <w:pPr>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The Priority 1 implementation rate increased to 100%, the rolling average across the last four quarters has remained at 84</w:t>
            </w:r>
            <w:r w:rsidR="00C977E9" w:rsidRPr="00EB67B1">
              <w:rPr>
                <w:rFonts w:ascii="Calibri" w:hAnsi="Calibri" w:cs="Calibri"/>
                <w:color w:val="808080" w:themeColor="background1" w:themeShade="80"/>
                <w:sz w:val="14"/>
                <w:szCs w:val="14"/>
              </w:rPr>
              <w:t>%, slightly</w:t>
            </w:r>
            <w:r w:rsidRPr="00EB67B1">
              <w:rPr>
                <w:rFonts w:ascii="Calibri" w:hAnsi="Calibri" w:cs="Calibri"/>
                <w:color w:val="808080" w:themeColor="background1" w:themeShade="80"/>
                <w:sz w:val="14"/>
                <w:szCs w:val="14"/>
              </w:rPr>
              <w:t xml:space="preserve"> </w:t>
            </w:r>
            <w:r w:rsidR="00C977E9" w:rsidRPr="00EB67B1">
              <w:rPr>
                <w:rFonts w:ascii="Calibri" w:hAnsi="Calibri" w:cs="Calibri"/>
                <w:color w:val="808080" w:themeColor="background1" w:themeShade="80"/>
                <w:sz w:val="14"/>
                <w:szCs w:val="14"/>
              </w:rPr>
              <w:t>below the</w:t>
            </w:r>
            <w:r w:rsidRPr="00EB67B1">
              <w:rPr>
                <w:rFonts w:ascii="Calibri" w:hAnsi="Calibri" w:cs="Calibri"/>
                <w:color w:val="808080" w:themeColor="background1" w:themeShade="80"/>
                <w:sz w:val="14"/>
                <w:szCs w:val="14"/>
              </w:rPr>
              <w:t xml:space="preserve"> KPI target of 85%. </w:t>
            </w:r>
          </w:p>
        </w:tc>
        <w:tc>
          <w:tcPr>
            <w:tcW w:w="5246" w:type="dxa"/>
            <w:tcBorders>
              <w:top w:val="single" w:sz="4" w:space="0" w:color="548DD4" w:themeColor="text2" w:themeTint="99"/>
              <w:bottom w:val="single" w:sz="4" w:space="0" w:color="548DD4" w:themeColor="text2" w:themeTint="99"/>
            </w:tcBorders>
          </w:tcPr>
          <w:p w14:paraId="6931A81A" w14:textId="30C951CA" w:rsidR="002A3C54" w:rsidRPr="00EB67B1" w:rsidRDefault="00890C2B" w:rsidP="007E0A44">
            <w:pPr>
              <w:spacing w:after="0"/>
              <w:ind w:right="181"/>
              <w:rPr>
                <w:rFonts w:ascii="Calibri" w:hAnsi="Calibri" w:cs="Calibri"/>
                <w:color w:val="808080" w:themeColor="background1" w:themeShade="80"/>
                <w:sz w:val="14"/>
                <w:szCs w:val="14"/>
              </w:rPr>
            </w:pPr>
            <w:r w:rsidRPr="00EB67B1">
              <w:rPr>
                <w:rFonts w:ascii="Calibri" w:hAnsi="Calibri" w:cs="Calibri"/>
                <w:color w:val="808080" w:themeColor="background1" w:themeShade="80"/>
                <w:sz w:val="14"/>
                <w:szCs w:val="14"/>
              </w:rPr>
              <w:t xml:space="preserve">In relation to lower level Priority 2 and </w:t>
            </w:r>
            <w:r w:rsidR="00C977E9" w:rsidRPr="00EB67B1">
              <w:rPr>
                <w:rFonts w:ascii="Calibri" w:hAnsi="Calibri" w:cs="Calibri"/>
                <w:color w:val="808080" w:themeColor="background1" w:themeShade="80"/>
                <w:sz w:val="14"/>
                <w:szCs w:val="14"/>
              </w:rPr>
              <w:t>3 recommendations</w:t>
            </w:r>
            <w:r w:rsidRPr="00EB67B1">
              <w:rPr>
                <w:rFonts w:ascii="Calibri" w:hAnsi="Calibri" w:cs="Calibri"/>
                <w:color w:val="808080" w:themeColor="background1" w:themeShade="80"/>
                <w:sz w:val="14"/>
                <w:szCs w:val="14"/>
              </w:rPr>
              <w:t xml:space="preserve">, there is 1 delayed recommendation that relates to the Project Management Office setting up an ELT communications </w:t>
            </w:r>
            <w:r w:rsidR="00C977E9" w:rsidRPr="00EB67B1">
              <w:rPr>
                <w:rFonts w:ascii="Calibri" w:hAnsi="Calibri" w:cs="Calibri"/>
                <w:color w:val="808080" w:themeColor="background1" w:themeShade="80"/>
                <w:sz w:val="14"/>
                <w:szCs w:val="14"/>
              </w:rPr>
              <w:t>plan.</w:t>
            </w:r>
          </w:p>
        </w:tc>
      </w:tr>
    </w:tbl>
    <w:p w14:paraId="23A45377" w14:textId="56B9BB01" w:rsidR="005D7863" w:rsidRPr="00EB67B1" w:rsidRDefault="005D7863" w:rsidP="005D7863">
      <w:pPr>
        <w:rPr>
          <w:rFonts w:ascii="Calibri" w:eastAsia="Calibri" w:hAnsi="Calibri" w:cs="Calibri"/>
          <w:color w:val="000000" w:themeColor="text1"/>
          <w:sz w:val="22"/>
        </w:rPr>
        <w:sectPr w:rsidR="005D7863" w:rsidRPr="00EB67B1" w:rsidSect="00CB70E5">
          <w:pgSz w:w="16838" w:h="11906" w:orient="landscape"/>
          <w:pgMar w:top="284" w:right="624" w:bottom="284" w:left="624" w:header="567" w:footer="709" w:gutter="0"/>
          <w:cols w:space="708"/>
          <w:docGrid w:linePitch="360"/>
        </w:sectPr>
      </w:pPr>
    </w:p>
    <w:p w14:paraId="47D60B12" w14:textId="77777777" w:rsidR="00041E85" w:rsidRDefault="00041E85" w:rsidP="00041E85">
      <w:pPr>
        <w:pStyle w:val="Heading2"/>
        <w:rPr>
          <w:rFonts w:ascii="Calibri" w:hAnsi="Calibri" w:cs="Calibri"/>
          <w:color w:val="5E8CC0"/>
        </w:rPr>
      </w:pPr>
      <w:bookmarkStart w:id="5" w:name="_Hlk180145218"/>
      <w:r w:rsidRPr="00670ABC">
        <w:rPr>
          <w:rFonts w:ascii="Calibri" w:hAnsi="Calibri" w:cs="Calibri"/>
          <w:color w:val="5E8CC0"/>
        </w:rPr>
        <w:lastRenderedPageBreak/>
        <w:t>FINANCE</w:t>
      </w:r>
    </w:p>
    <w:tbl>
      <w:tblPr>
        <w:tblW w:w="9919" w:type="dxa"/>
        <w:tblLook w:val="04A0" w:firstRow="1" w:lastRow="0" w:firstColumn="1" w:lastColumn="0" w:noHBand="0" w:noVBand="1"/>
      </w:tblPr>
      <w:tblGrid>
        <w:gridCol w:w="1988"/>
        <w:gridCol w:w="2041"/>
        <w:gridCol w:w="1346"/>
        <w:gridCol w:w="1450"/>
        <w:gridCol w:w="1490"/>
        <w:gridCol w:w="1604"/>
      </w:tblGrid>
      <w:tr w:rsidR="00041E85" w:rsidRPr="000511B9" w14:paraId="0396B0C5" w14:textId="77777777" w:rsidTr="00DC48CA">
        <w:trPr>
          <w:trHeight w:val="310"/>
        </w:trPr>
        <w:tc>
          <w:tcPr>
            <w:tcW w:w="1988" w:type="dxa"/>
            <w:tcBorders>
              <w:top w:val="single" w:sz="8" w:space="0" w:color="FFFFFF"/>
              <w:left w:val="single" w:sz="8" w:space="0" w:color="FFFFFF"/>
              <w:bottom w:val="single" w:sz="12" w:space="0" w:color="FFFFFF"/>
              <w:right w:val="single" w:sz="8" w:space="0" w:color="FFFFFF"/>
            </w:tcBorders>
            <w:shd w:val="clear" w:color="000000" w:fill="5E8CC0"/>
            <w:vAlign w:val="center"/>
            <w:hideMark/>
          </w:tcPr>
          <w:p w14:paraId="79739797" w14:textId="77777777" w:rsidR="00041E85" w:rsidRPr="000511B9" w:rsidRDefault="00041E85" w:rsidP="00DC48CA">
            <w:pPr>
              <w:jc w:val="center"/>
              <w:rPr>
                <w:rFonts w:ascii="Calibri" w:eastAsia="Times New Roman" w:hAnsi="Calibri" w:cs="Calibri"/>
                <w:b/>
                <w:bCs/>
                <w:color w:val="000000"/>
                <w:szCs w:val="24"/>
                <w:lang w:eastAsia="en-GB"/>
              </w:rPr>
            </w:pPr>
            <w:r w:rsidRPr="000511B9">
              <w:rPr>
                <w:rFonts w:ascii="Calibri" w:eastAsia="Times New Roman" w:hAnsi="Calibri" w:cs="Calibri"/>
                <w:b/>
                <w:bCs/>
                <w:color w:val="000000"/>
                <w:szCs w:val="24"/>
                <w:lang w:eastAsia="en-GB"/>
              </w:rPr>
              <w:t>Financial Metrics (£m)</w:t>
            </w:r>
          </w:p>
        </w:tc>
        <w:tc>
          <w:tcPr>
            <w:tcW w:w="2041" w:type="dxa"/>
            <w:tcBorders>
              <w:top w:val="single" w:sz="8" w:space="0" w:color="FFFFFF"/>
              <w:left w:val="nil"/>
              <w:bottom w:val="single" w:sz="12" w:space="0" w:color="FFFFFF"/>
              <w:right w:val="single" w:sz="8" w:space="0" w:color="FFFFFF"/>
            </w:tcBorders>
            <w:shd w:val="clear" w:color="000000" w:fill="5E8CC0"/>
            <w:vAlign w:val="center"/>
            <w:hideMark/>
          </w:tcPr>
          <w:p w14:paraId="628B64D4" w14:textId="77777777" w:rsidR="00041E85" w:rsidRPr="000511B9" w:rsidRDefault="00041E85" w:rsidP="00DC48CA">
            <w:pPr>
              <w:jc w:val="center"/>
              <w:rPr>
                <w:rFonts w:ascii="Calibri" w:eastAsia="Times New Roman" w:hAnsi="Calibri" w:cs="Calibri"/>
                <w:b/>
                <w:bCs/>
                <w:color w:val="000000"/>
                <w:szCs w:val="24"/>
                <w:lang w:eastAsia="en-GB"/>
              </w:rPr>
            </w:pPr>
            <w:r w:rsidRPr="000511B9">
              <w:rPr>
                <w:rFonts w:ascii="Calibri" w:eastAsia="Times New Roman" w:hAnsi="Calibri" w:cs="Calibri"/>
                <w:b/>
                <w:bCs/>
                <w:color w:val="000000"/>
                <w:szCs w:val="24"/>
                <w:lang w:eastAsia="en-GB"/>
              </w:rPr>
              <w:t>Measure</w:t>
            </w:r>
          </w:p>
        </w:tc>
        <w:tc>
          <w:tcPr>
            <w:tcW w:w="1346" w:type="dxa"/>
            <w:tcBorders>
              <w:top w:val="single" w:sz="8" w:space="0" w:color="FFFFFF"/>
              <w:left w:val="nil"/>
              <w:bottom w:val="single" w:sz="12" w:space="0" w:color="FFFFFF"/>
              <w:right w:val="single" w:sz="8" w:space="0" w:color="FFFFFF"/>
            </w:tcBorders>
            <w:shd w:val="clear" w:color="000000" w:fill="5E8CC0"/>
            <w:vAlign w:val="center"/>
            <w:hideMark/>
          </w:tcPr>
          <w:p w14:paraId="18A8054A" w14:textId="77777777" w:rsidR="00041E85" w:rsidRPr="000511B9" w:rsidRDefault="00041E85" w:rsidP="00DC48CA">
            <w:pPr>
              <w:jc w:val="center"/>
              <w:rPr>
                <w:rFonts w:ascii="Calibri" w:eastAsia="Times New Roman" w:hAnsi="Calibri" w:cs="Calibri"/>
                <w:b/>
                <w:bCs/>
                <w:color w:val="000000"/>
                <w:szCs w:val="24"/>
                <w:lang w:eastAsia="en-GB"/>
              </w:rPr>
            </w:pPr>
            <w:r w:rsidRPr="000511B9">
              <w:rPr>
                <w:rFonts w:ascii="Calibri" w:eastAsia="Times New Roman" w:hAnsi="Calibri" w:cs="Calibri"/>
                <w:b/>
                <w:bCs/>
                <w:color w:val="000000"/>
                <w:szCs w:val="24"/>
                <w:lang w:eastAsia="en-GB"/>
              </w:rPr>
              <w:t>Budget</w:t>
            </w:r>
          </w:p>
        </w:tc>
        <w:tc>
          <w:tcPr>
            <w:tcW w:w="1450" w:type="dxa"/>
            <w:tcBorders>
              <w:top w:val="single" w:sz="8" w:space="0" w:color="FFFFFF"/>
              <w:left w:val="nil"/>
              <w:bottom w:val="single" w:sz="12" w:space="0" w:color="FFFFFF"/>
              <w:right w:val="single" w:sz="8" w:space="0" w:color="FFFFFF"/>
            </w:tcBorders>
            <w:shd w:val="clear" w:color="000000" w:fill="5E8CC0"/>
            <w:vAlign w:val="center"/>
            <w:hideMark/>
          </w:tcPr>
          <w:p w14:paraId="00DFAD6C" w14:textId="77777777" w:rsidR="00041E85" w:rsidRPr="000511B9" w:rsidRDefault="00041E85" w:rsidP="00DC48CA">
            <w:pPr>
              <w:jc w:val="center"/>
              <w:rPr>
                <w:rFonts w:ascii="Calibri" w:eastAsia="Times New Roman" w:hAnsi="Calibri" w:cs="Calibri"/>
                <w:b/>
                <w:bCs/>
                <w:color w:val="000000"/>
                <w:szCs w:val="24"/>
                <w:lang w:eastAsia="en-GB"/>
              </w:rPr>
            </w:pPr>
            <w:r w:rsidRPr="000511B9">
              <w:rPr>
                <w:rFonts w:ascii="Calibri" w:eastAsia="Times New Roman" w:hAnsi="Calibri" w:cs="Calibri"/>
                <w:b/>
                <w:bCs/>
                <w:color w:val="000000"/>
                <w:szCs w:val="24"/>
                <w:lang w:eastAsia="en-GB"/>
              </w:rPr>
              <w:t>Forecast</w:t>
            </w:r>
          </w:p>
        </w:tc>
        <w:tc>
          <w:tcPr>
            <w:tcW w:w="1490" w:type="dxa"/>
            <w:tcBorders>
              <w:top w:val="single" w:sz="8" w:space="0" w:color="FFFFFF"/>
              <w:left w:val="nil"/>
              <w:bottom w:val="single" w:sz="12" w:space="0" w:color="FFFFFF"/>
              <w:right w:val="single" w:sz="8" w:space="0" w:color="FFFFFF"/>
            </w:tcBorders>
            <w:shd w:val="clear" w:color="000000" w:fill="5E8CC0"/>
            <w:vAlign w:val="center"/>
            <w:hideMark/>
          </w:tcPr>
          <w:p w14:paraId="200CAAEE" w14:textId="77777777" w:rsidR="00041E85" w:rsidRPr="000511B9" w:rsidRDefault="00041E85" w:rsidP="00DC48CA">
            <w:pPr>
              <w:jc w:val="center"/>
              <w:rPr>
                <w:rFonts w:ascii="Calibri" w:eastAsia="Times New Roman" w:hAnsi="Calibri" w:cs="Calibri"/>
                <w:b/>
                <w:bCs/>
                <w:color w:val="000000"/>
                <w:szCs w:val="24"/>
                <w:lang w:eastAsia="en-GB"/>
              </w:rPr>
            </w:pPr>
            <w:r w:rsidRPr="000511B9">
              <w:rPr>
                <w:rFonts w:ascii="Calibri" w:eastAsia="Times New Roman" w:hAnsi="Calibri" w:cs="Calibri"/>
                <w:b/>
                <w:bCs/>
                <w:color w:val="000000"/>
                <w:szCs w:val="24"/>
                <w:lang w:eastAsia="en-GB"/>
              </w:rPr>
              <w:t>Variance</w:t>
            </w:r>
          </w:p>
        </w:tc>
        <w:tc>
          <w:tcPr>
            <w:tcW w:w="1604" w:type="dxa"/>
            <w:tcBorders>
              <w:top w:val="single" w:sz="8" w:space="0" w:color="FFFFFF"/>
              <w:left w:val="nil"/>
              <w:bottom w:val="single" w:sz="12" w:space="0" w:color="FFFFFF"/>
              <w:right w:val="single" w:sz="8" w:space="0" w:color="FFFFFF"/>
            </w:tcBorders>
            <w:shd w:val="clear" w:color="000000" w:fill="5E8CC0"/>
            <w:vAlign w:val="center"/>
            <w:hideMark/>
          </w:tcPr>
          <w:p w14:paraId="210623C3" w14:textId="77777777" w:rsidR="00041E85" w:rsidRPr="000511B9" w:rsidRDefault="00041E85" w:rsidP="00DC48CA">
            <w:pPr>
              <w:jc w:val="center"/>
              <w:rPr>
                <w:rFonts w:ascii="Calibri" w:eastAsia="Times New Roman" w:hAnsi="Calibri" w:cs="Calibri"/>
                <w:b/>
                <w:bCs/>
                <w:color w:val="000000"/>
                <w:szCs w:val="24"/>
                <w:lang w:eastAsia="en-GB"/>
              </w:rPr>
            </w:pPr>
            <w:r w:rsidRPr="000511B9">
              <w:rPr>
                <w:rFonts w:ascii="Calibri" w:eastAsia="Times New Roman" w:hAnsi="Calibri" w:cs="Calibri"/>
                <w:b/>
                <w:bCs/>
                <w:color w:val="000000"/>
                <w:szCs w:val="24"/>
                <w:lang w:eastAsia="en-GB"/>
              </w:rPr>
              <w:t>Rating</w:t>
            </w:r>
          </w:p>
        </w:tc>
      </w:tr>
      <w:tr w:rsidR="00041E85" w:rsidRPr="000511B9" w14:paraId="27FFBD6F" w14:textId="77777777" w:rsidTr="00DC48CA">
        <w:trPr>
          <w:trHeight w:val="317"/>
        </w:trPr>
        <w:tc>
          <w:tcPr>
            <w:tcW w:w="1988" w:type="dxa"/>
            <w:tcBorders>
              <w:top w:val="nil"/>
              <w:left w:val="single" w:sz="8" w:space="0" w:color="FFFFFF"/>
              <w:bottom w:val="single" w:sz="8" w:space="0" w:color="FFFFFF"/>
              <w:right w:val="single" w:sz="8" w:space="0" w:color="FFFFFF"/>
            </w:tcBorders>
            <w:shd w:val="clear" w:color="000000" w:fill="B8CCE4"/>
            <w:vAlign w:val="center"/>
            <w:hideMark/>
          </w:tcPr>
          <w:p w14:paraId="470824E2"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Resource Budget</w:t>
            </w:r>
          </w:p>
        </w:tc>
        <w:tc>
          <w:tcPr>
            <w:tcW w:w="2041" w:type="dxa"/>
            <w:tcBorders>
              <w:top w:val="nil"/>
              <w:left w:val="nil"/>
              <w:bottom w:val="single" w:sz="8" w:space="0" w:color="FFFFFF"/>
              <w:right w:val="single" w:sz="8" w:space="0" w:color="FFFFFF"/>
            </w:tcBorders>
            <w:shd w:val="clear" w:color="000000" w:fill="B8CCE4"/>
            <w:vAlign w:val="center"/>
            <w:hideMark/>
          </w:tcPr>
          <w:p w14:paraId="1E7BD3D9"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000000" w:fill="B8CCE4"/>
            <w:vAlign w:val="center"/>
            <w:hideMark/>
          </w:tcPr>
          <w:p w14:paraId="0F7AF09F"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65.</w:t>
            </w:r>
            <w:r>
              <w:rPr>
                <w:rFonts w:ascii="Calibri" w:eastAsia="Times New Roman" w:hAnsi="Calibri" w:cs="Calibri"/>
                <w:color w:val="000000"/>
                <w:szCs w:val="24"/>
                <w:lang w:eastAsia="en-GB"/>
              </w:rPr>
              <w:t>6</w:t>
            </w:r>
          </w:p>
        </w:tc>
        <w:tc>
          <w:tcPr>
            <w:tcW w:w="1450" w:type="dxa"/>
            <w:tcBorders>
              <w:top w:val="nil"/>
              <w:left w:val="nil"/>
              <w:bottom w:val="single" w:sz="8" w:space="0" w:color="FFFFFF"/>
              <w:right w:val="single" w:sz="8" w:space="0" w:color="FFFFFF"/>
            </w:tcBorders>
            <w:shd w:val="clear" w:color="000000" w:fill="B8CCE4"/>
            <w:vAlign w:val="center"/>
            <w:hideMark/>
          </w:tcPr>
          <w:p w14:paraId="7A6DAD7E" w14:textId="77777777" w:rsidR="00041E85" w:rsidRPr="000511B9" w:rsidRDefault="00041E85" w:rsidP="00DC48CA">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66.5</w:t>
            </w:r>
          </w:p>
        </w:tc>
        <w:tc>
          <w:tcPr>
            <w:tcW w:w="1490" w:type="dxa"/>
            <w:tcBorders>
              <w:top w:val="nil"/>
              <w:left w:val="nil"/>
              <w:bottom w:val="single" w:sz="8" w:space="0" w:color="FFFFFF"/>
              <w:right w:val="single" w:sz="8" w:space="0" w:color="FFFFFF"/>
            </w:tcBorders>
            <w:shd w:val="clear" w:color="000000" w:fill="B8CCE4"/>
            <w:vAlign w:val="center"/>
            <w:hideMark/>
          </w:tcPr>
          <w:p w14:paraId="5CA5C1A5" w14:textId="77777777" w:rsidR="00041E85" w:rsidRPr="000511B9" w:rsidRDefault="00041E85" w:rsidP="00DC48CA">
            <w:pPr>
              <w:jc w:val="center"/>
              <w:rPr>
                <w:rFonts w:ascii="Calibri" w:eastAsia="Times New Roman" w:hAnsi="Calibri" w:cs="Calibri"/>
                <w:color w:val="FF0000"/>
                <w:szCs w:val="24"/>
                <w:lang w:eastAsia="en-GB"/>
              </w:rPr>
            </w:pPr>
            <w:r>
              <w:rPr>
                <w:rFonts w:ascii="Calibri" w:eastAsia="Times New Roman" w:hAnsi="Calibri" w:cs="Calibri"/>
                <w:color w:val="FF0000"/>
                <w:szCs w:val="24"/>
                <w:lang w:eastAsia="en-GB"/>
              </w:rPr>
              <w:t>(0.9)</w:t>
            </w:r>
          </w:p>
        </w:tc>
        <w:tc>
          <w:tcPr>
            <w:tcW w:w="1604" w:type="dxa"/>
            <w:tcBorders>
              <w:top w:val="nil"/>
              <w:left w:val="nil"/>
              <w:bottom w:val="single" w:sz="8" w:space="0" w:color="FFFFFF"/>
              <w:right w:val="single" w:sz="8" w:space="0" w:color="FFFFFF"/>
            </w:tcBorders>
            <w:shd w:val="clear" w:color="000000" w:fill="B8CCE4"/>
            <w:vAlign w:val="center"/>
            <w:hideMark/>
          </w:tcPr>
          <w:p w14:paraId="5E02AEFB" w14:textId="77777777" w:rsidR="00041E85" w:rsidRPr="000511B9" w:rsidRDefault="00041E85" w:rsidP="00DC48CA">
            <w:pPr>
              <w:jc w:val="center"/>
              <w:rPr>
                <w:rFonts w:ascii="Calibri" w:eastAsia="Times New Roman" w:hAnsi="Calibri" w:cs="Calibri"/>
                <w:b/>
                <w:bCs/>
                <w:color w:val="00B050"/>
                <w:szCs w:val="24"/>
                <w:lang w:eastAsia="en-GB"/>
              </w:rPr>
            </w:pPr>
            <w:r w:rsidRPr="007C590D">
              <w:rPr>
                <w:rFonts w:ascii="Calibri" w:eastAsia="Times New Roman" w:hAnsi="Calibri" w:cs="Calibri"/>
                <w:b/>
                <w:bCs/>
                <w:color w:val="FFC000"/>
                <w:szCs w:val="24"/>
                <w:lang w:eastAsia="en-GB"/>
              </w:rPr>
              <w:t>MINOR SLIPPAGE</w:t>
            </w:r>
          </w:p>
        </w:tc>
      </w:tr>
      <w:tr w:rsidR="00041E85" w:rsidRPr="000511B9" w14:paraId="37B7270F" w14:textId="77777777" w:rsidTr="00DC48CA">
        <w:trPr>
          <w:trHeight w:val="310"/>
        </w:trPr>
        <w:tc>
          <w:tcPr>
            <w:tcW w:w="1988" w:type="dxa"/>
            <w:tcBorders>
              <w:top w:val="nil"/>
              <w:left w:val="single" w:sz="8" w:space="0" w:color="FFFFFF"/>
              <w:bottom w:val="single" w:sz="8" w:space="0" w:color="FFFFFF"/>
              <w:right w:val="single" w:sz="8" w:space="0" w:color="FFFFFF"/>
            </w:tcBorders>
            <w:shd w:val="clear" w:color="000000" w:fill="EAEFF7"/>
            <w:vAlign w:val="center"/>
            <w:hideMark/>
          </w:tcPr>
          <w:p w14:paraId="19131488"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Capital</w:t>
            </w:r>
          </w:p>
        </w:tc>
        <w:tc>
          <w:tcPr>
            <w:tcW w:w="2041" w:type="dxa"/>
            <w:tcBorders>
              <w:top w:val="nil"/>
              <w:left w:val="nil"/>
              <w:bottom w:val="single" w:sz="8" w:space="0" w:color="FFFFFF"/>
              <w:right w:val="single" w:sz="8" w:space="0" w:color="FFFFFF"/>
            </w:tcBorders>
            <w:shd w:val="clear" w:color="000000" w:fill="EAEFF7"/>
            <w:vAlign w:val="center"/>
            <w:hideMark/>
          </w:tcPr>
          <w:p w14:paraId="0C076AA5"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Outturn within 5% of final budget</w:t>
            </w:r>
          </w:p>
        </w:tc>
        <w:tc>
          <w:tcPr>
            <w:tcW w:w="1346" w:type="dxa"/>
            <w:tcBorders>
              <w:top w:val="nil"/>
              <w:left w:val="nil"/>
              <w:bottom w:val="single" w:sz="8" w:space="0" w:color="FFFFFF"/>
              <w:right w:val="single" w:sz="8" w:space="0" w:color="FFFFFF"/>
            </w:tcBorders>
            <w:shd w:val="clear" w:color="000000" w:fill="EAEFF7"/>
            <w:vAlign w:val="center"/>
            <w:hideMark/>
          </w:tcPr>
          <w:p w14:paraId="1392E920"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2.6</w:t>
            </w:r>
          </w:p>
        </w:tc>
        <w:tc>
          <w:tcPr>
            <w:tcW w:w="1450" w:type="dxa"/>
            <w:tcBorders>
              <w:top w:val="nil"/>
              <w:left w:val="nil"/>
              <w:bottom w:val="single" w:sz="8" w:space="0" w:color="FFFFFF"/>
              <w:right w:val="single" w:sz="8" w:space="0" w:color="FFFFFF"/>
            </w:tcBorders>
            <w:shd w:val="clear" w:color="000000" w:fill="EAEFF7"/>
            <w:vAlign w:val="center"/>
            <w:hideMark/>
          </w:tcPr>
          <w:p w14:paraId="06063869"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2.5</w:t>
            </w:r>
          </w:p>
        </w:tc>
        <w:tc>
          <w:tcPr>
            <w:tcW w:w="1490" w:type="dxa"/>
            <w:tcBorders>
              <w:top w:val="nil"/>
              <w:left w:val="nil"/>
              <w:bottom w:val="single" w:sz="8" w:space="0" w:color="FFFFFF"/>
              <w:right w:val="single" w:sz="8" w:space="0" w:color="FFFFFF"/>
            </w:tcBorders>
            <w:shd w:val="clear" w:color="000000" w:fill="EAEFF7"/>
            <w:vAlign w:val="center"/>
            <w:hideMark/>
          </w:tcPr>
          <w:p w14:paraId="37AEC812"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 xml:space="preserve">0.1 </w:t>
            </w:r>
          </w:p>
        </w:tc>
        <w:tc>
          <w:tcPr>
            <w:tcW w:w="1604" w:type="dxa"/>
            <w:tcBorders>
              <w:top w:val="nil"/>
              <w:left w:val="nil"/>
              <w:bottom w:val="single" w:sz="8" w:space="0" w:color="FFFFFF"/>
              <w:right w:val="single" w:sz="8" w:space="0" w:color="FFFFFF"/>
            </w:tcBorders>
            <w:shd w:val="clear" w:color="000000" w:fill="EAEFF7"/>
            <w:vAlign w:val="center"/>
            <w:hideMark/>
          </w:tcPr>
          <w:p w14:paraId="473E2FA8" w14:textId="77777777" w:rsidR="00041E85" w:rsidRPr="000511B9" w:rsidRDefault="00041E85" w:rsidP="00DC48CA">
            <w:pPr>
              <w:jc w:val="center"/>
              <w:rPr>
                <w:rFonts w:ascii="Calibri" w:eastAsia="Times New Roman" w:hAnsi="Calibri" w:cs="Calibri"/>
                <w:b/>
                <w:bCs/>
                <w:color w:val="00B050"/>
                <w:szCs w:val="24"/>
                <w:lang w:eastAsia="en-GB"/>
              </w:rPr>
            </w:pPr>
            <w:r w:rsidRPr="000511B9">
              <w:rPr>
                <w:rFonts w:ascii="Calibri" w:eastAsia="Times New Roman" w:hAnsi="Calibri" w:cs="Calibri"/>
                <w:b/>
                <w:bCs/>
                <w:color w:val="00B050"/>
                <w:szCs w:val="24"/>
                <w:lang w:eastAsia="en-GB"/>
              </w:rPr>
              <w:t>ON TRACK</w:t>
            </w:r>
          </w:p>
        </w:tc>
      </w:tr>
      <w:tr w:rsidR="00041E85" w:rsidRPr="000511B9" w14:paraId="2E38002B" w14:textId="77777777" w:rsidTr="00DC48CA">
        <w:trPr>
          <w:trHeight w:val="310"/>
        </w:trPr>
        <w:tc>
          <w:tcPr>
            <w:tcW w:w="1988" w:type="dxa"/>
            <w:tcBorders>
              <w:top w:val="nil"/>
              <w:left w:val="single" w:sz="8" w:space="0" w:color="FFFFFF"/>
              <w:bottom w:val="single" w:sz="8" w:space="0" w:color="FFFFFF"/>
              <w:right w:val="single" w:sz="8" w:space="0" w:color="FFFFFF"/>
            </w:tcBorders>
            <w:shd w:val="clear" w:color="000000" w:fill="B8CCE4"/>
            <w:vAlign w:val="center"/>
            <w:hideMark/>
          </w:tcPr>
          <w:p w14:paraId="08623AED"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Indirect Capital</w:t>
            </w:r>
          </w:p>
        </w:tc>
        <w:tc>
          <w:tcPr>
            <w:tcW w:w="2041" w:type="dxa"/>
            <w:tcBorders>
              <w:top w:val="nil"/>
              <w:left w:val="nil"/>
              <w:bottom w:val="single" w:sz="8" w:space="0" w:color="FFFFFF"/>
              <w:right w:val="single" w:sz="8" w:space="0" w:color="FFFFFF"/>
            </w:tcBorders>
            <w:shd w:val="clear" w:color="000000" w:fill="B8CCE4"/>
            <w:vAlign w:val="center"/>
            <w:hideMark/>
          </w:tcPr>
          <w:p w14:paraId="3B7B4CB9"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Outturn within 5% of final budget</w:t>
            </w:r>
          </w:p>
        </w:tc>
        <w:tc>
          <w:tcPr>
            <w:tcW w:w="1346" w:type="dxa"/>
            <w:tcBorders>
              <w:top w:val="nil"/>
              <w:left w:val="nil"/>
              <w:bottom w:val="single" w:sz="8" w:space="0" w:color="FFFFFF"/>
              <w:right w:val="single" w:sz="8" w:space="0" w:color="FFFFFF"/>
            </w:tcBorders>
            <w:shd w:val="clear" w:color="000000" w:fill="B8CCE4"/>
            <w:vAlign w:val="center"/>
            <w:hideMark/>
          </w:tcPr>
          <w:p w14:paraId="043B18A5" w14:textId="77777777" w:rsidR="00041E85" w:rsidRPr="000511B9" w:rsidRDefault="00041E85" w:rsidP="00DC48CA">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18.8</w:t>
            </w:r>
          </w:p>
        </w:tc>
        <w:tc>
          <w:tcPr>
            <w:tcW w:w="1450" w:type="dxa"/>
            <w:tcBorders>
              <w:top w:val="nil"/>
              <w:left w:val="nil"/>
              <w:bottom w:val="single" w:sz="8" w:space="0" w:color="FFFFFF"/>
              <w:right w:val="single" w:sz="8" w:space="0" w:color="FFFFFF"/>
            </w:tcBorders>
            <w:shd w:val="clear" w:color="000000" w:fill="B8CCE4"/>
            <w:vAlign w:val="center"/>
            <w:hideMark/>
          </w:tcPr>
          <w:p w14:paraId="6A2D37B3" w14:textId="77777777" w:rsidR="00041E85" w:rsidRPr="000511B9" w:rsidRDefault="00041E85" w:rsidP="00DC48CA">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18.6</w:t>
            </w:r>
          </w:p>
        </w:tc>
        <w:tc>
          <w:tcPr>
            <w:tcW w:w="1490" w:type="dxa"/>
            <w:tcBorders>
              <w:top w:val="nil"/>
              <w:left w:val="nil"/>
              <w:bottom w:val="single" w:sz="8" w:space="0" w:color="FFFFFF"/>
              <w:right w:val="single" w:sz="8" w:space="0" w:color="FFFFFF"/>
            </w:tcBorders>
            <w:shd w:val="clear" w:color="000000" w:fill="B8CCE4"/>
            <w:vAlign w:val="center"/>
            <w:hideMark/>
          </w:tcPr>
          <w:p w14:paraId="63BEABFC" w14:textId="77777777" w:rsidR="00041E85" w:rsidRPr="000511B9" w:rsidRDefault="00041E85" w:rsidP="00DC48CA">
            <w:pPr>
              <w:jc w:val="center"/>
              <w:rPr>
                <w:rFonts w:ascii="Calibri" w:eastAsia="Times New Roman" w:hAnsi="Calibri" w:cs="Calibri"/>
                <w:color w:val="FF0000"/>
                <w:szCs w:val="24"/>
                <w:lang w:eastAsia="en-GB"/>
              </w:rPr>
            </w:pPr>
            <w:r>
              <w:rPr>
                <w:rFonts w:ascii="Calibri" w:eastAsia="Times New Roman" w:hAnsi="Calibri" w:cs="Calibri"/>
                <w:szCs w:val="24"/>
                <w:lang w:eastAsia="en-GB"/>
              </w:rPr>
              <w:t>0.2</w:t>
            </w:r>
          </w:p>
        </w:tc>
        <w:tc>
          <w:tcPr>
            <w:tcW w:w="1604" w:type="dxa"/>
            <w:tcBorders>
              <w:top w:val="nil"/>
              <w:left w:val="nil"/>
              <w:bottom w:val="single" w:sz="8" w:space="0" w:color="FFFFFF"/>
              <w:right w:val="single" w:sz="8" w:space="0" w:color="FFFFFF"/>
            </w:tcBorders>
            <w:shd w:val="clear" w:color="000000" w:fill="B8CCE4"/>
            <w:vAlign w:val="center"/>
            <w:hideMark/>
          </w:tcPr>
          <w:p w14:paraId="24D8DA36" w14:textId="77777777" w:rsidR="00041E85" w:rsidRPr="000511B9" w:rsidRDefault="00041E85" w:rsidP="00DC48CA">
            <w:pPr>
              <w:jc w:val="center"/>
              <w:rPr>
                <w:rFonts w:ascii="Calibri" w:eastAsia="Times New Roman" w:hAnsi="Calibri" w:cs="Calibri"/>
                <w:b/>
                <w:bCs/>
                <w:color w:val="F79646"/>
                <w:szCs w:val="24"/>
                <w:lang w:eastAsia="en-GB"/>
              </w:rPr>
            </w:pPr>
            <w:r w:rsidRPr="000511B9">
              <w:rPr>
                <w:rFonts w:ascii="Calibri" w:eastAsia="Times New Roman" w:hAnsi="Calibri" w:cs="Calibri"/>
                <w:b/>
                <w:bCs/>
                <w:color w:val="00B050"/>
                <w:szCs w:val="24"/>
                <w:lang w:eastAsia="en-GB"/>
              </w:rPr>
              <w:t>ON TRACK</w:t>
            </w:r>
          </w:p>
        </w:tc>
      </w:tr>
      <w:tr w:rsidR="00041E85" w:rsidRPr="000511B9" w14:paraId="58715A80" w14:textId="77777777" w:rsidTr="00DC48CA">
        <w:trPr>
          <w:trHeight w:val="310"/>
        </w:trPr>
        <w:tc>
          <w:tcPr>
            <w:tcW w:w="1988" w:type="dxa"/>
            <w:tcBorders>
              <w:top w:val="nil"/>
              <w:left w:val="single" w:sz="8" w:space="0" w:color="FFFFFF"/>
              <w:bottom w:val="single" w:sz="8" w:space="0" w:color="FFFFFF"/>
              <w:right w:val="single" w:sz="8" w:space="0" w:color="FFFFFF"/>
            </w:tcBorders>
            <w:shd w:val="clear" w:color="000000" w:fill="DBE5F1"/>
            <w:vAlign w:val="center"/>
            <w:hideMark/>
          </w:tcPr>
          <w:p w14:paraId="356B2E17"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Paybill</w:t>
            </w:r>
          </w:p>
        </w:tc>
        <w:tc>
          <w:tcPr>
            <w:tcW w:w="2041" w:type="dxa"/>
            <w:tcBorders>
              <w:top w:val="nil"/>
              <w:left w:val="nil"/>
              <w:bottom w:val="single" w:sz="8" w:space="0" w:color="FFFFFF"/>
              <w:right w:val="single" w:sz="8" w:space="0" w:color="FFFFFF"/>
            </w:tcBorders>
            <w:shd w:val="clear" w:color="000000" w:fill="DBE5F1"/>
            <w:vAlign w:val="center"/>
            <w:hideMark/>
          </w:tcPr>
          <w:p w14:paraId="6BD3F23B"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000000" w:fill="DBE5F1"/>
            <w:vAlign w:val="center"/>
            <w:hideMark/>
          </w:tcPr>
          <w:p w14:paraId="3D00C562"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41.6</w:t>
            </w:r>
          </w:p>
        </w:tc>
        <w:tc>
          <w:tcPr>
            <w:tcW w:w="1450" w:type="dxa"/>
            <w:tcBorders>
              <w:top w:val="nil"/>
              <w:left w:val="nil"/>
              <w:bottom w:val="single" w:sz="8" w:space="0" w:color="FFFFFF"/>
              <w:right w:val="single" w:sz="8" w:space="0" w:color="FFFFFF"/>
            </w:tcBorders>
            <w:shd w:val="clear" w:color="000000" w:fill="DBE5F1"/>
            <w:vAlign w:val="center"/>
            <w:hideMark/>
          </w:tcPr>
          <w:p w14:paraId="61A1157E" w14:textId="77777777" w:rsidR="00041E85" w:rsidRPr="000511B9" w:rsidRDefault="00041E85" w:rsidP="00DC48CA">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42.2</w:t>
            </w:r>
          </w:p>
        </w:tc>
        <w:tc>
          <w:tcPr>
            <w:tcW w:w="1490" w:type="dxa"/>
            <w:tcBorders>
              <w:top w:val="nil"/>
              <w:left w:val="nil"/>
              <w:bottom w:val="single" w:sz="8" w:space="0" w:color="FFFFFF"/>
              <w:right w:val="single" w:sz="8" w:space="0" w:color="FFFFFF"/>
            </w:tcBorders>
            <w:shd w:val="clear" w:color="000000" w:fill="EAEFF7"/>
            <w:vAlign w:val="center"/>
            <w:hideMark/>
          </w:tcPr>
          <w:p w14:paraId="7BC27B41" w14:textId="77777777" w:rsidR="00041E85" w:rsidRPr="000511B9" w:rsidRDefault="00041E85" w:rsidP="00DC48CA">
            <w:pPr>
              <w:jc w:val="center"/>
              <w:rPr>
                <w:rFonts w:ascii="Calibri" w:eastAsia="Times New Roman" w:hAnsi="Calibri" w:cs="Calibri"/>
                <w:color w:val="000000"/>
                <w:szCs w:val="24"/>
                <w:lang w:eastAsia="en-GB"/>
              </w:rPr>
            </w:pPr>
            <w:r>
              <w:rPr>
                <w:rFonts w:ascii="Calibri" w:eastAsia="Times New Roman" w:hAnsi="Calibri" w:cs="Calibri"/>
                <w:color w:val="FF0000"/>
                <w:szCs w:val="24"/>
                <w:lang w:eastAsia="en-GB"/>
              </w:rPr>
              <w:t>(0.6)</w:t>
            </w:r>
          </w:p>
        </w:tc>
        <w:tc>
          <w:tcPr>
            <w:tcW w:w="1604" w:type="dxa"/>
            <w:tcBorders>
              <w:top w:val="nil"/>
              <w:left w:val="nil"/>
              <w:bottom w:val="single" w:sz="8" w:space="0" w:color="FFFFFF"/>
              <w:right w:val="single" w:sz="8" w:space="0" w:color="FFFFFF"/>
            </w:tcBorders>
            <w:shd w:val="clear" w:color="000000" w:fill="DBE5F1"/>
            <w:vAlign w:val="center"/>
            <w:hideMark/>
          </w:tcPr>
          <w:p w14:paraId="6EFF6FCF" w14:textId="77777777" w:rsidR="00041E85" w:rsidRPr="000511B9" w:rsidRDefault="00041E85" w:rsidP="00DC48CA">
            <w:pPr>
              <w:jc w:val="center"/>
              <w:rPr>
                <w:rFonts w:ascii="Calibri" w:eastAsia="Times New Roman" w:hAnsi="Calibri" w:cs="Calibri"/>
                <w:b/>
                <w:bCs/>
                <w:color w:val="00B050"/>
                <w:szCs w:val="24"/>
                <w:lang w:eastAsia="en-GB"/>
              </w:rPr>
            </w:pPr>
            <w:r w:rsidRPr="007C590D">
              <w:rPr>
                <w:rFonts w:ascii="Calibri" w:eastAsia="Times New Roman" w:hAnsi="Calibri" w:cs="Calibri"/>
                <w:b/>
                <w:bCs/>
                <w:color w:val="FFC000"/>
                <w:szCs w:val="24"/>
                <w:lang w:eastAsia="en-GB"/>
              </w:rPr>
              <w:t>MINOR SLIPPAGE</w:t>
            </w:r>
          </w:p>
        </w:tc>
      </w:tr>
      <w:tr w:rsidR="00041E85" w:rsidRPr="000511B9" w14:paraId="7C1C310E" w14:textId="77777777" w:rsidTr="00DC48CA">
        <w:trPr>
          <w:trHeight w:val="310"/>
        </w:trPr>
        <w:tc>
          <w:tcPr>
            <w:tcW w:w="1988" w:type="dxa"/>
            <w:tcBorders>
              <w:top w:val="nil"/>
              <w:left w:val="single" w:sz="8" w:space="0" w:color="FFFFFF"/>
              <w:bottom w:val="single" w:sz="8" w:space="0" w:color="FFFFFF"/>
              <w:right w:val="single" w:sz="8" w:space="0" w:color="FFFFFF"/>
            </w:tcBorders>
            <w:shd w:val="clear" w:color="000000" w:fill="B8CCE4"/>
            <w:vAlign w:val="center"/>
            <w:hideMark/>
          </w:tcPr>
          <w:p w14:paraId="0FA9B58C"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Project Allocation</w:t>
            </w:r>
          </w:p>
        </w:tc>
        <w:tc>
          <w:tcPr>
            <w:tcW w:w="2041" w:type="dxa"/>
            <w:tcBorders>
              <w:top w:val="nil"/>
              <w:left w:val="nil"/>
              <w:bottom w:val="single" w:sz="8" w:space="0" w:color="FFFFFF"/>
              <w:right w:val="single" w:sz="8" w:space="0" w:color="FFFFFF"/>
            </w:tcBorders>
            <w:shd w:val="clear" w:color="000000" w:fill="B8CCE4"/>
            <w:vAlign w:val="center"/>
            <w:hideMark/>
          </w:tcPr>
          <w:p w14:paraId="7CA6758D"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 xml:space="preserve">Outturn </w:t>
            </w:r>
            <w:r>
              <w:rPr>
                <w:rFonts w:ascii="Calibri" w:eastAsia="Times New Roman" w:hAnsi="Calibri" w:cs="Calibri"/>
                <w:color w:val="000000"/>
                <w:szCs w:val="24"/>
                <w:lang w:eastAsia="en-GB"/>
              </w:rPr>
              <w:t>within</w:t>
            </w:r>
            <w:r w:rsidRPr="000511B9">
              <w:rPr>
                <w:rFonts w:ascii="Calibri" w:eastAsia="Times New Roman" w:hAnsi="Calibri" w:cs="Calibri"/>
                <w:color w:val="000000"/>
                <w:szCs w:val="24"/>
                <w:lang w:eastAsia="en-GB"/>
              </w:rPr>
              <w:t xml:space="preserve"> 1% of final budget</w:t>
            </w:r>
          </w:p>
        </w:tc>
        <w:tc>
          <w:tcPr>
            <w:tcW w:w="1346" w:type="dxa"/>
            <w:tcBorders>
              <w:top w:val="nil"/>
              <w:left w:val="nil"/>
              <w:bottom w:val="single" w:sz="8" w:space="0" w:color="FFFFFF"/>
              <w:right w:val="single" w:sz="8" w:space="0" w:color="FFFFFF"/>
            </w:tcBorders>
            <w:shd w:val="clear" w:color="000000" w:fill="B8CCE4"/>
            <w:vAlign w:val="center"/>
            <w:hideMark/>
          </w:tcPr>
          <w:p w14:paraId="18F89D2F" w14:textId="77777777" w:rsidR="00041E85" w:rsidRPr="000511B9" w:rsidRDefault="00041E85" w:rsidP="00DC48CA">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18.0</w:t>
            </w:r>
          </w:p>
        </w:tc>
        <w:tc>
          <w:tcPr>
            <w:tcW w:w="1450" w:type="dxa"/>
            <w:tcBorders>
              <w:top w:val="nil"/>
              <w:left w:val="nil"/>
              <w:bottom w:val="single" w:sz="8" w:space="0" w:color="FFFFFF"/>
              <w:right w:val="single" w:sz="8" w:space="0" w:color="FFFFFF"/>
            </w:tcBorders>
            <w:shd w:val="clear" w:color="000000" w:fill="B8CCE4"/>
            <w:vAlign w:val="center"/>
            <w:hideMark/>
          </w:tcPr>
          <w:p w14:paraId="14B2CA66" w14:textId="77777777" w:rsidR="00041E85" w:rsidRPr="000511B9" w:rsidRDefault="00041E85" w:rsidP="00DC48CA">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18.5</w:t>
            </w:r>
          </w:p>
        </w:tc>
        <w:tc>
          <w:tcPr>
            <w:tcW w:w="1490" w:type="dxa"/>
            <w:tcBorders>
              <w:top w:val="nil"/>
              <w:left w:val="nil"/>
              <w:bottom w:val="single" w:sz="8" w:space="0" w:color="FFFFFF"/>
              <w:right w:val="single" w:sz="8" w:space="0" w:color="FFFFFF"/>
            </w:tcBorders>
            <w:shd w:val="clear" w:color="000000" w:fill="B8CCE4"/>
            <w:vAlign w:val="center"/>
            <w:hideMark/>
          </w:tcPr>
          <w:p w14:paraId="2A0B78FB" w14:textId="77777777" w:rsidR="00041E85" w:rsidRPr="000511B9" w:rsidRDefault="00041E85" w:rsidP="00DC48CA">
            <w:pPr>
              <w:jc w:val="center"/>
              <w:rPr>
                <w:rFonts w:ascii="Calibri" w:eastAsia="Times New Roman" w:hAnsi="Calibri" w:cs="Calibri"/>
                <w:color w:val="000000"/>
                <w:szCs w:val="24"/>
                <w:lang w:eastAsia="en-GB"/>
              </w:rPr>
            </w:pPr>
            <w:r>
              <w:rPr>
                <w:rFonts w:ascii="Calibri" w:eastAsia="Times New Roman" w:hAnsi="Calibri" w:cs="Calibri"/>
                <w:color w:val="FF0000"/>
                <w:szCs w:val="24"/>
                <w:lang w:eastAsia="en-GB"/>
              </w:rPr>
              <w:t>(0.5)</w:t>
            </w:r>
          </w:p>
        </w:tc>
        <w:tc>
          <w:tcPr>
            <w:tcW w:w="1604" w:type="dxa"/>
            <w:tcBorders>
              <w:top w:val="nil"/>
              <w:left w:val="nil"/>
              <w:bottom w:val="single" w:sz="8" w:space="0" w:color="FFFFFF"/>
              <w:right w:val="single" w:sz="8" w:space="0" w:color="FFFFFF"/>
            </w:tcBorders>
            <w:shd w:val="clear" w:color="000000" w:fill="B8CCE4"/>
            <w:vAlign w:val="center"/>
            <w:hideMark/>
          </w:tcPr>
          <w:p w14:paraId="152D0B6E" w14:textId="77777777" w:rsidR="00041E85" w:rsidRPr="000511B9" w:rsidRDefault="00041E85" w:rsidP="00DC48CA">
            <w:pPr>
              <w:jc w:val="center"/>
              <w:rPr>
                <w:rFonts w:ascii="Calibri" w:eastAsia="Times New Roman" w:hAnsi="Calibri" w:cs="Calibri"/>
                <w:b/>
                <w:bCs/>
                <w:color w:val="00B050"/>
                <w:szCs w:val="24"/>
                <w:lang w:eastAsia="en-GB"/>
              </w:rPr>
            </w:pPr>
            <w:r w:rsidRPr="007C590D">
              <w:rPr>
                <w:rFonts w:ascii="Calibri" w:eastAsia="Times New Roman" w:hAnsi="Calibri" w:cs="Calibri"/>
                <w:b/>
                <w:bCs/>
                <w:color w:val="FFC000"/>
                <w:szCs w:val="24"/>
                <w:lang w:eastAsia="en-GB"/>
              </w:rPr>
              <w:t>MINOR SLIPPAGE</w:t>
            </w:r>
          </w:p>
        </w:tc>
      </w:tr>
      <w:tr w:rsidR="00041E85" w:rsidRPr="000511B9" w14:paraId="6E1F73CE" w14:textId="77777777" w:rsidTr="00DC48CA">
        <w:trPr>
          <w:trHeight w:val="158"/>
        </w:trPr>
        <w:tc>
          <w:tcPr>
            <w:tcW w:w="1988" w:type="dxa"/>
            <w:tcBorders>
              <w:top w:val="nil"/>
              <w:left w:val="single" w:sz="8" w:space="0" w:color="FFFFFF"/>
              <w:bottom w:val="single" w:sz="8" w:space="0" w:color="FFFFFF"/>
              <w:right w:val="single" w:sz="8" w:space="0" w:color="FFFFFF"/>
            </w:tcBorders>
            <w:shd w:val="clear" w:color="auto" w:fill="auto"/>
            <w:vAlign w:val="center"/>
            <w:hideMark/>
          </w:tcPr>
          <w:p w14:paraId="6092EBD5"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 </w:t>
            </w:r>
          </w:p>
        </w:tc>
        <w:tc>
          <w:tcPr>
            <w:tcW w:w="2041" w:type="dxa"/>
            <w:tcBorders>
              <w:top w:val="nil"/>
              <w:left w:val="nil"/>
              <w:bottom w:val="single" w:sz="8" w:space="0" w:color="FFFFFF"/>
              <w:right w:val="single" w:sz="8" w:space="0" w:color="FFFFFF"/>
            </w:tcBorders>
            <w:shd w:val="clear" w:color="auto" w:fill="auto"/>
            <w:vAlign w:val="center"/>
            <w:hideMark/>
          </w:tcPr>
          <w:p w14:paraId="7F6E2D0E"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 </w:t>
            </w:r>
          </w:p>
        </w:tc>
        <w:tc>
          <w:tcPr>
            <w:tcW w:w="1346" w:type="dxa"/>
            <w:tcBorders>
              <w:top w:val="nil"/>
              <w:left w:val="nil"/>
              <w:bottom w:val="single" w:sz="8" w:space="0" w:color="FFFFFF"/>
              <w:right w:val="single" w:sz="8" w:space="0" w:color="FFFFFF"/>
            </w:tcBorders>
            <w:shd w:val="clear" w:color="auto" w:fill="auto"/>
            <w:vAlign w:val="center"/>
            <w:hideMark/>
          </w:tcPr>
          <w:p w14:paraId="40C37AC1"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 </w:t>
            </w:r>
          </w:p>
        </w:tc>
        <w:tc>
          <w:tcPr>
            <w:tcW w:w="1450" w:type="dxa"/>
            <w:tcBorders>
              <w:top w:val="nil"/>
              <w:left w:val="nil"/>
              <w:bottom w:val="single" w:sz="8" w:space="0" w:color="FFFFFF"/>
              <w:right w:val="single" w:sz="8" w:space="0" w:color="FFFFFF"/>
            </w:tcBorders>
            <w:shd w:val="clear" w:color="auto" w:fill="auto"/>
            <w:vAlign w:val="center"/>
            <w:hideMark/>
          </w:tcPr>
          <w:p w14:paraId="264923F1"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 </w:t>
            </w:r>
          </w:p>
        </w:tc>
        <w:tc>
          <w:tcPr>
            <w:tcW w:w="1490" w:type="dxa"/>
            <w:tcBorders>
              <w:top w:val="nil"/>
              <w:left w:val="nil"/>
              <w:bottom w:val="single" w:sz="8" w:space="0" w:color="FFFFFF"/>
              <w:right w:val="single" w:sz="8" w:space="0" w:color="FFFFFF"/>
            </w:tcBorders>
            <w:shd w:val="clear" w:color="auto" w:fill="auto"/>
            <w:vAlign w:val="center"/>
            <w:hideMark/>
          </w:tcPr>
          <w:p w14:paraId="5EF4A89E"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 </w:t>
            </w:r>
          </w:p>
        </w:tc>
        <w:tc>
          <w:tcPr>
            <w:tcW w:w="1604" w:type="dxa"/>
            <w:tcBorders>
              <w:top w:val="nil"/>
              <w:left w:val="nil"/>
              <w:bottom w:val="single" w:sz="8" w:space="0" w:color="FFFFFF"/>
              <w:right w:val="single" w:sz="8" w:space="0" w:color="FFFFFF"/>
            </w:tcBorders>
            <w:shd w:val="clear" w:color="auto" w:fill="auto"/>
            <w:vAlign w:val="center"/>
            <w:hideMark/>
          </w:tcPr>
          <w:p w14:paraId="6AF5ADF5" w14:textId="77777777" w:rsidR="00041E85" w:rsidRPr="000511B9" w:rsidRDefault="00041E85" w:rsidP="00DC48CA">
            <w:pPr>
              <w:jc w:val="center"/>
              <w:rPr>
                <w:rFonts w:ascii="Calibri" w:eastAsia="Times New Roman" w:hAnsi="Calibri" w:cs="Calibri"/>
                <w:b/>
                <w:bCs/>
                <w:color w:val="FFC000"/>
                <w:szCs w:val="24"/>
                <w:lang w:eastAsia="en-GB"/>
              </w:rPr>
            </w:pPr>
            <w:r w:rsidRPr="000511B9">
              <w:rPr>
                <w:rFonts w:ascii="Calibri" w:eastAsia="Times New Roman" w:hAnsi="Calibri" w:cs="Calibri"/>
                <w:b/>
                <w:bCs/>
                <w:color w:val="FFC000"/>
                <w:szCs w:val="24"/>
                <w:lang w:eastAsia="en-GB"/>
              </w:rPr>
              <w:t> </w:t>
            </w:r>
          </w:p>
        </w:tc>
      </w:tr>
      <w:tr w:rsidR="00041E85" w:rsidRPr="000511B9" w14:paraId="6656FDF3" w14:textId="77777777" w:rsidTr="00DC48CA">
        <w:trPr>
          <w:trHeight w:val="310"/>
        </w:trPr>
        <w:tc>
          <w:tcPr>
            <w:tcW w:w="1988" w:type="dxa"/>
            <w:tcBorders>
              <w:top w:val="nil"/>
              <w:left w:val="single" w:sz="8" w:space="0" w:color="FFFFFF"/>
              <w:bottom w:val="single" w:sz="8" w:space="0" w:color="FFFFFF"/>
              <w:right w:val="single" w:sz="8" w:space="0" w:color="FFFFFF"/>
            </w:tcBorders>
            <w:shd w:val="clear" w:color="000000" w:fill="B8CCE4"/>
            <w:vAlign w:val="center"/>
            <w:hideMark/>
          </w:tcPr>
          <w:p w14:paraId="47AAA3F1"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Peatlands</w:t>
            </w:r>
          </w:p>
        </w:tc>
        <w:tc>
          <w:tcPr>
            <w:tcW w:w="2041" w:type="dxa"/>
            <w:tcBorders>
              <w:top w:val="nil"/>
              <w:left w:val="nil"/>
              <w:bottom w:val="single" w:sz="8" w:space="0" w:color="FFFFFF"/>
              <w:right w:val="single" w:sz="8" w:space="0" w:color="FFFFFF"/>
            </w:tcBorders>
            <w:shd w:val="clear" w:color="000000" w:fill="B8CCE4"/>
            <w:vAlign w:val="center"/>
            <w:hideMark/>
          </w:tcPr>
          <w:p w14:paraId="786022FF"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000000" w:fill="B8CCE4"/>
            <w:vAlign w:val="center"/>
            <w:hideMark/>
          </w:tcPr>
          <w:p w14:paraId="1B2B97A9" w14:textId="77777777" w:rsidR="00041E85" w:rsidRPr="000511B9" w:rsidRDefault="00041E85" w:rsidP="00DC48CA">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15.8</w:t>
            </w:r>
          </w:p>
        </w:tc>
        <w:tc>
          <w:tcPr>
            <w:tcW w:w="1450" w:type="dxa"/>
            <w:tcBorders>
              <w:top w:val="nil"/>
              <w:left w:val="nil"/>
              <w:bottom w:val="single" w:sz="8" w:space="0" w:color="FFFFFF"/>
              <w:right w:val="single" w:sz="8" w:space="0" w:color="FFFFFF"/>
            </w:tcBorders>
            <w:shd w:val="clear" w:color="000000" w:fill="B8CCE4"/>
            <w:vAlign w:val="center"/>
            <w:hideMark/>
          </w:tcPr>
          <w:p w14:paraId="7265EE28" w14:textId="77777777" w:rsidR="00041E85" w:rsidRPr="000511B9" w:rsidRDefault="00041E85" w:rsidP="00DC48CA">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16.1</w:t>
            </w:r>
          </w:p>
        </w:tc>
        <w:tc>
          <w:tcPr>
            <w:tcW w:w="1490" w:type="dxa"/>
            <w:tcBorders>
              <w:top w:val="nil"/>
              <w:left w:val="nil"/>
              <w:bottom w:val="single" w:sz="8" w:space="0" w:color="FFFFFF"/>
              <w:right w:val="single" w:sz="8" w:space="0" w:color="FFFFFF"/>
            </w:tcBorders>
            <w:shd w:val="clear" w:color="000000" w:fill="B8CCE4"/>
            <w:vAlign w:val="center"/>
            <w:hideMark/>
          </w:tcPr>
          <w:p w14:paraId="4B6E6479" w14:textId="77777777" w:rsidR="00041E85" w:rsidRPr="000511B9" w:rsidRDefault="00041E85" w:rsidP="00DC48CA">
            <w:pPr>
              <w:jc w:val="center"/>
              <w:rPr>
                <w:rFonts w:ascii="Calibri" w:eastAsia="Times New Roman" w:hAnsi="Calibri" w:cs="Calibri"/>
                <w:color w:val="FF0000"/>
                <w:szCs w:val="24"/>
                <w:lang w:eastAsia="en-GB"/>
              </w:rPr>
            </w:pPr>
            <w:r>
              <w:rPr>
                <w:rFonts w:ascii="Calibri" w:eastAsia="Times New Roman" w:hAnsi="Calibri" w:cs="Calibri"/>
                <w:color w:val="FF0000"/>
                <w:szCs w:val="24"/>
                <w:lang w:eastAsia="en-GB"/>
              </w:rPr>
              <w:t>(0.3)</w:t>
            </w:r>
          </w:p>
        </w:tc>
        <w:tc>
          <w:tcPr>
            <w:tcW w:w="1604" w:type="dxa"/>
            <w:tcBorders>
              <w:top w:val="nil"/>
              <w:left w:val="nil"/>
              <w:bottom w:val="single" w:sz="8" w:space="0" w:color="FFFFFF"/>
              <w:right w:val="single" w:sz="8" w:space="0" w:color="FFFFFF"/>
            </w:tcBorders>
            <w:shd w:val="clear" w:color="000000" w:fill="B8CCE4"/>
            <w:vAlign w:val="center"/>
            <w:hideMark/>
          </w:tcPr>
          <w:p w14:paraId="65115E2E" w14:textId="77777777" w:rsidR="00041E85" w:rsidRPr="000511B9" w:rsidRDefault="00041E85" w:rsidP="00DC48CA">
            <w:pPr>
              <w:jc w:val="center"/>
              <w:rPr>
                <w:rFonts w:ascii="Calibri" w:eastAsia="Times New Roman" w:hAnsi="Calibri" w:cs="Calibri"/>
                <w:b/>
                <w:bCs/>
                <w:color w:val="00B050"/>
                <w:szCs w:val="24"/>
                <w:lang w:eastAsia="en-GB"/>
              </w:rPr>
            </w:pPr>
            <w:r w:rsidRPr="000511B9">
              <w:rPr>
                <w:rFonts w:ascii="Calibri" w:eastAsia="Times New Roman" w:hAnsi="Calibri" w:cs="Calibri"/>
                <w:b/>
                <w:bCs/>
                <w:color w:val="00B050"/>
                <w:szCs w:val="24"/>
                <w:lang w:eastAsia="en-GB"/>
              </w:rPr>
              <w:t>ON TRACK</w:t>
            </w:r>
          </w:p>
        </w:tc>
      </w:tr>
      <w:tr w:rsidR="00041E85" w:rsidRPr="000511B9" w14:paraId="50DD4CD9" w14:textId="77777777" w:rsidTr="00DC48CA">
        <w:trPr>
          <w:trHeight w:val="310"/>
        </w:trPr>
        <w:tc>
          <w:tcPr>
            <w:tcW w:w="1988" w:type="dxa"/>
            <w:tcBorders>
              <w:top w:val="nil"/>
              <w:left w:val="single" w:sz="8" w:space="0" w:color="FFFFFF"/>
              <w:bottom w:val="single" w:sz="8" w:space="0" w:color="FFFFFF"/>
              <w:right w:val="single" w:sz="8" w:space="0" w:color="FFFFFF"/>
            </w:tcBorders>
            <w:shd w:val="clear" w:color="000000" w:fill="DBE5F1"/>
            <w:vAlign w:val="center"/>
            <w:hideMark/>
          </w:tcPr>
          <w:p w14:paraId="32593B0E"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Farming with Nature</w:t>
            </w:r>
          </w:p>
        </w:tc>
        <w:tc>
          <w:tcPr>
            <w:tcW w:w="2041" w:type="dxa"/>
            <w:tcBorders>
              <w:top w:val="nil"/>
              <w:left w:val="nil"/>
              <w:bottom w:val="single" w:sz="8" w:space="0" w:color="FFFFFF"/>
              <w:right w:val="single" w:sz="8" w:space="0" w:color="FFFFFF"/>
            </w:tcBorders>
            <w:shd w:val="clear" w:color="000000" w:fill="DBE5F1"/>
            <w:vAlign w:val="center"/>
            <w:hideMark/>
          </w:tcPr>
          <w:p w14:paraId="243B5185"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000000" w:fill="DBE5F1"/>
            <w:vAlign w:val="center"/>
            <w:hideMark/>
          </w:tcPr>
          <w:p w14:paraId="12B30F18" w14:textId="77777777" w:rsidR="00041E85" w:rsidRPr="000511B9" w:rsidRDefault="00041E85" w:rsidP="00DC48CA">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0.9</w:t>
            </w:r>
          </w:p>
        </w:tc>
        <w:tc>
          <w:tcPr>
            <w:tcW w:w="1450" w:type="dxa"/>
            <w:tcBorders>
              <w:top w:val="nil"/>
              <w:left w:val="nil"/>
              <w:bottom w:val="single" w:sz="8" w:space="0" w:color="FFFFFF"/>
              <w:right w:val="single" w:sz="8" w:space="0" w:color="FFFFFF"/>
            </w:tcBorders>
            <w:shd w:val="clear" w:color="000000" w:fill="DBE5F1"/>
            <w:vAlign w:val="center"/>
            <w:hideMark/>
          </w:tcPr>
          <w:p w14:paraId="7A56D2E6" w14:textId="77777777" w:rsidR="00041E85" w:rsidRPr="000511B9" w:rsidRDefault="00041E85" w:rsidP="00DC48CA">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0.9</w:t>
            </w:r>
          </w:p>
        </w:tc>
        <w:tc>
          <w:tcPr>
            <w:tcW w:w="1490" w:type="dxa"/>
            <w:tcBorders>
              <w:top w:val="nil"/>
              <w:left w:val="nil"/>
              <w:bottom w:val="single" w:sz="8" w:space="0" w:color="FFFFFF"/>
              <w:right w:val="single" w:sz="8" w:space="0" w:color="FFFFFF"/>
            </w:tcBorders>
            <w:shd w:val="clear" w:color="000000" w:fill="EAEFF7"/>
            <w:vAlign w:val="center"/>
            <w:hideMark/>
          </w:tcPr>
          <w:p w14:paraId="6FE5B0D2"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 xml:space="preserve">0.0 </w:t>
            </w:r>
          </w:p>
        </w:tc>
        <w:tc>
          <w:tcPr>
            <w:tcW w:w="1604" w:type="dxa"/>
            <w:tcBorders>
              <w:top w:val="nil"/>
              <w:left w:val="nil"/>
              <w:bottom w:val="single" w:sz="8" w:space="0" w:color="FFFFFF"/>
              <w:right w:val="single" w:sz="8" w:space="0" w:color="FFFFFF"/>
            </w:tcBorders>
            <w:shd w:val="clear" w:color="000000" w:fill="DBE5F1"/>
            <w:vAlign w:val="center"/>
            <w:hideMark/>
          </w:tcPr>
          <w:p w14:paraId="59BD5E73" w14:textId="77777777" w:rsidR="00041E85" w:rsidRPr="000511B9" w:rsidRDefault="00041E85" w:rsidP="00DC48CA">
            <w:pPr>
              <w:jc w:val="center"/>
              <w:rPr>
                <w:rFonts w:ascii="Calibri" w:eastAsia="Times New Roman" w:hAnsi="Calibri" w:cs="Calibri"/>
                <w:b/>
                <w:bCs/>
                <w:color w:val="00B050"/>
                <w:szCs w:val="24"/>
                <w:lang w:eastAsia="en-GB"/>
              </w:rPr>
            </w:pPr>
            <w:r w:rsidRPr="000511B9">
              <w:rPr>
                <w:rFonts w:ascii="Calibri" w:eastAsia="Times New Roman" w:hAnsi="Calibri" w:cs="Calibri"/>
                <w:b/>
                <w:bCs/>
                <w:color w:val="00B050"/>
                <w:szCs w:val="24"/>
                <w:lang w:eastAsia="en-GB"/>
              </w:rPr>
              <w:t>ON TRACK</w:t>
            </w:r>
          </w:p>
        </w:tc>
      </w:tr>
      <w:tr w:rsidR="00041E85" w:rsidRPr="000511B9" w14:paraId="4E912FAE" w14:textId="77777777" w:rsidTr="00DC48CA">
        <w:trPr>
          <w:trHeight w:val="310"/>
        </w:trPr>
        <w:tc>
          <w:tcPr>
            <w:tcW w:w="1988" w:type="dxa"/>
            <w:tcBorders>
              <w:top w:val="nil"/>
              <w:left w:val="single" w:sz="8" w:space="0" w:color="FFFFFF"/>
              <w:bottom w:val="single" w:sz="8" w:space="0" w:color="FFFFFF"/>
              <w:right w:val="single" w:sz="8" w:space="0" w:color="FFFFFF"/>
            </w:tcBorders>
            <w:shd w:val="clear" w:color="000000" w:fill="B8CCE4"/>
            <w:vAlign w:val="center"/>
            <w:hideMark/>
          </w:tcPr>
          <w:p w14:paraId="54DA1053"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 xml:space="preserve">Nature Recovery Fund </w:t>
            </w:r>
          </w:p>
        </w:tc>
        <w:tc>
          <w:tcPr>
            <w:tcW w:w="2041" w:type="dxa"/>
            <w:tcBorders>
              <w:top w:val="nil"/>
              <w:left w:val="nil"/>
              <w:bottom w:val="single" w:sz="8" w:space="0" w:color="FFFFFF"/>
              <w:right w:val="single" w:sz="8" w:space="0" w:color="FFFFFF"/>
            </w:tcBorders>
            <w:shd w:val="clear" w:color="000000" w:fill="B8CCE4"/>
            <w:vAlign w:val="center"/>
            <w:hideMark/>
          </w:tcPr>
          <w:p w14:paraId="4CB124C8"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000000" w:fill="B8CCE4"/>
            <w:vAlign w:val="center"/>
            <w:hideMark/>
          </w:tcPr>
          <w:p w14:paraId="42DCE453"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9.7</w:t>
            </w:r>
          </w:p>
        </w:tc>
        <w:tc>
          <w:tcPr>
            <w:tcW w:w="1450" w:type="dxa"/>
            <w:tcBorders>
              <w:top w:val="nil"/>
              <w:left w:val="nil"/>
              <w:bottom w:val="single" w:sz="8" w:space="0" w:color="FFFFFF"/>
              <w:right w:val="single" w:sz="8" w:space="0" w:color="FFFFFF"/>
            </w:tcBorders>
            <w:shd w:val="clear" w:color="000000" w:fill="B8CCE4"/>
            <w:vAlign w:val="center"/>
            <w:hideMark/>
          </w:tcPr>
          <w:p w14:paraId="2F300B8F" w14:textId="77777777" w:rsidR="00041E85" w:rsidRPr="000511B9" w:rsidRDefault="00041E85" w:rsidP="00DC48CA">
            <w:pPr>
              <w:jc w:val="center"/>
              <w:rPr>
                <w:rFonts w:ascii="Calibri" w:eastAsia="Times New Roman" w:hAnsi="Calibri" w:cs="Calibri"/>
                <w:color w:val="000000"/>
                <w:szCs w:val="24"/>
                <w:lang w:eastAsia="en-GB"/>
              </w:rPr>
            </w:pPr>
            <w:r>
              <w:rPr>
                <w:rFonts w:ascii="Calibri" w:eastAsia="Times New Roman" w:hAnsi="Calibri" w:cs="Calibri"/>
                <w:color w:val="000000"/>
                <w:szCs w:val="24"/>
                <w:lang w:eastAsia="en-GB"/>
              </w:rPr>
              <w:t>9.0</w:t>
            </w:r>
          </w:p>
        </w:tc>
        <w:tc>
          <w:tcPr>
            <w:tcW w:w="1490" w:type="dxa"/>
            <w:tcBorders>
              <w:top w:val="nil"/>
              <w:left w:val="nil"/>
              <w:bottom w:val="single" w:sz="8" w:space="0" w:color="FFFFFF"/>
              <w:right w:val="single" w:sz="8" w:space="0" w:color="FFFFFF"/>
            </w:tcBorders>
            <w:shd w:val="clear" w:color="000000" w:fill="B8CCE4"/>
            <w:vAlign w:val="center"/>
            <w:hideMark/>
          </w:tcPr>
          <w:p w14:paraId="61384AC2" w14:textId="77777777" w:rsidR="00041E85" w:rsidRPr="000511B9" w:rsidRDefault="00041E85" w:rsidP="00DC48CA">
            <w:pPr>
              <w:jc w:val="center"/>
              <w:rPr>
                <w:rFonts w:ascii="Calibri" w:eastAsia="Times New Roman" w:hAnsi="Calibri" w:cs="Calibri"/>
                <w:color w:val="FF0000"/>
                <w:szCs w:val="24"/>
                <w:lang w:eastAsia="en-GB"/>
              </w:rPr>
            </w:pPr>
            <w:r>
              <w:rPr>
                <w:rFonts w:ascii="Calibri" w:eastAsia="Times New Roman" w:hAnsi="Calibri" w:cs="Calibri"/>
                <w:szCs w:val="24"/>
                <w:lang w:eastAsia="en-GB"/>
              </w:rPr>
              <w:t>0.7</w:t>
            </w:r>
          </w:p>
        </w:tc>
        <w:tc>
          <w:tcPr>
            <w:tcW w:w="1604" w:type="dxa"/>
            <w:tcBorders>
              <w:top w:val="nil"/>
              <w:left w:val="nil"/>
              <w:bottom w:val="single" w:sz="8" w:space="0" w:color="FFFFFF"/>
              <w:right w:val="single" w:sz="8" w:space="0" w:color="FFFFFF"/>
            </w:tcBorders>
            <w:shd w:val="clear" w:color="000000" w:fill="B8CCE4"/>
            <w:vAlign w:val="center"/>
            <w:hideMark/>
          </w:tcPr>
          <w:p w14:paraId="4798DE33" w14:textId="77777777" w:rsidR="00041E85" w:rsidRPr="000511B9" w:rsidRDefault="00041E85" w:rsidP="00DC48CA">
            <w:pPr>
              <w:jc w:val="center"/>
              <w:rPr>
                <w:rFonts w:ascii="Calibri" w:eastAsia="Times New Roman" w:hAnsi="Calibri" w:cs="Calibri"/>
                <w:b/>
                <w:bCs/>
                <w:color w:val="F79646"/>
                <w:szCs w:val="24"/>
                <w:lang w:eastAsia="en-GB"/>
              </w:rPr>
            </w:pPr>
            <w:r w:rsidRPr="007C590D">
              <w:rPr>
                <w:rFonts w:ascii="Calibri" w:eastAsia="Times New Roman" w:hAnsi="Calibri" w:cs="Calibri"/>
                <w:b/>
                <w:bCs/>
                <w:color w:val="FFC000"/>
                <w:szCs w:val="24"/>
                <w:lang w:eastAsia="en-GB"/>
              </w:rPr>
              <w:t>MINOR SLIPPAGE</w:t>
            </w:r>
          </w:p>
        </w:tc>
      </w:tr>
      <w:tr w:rsidR="00041E85" w:rsidRPr="000511B9" w14:paraId="19502A82" w14:textId="77777777" w:rsidTr="00DC48CA">
        <w:trPr>
          <w:trHeight w:val="310"/>
        </w:trPr>
        <w:tc>
          <w:tcPr>
            <w:tcW w:w="1988" w:type="dxa"/>
            <w:tcBorders>
              <w:top w:val="nil"/>
              <w:left w:val="single" w:sz="8" w:space="0" w:color="FFFFFF"/>
              <w:bottom w:val="single" w:sz="8" w:space="0" w:color="FFFFFF"/>
              <w:right w:val="single" w:sz="8" w:space="0" w:color="FFFFFF"/>
            </w:tcBorders>
            <w:shd w:val="clear" w:color="000000" w:fill="DBE5F1"/>
            <w:vAlign w:val="center"/>
            <w:hideMark/>
          </w:tcPr>
          <w:p w14:paraId="32DF084B"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FIRNS</w:t>
            </w:r>
          </w:p>
        </w:tc>
        <w:tc>
          <w:tcPr>
            <w:tcW w:w="2041" w:type="dxa"/>
            <w:tcBorders>
              <w:top w:val="nil"/>
              <w:left w:val="nil"/>
              <w:bottom w:val="single" w:sz="8" w:space="0" w:color="FFFFFF"/>
              <w:right w:val="single" w:sz="8" w:space="0" w:color="FFFFFF"/>
            </w:tcBorders>
            <w:shd w:val="clear" w:color="000000" w:fill="DBE5F1"/>
            <w:vAlign w:val="center"/>
            <w:hideMark/>
          </w:tcPr>
          <w:p w14:paraId="314DF62B"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000000" w:fill="DBE5F1"/>
            <w:vAlign w:val="center"/>
            <w:hideMark/>
          </w:tcPr>
          <w:p w14:paraId="16E9B00E"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1.5</w:t>
            </w:r>
          </w:p>
        </w:tc>
        <w:tc>
          <w:tcPr>
            <w:tcW w:w="1450" w:type="dxa"/>
            <w:tcBorders>
              <w:top w:val="nil"/>
              <w:left w:val="nil"/>
              <w:bottom w:val="single" w:sz="8" w:space="0" w:color="FFFFFF"/>
              <w:right w:val="single" w:sz="8" w:space="0" w:color="FFFFFF"/>
            </w:tcBorders>
            <w:shd w:val="clear" w:color="000000" w:fill="DBE5F1"/>
            <w:vAlign w:val="center"/>
            <w:hideMark/>
          </w:tcPr>
          <w:p w14:paraId="1E13DA29"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1.</w:t>
            </w:r>
            <w:r>
              <w:rPr>
                <w:rFonts w:ascii="Calibri" w:eastAsia="Times New Roman" w:hAnsi="Calibri" w:cs="Calibri"/>
                <w:color w:val="000000"/>
                <w:szCs w:val="24"/>
                <w:lang w:eastAsia="en-GB"/>
              </w:rPr>
              <w:t>4</w:t>
            </w:r>
          </w:p>
        </w:tc>
        <w:tc>
          <w:tcPr>
            <w:tcW w:w="1490" w:type="dxa"/>
            <w:tcBorders>
              <w:top w:val="nil"/>
              <w:left w:val="nil"/>
              <w:bottom w:val="single" w:sz="8" w:space="0" w:color="FFFFFF"/>
              <w:right w:val="single" w:sz="8" w:space="0" w:color="FFFFFF"/>
            </w:tcBorders>
            <w:shd w:val="clear" w:color="000000" w:fill="EAEFF7"/>
            <w:vAlign w:val="center"/>
            <w:hideMark/>
          </w:tcPr>
          <w:p w14:paraId="7AA51EE6" w14:textId="77777777" w:rsidR="00041E85" w:rsidRPr="000511B9" w:rsidRDefault="00041E85" w:rsidP="00DC48CA">
            <w:pPr>
              <w:jc w:val="center"/>
              <w:rPr>
                <w:rFonts w:ascii="Calibri" w:eastAsia="Times New Roman" w:hAnsi="Calibri" w:cs="Calibri"/>
                <w:color w:val="000000"/>
                <w:szCs w:val="24"/>
                <w:lang w:eastAsia="en-GB"/>
              </w:rPr>
            </w:pPr>
            <w:r w:rsidRPr="000511B9">
              <w:rPr>
                <w:rFonts w:ascii="Calibri" w:eastAsia="Times New Roman" w:hAnsi="Calibri" w:cs="Calibri"/>
                <w:color w:val="000000"/>
                <w:szCs w:val="24"/>
                <w:lang w:eastAsia="en-GB"/>
              </w:rPr>
              <w:t>0.</w:t>
            </w:r>
            <w:r>
              <w:rPr>
                <w:rFonts w:ascii="Calibri" w:eastAsia="Times New Roman" w:hAnsi="Calibri" w:cs="Calibri"/>
                <w:color w:val="000000"/>
                <w:szCs w:val="24"/>
                <w:lang w:eastAsia="en-GB"/>
              </w:rPr>
              <w:t>1</w:t>
            </w:r>
            <w:r w:rsidRPr="000511B9">
              <w:rPr>
                <w:rFonts w:ascii="Calibri" w:eastAsia="Times New Roman" w:hAnsi="Calibri" w:cs="Calibri"/>
                <w:color w:val="000000"/>
                <w:szCs w:val="24"/>
                <w:lang w:eastAsia="en-GB"/>
              </w:rPr>
              <w:t xml:space="preserve"> </w:t>
            </w:r>
          </w:p>
        </w:tc>
        <w:tc>
          <w:tcPr>
            <w:tcW w:w="1604" w:type="dxa"/>
            <w:tcBorders>
              <w:top w:val="nil"/>
              <w:left w:val="nil"/>
              <w:bottom w:val="single" w:sz="8" w:space="0" w:color="FFFFFF"/>
              <w:right w:val="single" w:sz="8" w:space="0" w:color="FFFFFF"/>
            </w:tcBorders>
            <w:shd w:val="clear" w:color="000000" w:fill="DBE5F1"/>
            <w:vAlign w:val="center"/>
            <w:hideMark/>
          </w:tcPr>
          <w:p w14:paraId="2B9F4CC0" w14:textId="77777777" w:rsidR="00041E85" w:rsidRPr="000511B9" w:rsidRDefault="00041E85" w:rsidP="00DC48CA">
            <w:pPr>
              <w:jc w:val="center"/>
              <w:rPr>
                <w:rFonts w:ascii="Calibri" w:eastAsia="Times New Roman" w:hAnsi="Calibri" w:cs="Calibri"/>
                <w:b/>
                <w:bCs/>
                <w:color w:val="00B050"/>
                <w:szCs w:val="24"/>
                <w:lang w:eastAsia="en-GB"/>
              </w:rPr>
            </w:pPr>
            <w:r w:rsidRPr="007C590D">
              <w:rPr>
                <w:rFonts w:ascii="Calibri" w:eastAsia="Times New Roman" w:hAnsi="Calibri" w:cs="Calibri"/>
                <w:b/>
                <w:bCs/>
                <w:color w:val="FFC000"/>
                <w:szCs w:val="24"/>
                <w:lang w:eastAsia="en-GB"/>
              </w:rPr>
              <w:t>MINOR SLIPPAGE</w:t>
            </w:r>
          </w:p>
        </w:tc>
      </w:tr>
    </w:tbl>
    <w:p w14:paraId="337B7F04" w14:textId="77777777" w:rsidR="00041E85" w:rsidRPr="005F425F" w:rsidRDefault="00041E85" w:rsidP="00041E85">
      <w:pPr>
        <w:rPr>
          <w:rFonts w:ascii="Calibri" w:hAnsi="Calibri" w:cs="Calibri"/>
          <w:sz w:val="20"/>
          <w:szCs w:val="20"/>
        </w:rPr>
      </w:pPr>
      <w:r w:rsidRPr="005F425F">
        <w:rPr>
          <w:rFonts w:ascii="Calibri" w:hAnsi="Calibri" w:cs="Calibri"/>
          <w:sz w:val="20"/>
          <w:szCs w:val="20"/>
        </w:rPr>
        <w:t>*</w:t>
      </w:r>
      <w:r>
        <w:rPr>
          <w:rFonts w:ascii="Calibri" w:hAnsi="Calibri" w:cs="Calibri"/>
          <w:sz w:val="20"/>
          <w:szCs w:val="20"/>
        </w:rPr>
        <w:t>Resource</w:t>
      </w:r>
      <w:r w:rsidRPr="005F425F">
        <w:rPr>
          <w:rFonts w:ascii="Calibri" w:hAnsi="Calibri" w:cs="Calibri"/>
          <w:sz w:val="20"/>
          <w:szCs w:val="20"/>
        </w:rPr>
        <w:t xml:space="preserve"> under 1% - on track, up to 10% minor slippage, over 10% major slippage</w:t>
      </w:r>
      <w:r>
        <w:rPr>
          <w:rFonts w:ascii="Calibri" w:hAnsi="Calibri" w:cs="Calibri"/>
          <w:sz w:val="20"/>
          <w:szCs w:val="20"/>
        </w:rPr>
        <w:t xml:space="preserve"> (** Capital under 5% / up to 10%)</w:t>
      </w:r>
    </w:p>
    <w:p w14:paraId="23C4825D" w14:textId="77777777" w:rsidR="00041E85" w:rsidRDefault="00041E85" w:rsidP="00041E85">
      <w:pPr>
        <w:pStyle w:val="Heading2"/>
        <w:rPr>
          <w:rFonts w:ascii="Calibri" w:hAnsi="Calibri" w:cs="Calibri"/>
        </w:rPr>
      </w:pPr>
    </w:p>
    <w:p w14:paraId="44C9EF52" w14:textId="77777777" w:rsidR="00041E85" w:rsidRPr="002336D3" w:rsidRDefault="00041E85" w:rsidP="00041E85">
      <w:pPr>
        <w:pStyle w:val="Heading2"/>
        <w:rPr>
          <w:rFonts w:ascii="Calibri" w:hAnsi="Calibri" w:cs="Calibri"/>
          <w:szCs w:val="24"/>
        </w:rPr>
      </w:pPr>
      <w:r>
        <w:rPr>
          <w:rFonts w:ascii="Calibri" w:hAnsi="Calibri" w:cs="Calibri"/>
          <w:szCs w:val="24"/>
        </w:rPr>
        <w:t>Resource</w:t>
      </w:r>
      <w:r w:rsidRPr="002336D3">
        <w:rPr>
          <w:rFonts w:ascii="Calibri" w:hAnsi="Calibri" w:cs="Calibri"/>
          <w:szCs w:val="24"/>
        </w:rPr>
        <w:t xml:space="preserve"> Budget Performance</w:t>
      </w:r>
    </w:p>
    <w:p w14:paraId="11EEE5D9" w14:textId="6A3759C6" w:rsidR="00041E85" w:rsidRPr="00301643" w:rsidRDefault="00041E85" w:rsidP="00041E85">
      <w:pPr>
        <w:jc w:val="both"/>
        <w:rPr>
          <w:rFonts w:ascii="Calibri" w:hAnsi="Calibri" w:cs="Calibri"/>
          <w:szCs w:val="24"/>
        </w:rPr>
      </w:pPr>
      <w:r w:rsidRPr="00301643">
        <w:rPr>
          <w:rFonts w:ascii="Calibri" w:hAnsi="Calibri" w:cs="Calibri"/>
          <w:szCs w:val="24"/>
        </w:rPr>
        <w:t>A</w:t>
      </w:r>
      <w:r>
        <w:rPr>
          <w:rFonts w:ascii="Calibri" w:hAnsi="Calibri" w:cs="Calibri"/>
          <w:szCs w:val="24"/>
        </w:rPr>
        <w:t>s at the end of December, a</w:t>
      </w:r>
      <w:r w:rsidRPr="00301643">
        <w:rPr>
          <w:rFonts w:ascii="Calibri" w:hAnsi="Calibri" w:cs="Calibri"/>
          <w:szCs w:val="24"/>
        </w:rPr>
        <w:t>n overspend of £</w:t>
      </w:r>
      <w:r>
        <w:rPr>
          <w:rFonts w:ascii="Calibri" w:hAnsi="Calibri" w:cs="Calibri"/>
          <w:szCs w:val="24"/>
        </w:rPr>
        <w:t>0.906</w:t>
      </w:r>
      <w:r w:rsidRPr="00301643">
        <w:rPr>
          <w:rFonts w:ascii="Calibri" w:hAnsi="Calibri" w:cs="Calibri"/>
          <w:szCs w:val="24"/>
        </w:rPr>
        <w:t>m is currently forecast on the Resource budget (</w:t>
      </w:r>
      <w:r>
        <w:rPr>
          <w:rFonts w:ascii="Calibri" w:hAnsi="Calibri" w:cs="Calibri"/>
          <w:szCs w:val="24"/>
        </w:rPr>
        <w:t>end November</w:t>
      </w:r>
      <w:r w:rsidRPr="00301643">
        <w:rPr>
          <w:rFonts w:ascii="Calibri" w:hAnsi="Calibri" w:cs="Calibri"/>
          <w:szCs w:val="24"/>
        </w:rPr>
        <w:t xml:space="preserve"> position was </w:t>
      </w:r>
      <w:r>
        <w:rPr>
          <w:rFonts w:ascii="Calibri" w:hAnsi="Calibri" w:cs="Calibri"/>
          <w:szCs w:val="24"/>
        </w:rPr>
        <w:t>an overspend of £1.354m.  A</w:t>
      </w:r>
      <w:r w:rsidRPr="00301643">
        <w:rPr>
          <w:rFonts w:ascii="Calibri" w:hAnsi="Calibri" w:cs="Calibri"/>
          <w:szCs w:val="24"/>
        </w:rPr>
        <w:t xml:space="preserve">t this point last </w:t>
      </w:r>
      <w:r>
        <w:rPr>
          <w:rFonts w:ascii="Calibri" w:hAnsi="Calibri" w:cs="Calibri"/>
          <w:szCs w:val="24"/>
        </w:rPr>
        <w:t xml:space="preserve">year, </w:t>
      </w:r>
      <w:r w:rsidRPr="00301643">
        <w:rPr>
          <w:rFonts w:ascii="Calibri" w:hAnsi="Calibri" w:cs="Calibri"/>
          <w:szCs w:val="24"/>
        </w:rPr>
        <w:t xml:space="preserve">an </w:t>
      </w:r>
      <w:r>
        <w:rPr>
          <w:rFonts w:ascii="Calibri" w:hAnsi="Calibri" w:cs="Calibri"/>
          <w:szCs w:val="24"/>
        </w:rPr>
        <w:t>under</w:t>
      </w:r>
      <w:r w:rsidRPr="00301643">
        <w:rPr>
          <w:rFonts w:ascii="Calibri" w:hAnsi="Calibri" w:cs="Calibri"/>
          <w:szCs w:val="24"/>
        </w:rPr>
        <w:t>spend of £0.</w:t>
      </w:r>
      <w:r>
        <w:rPr>
          <w:rFonts w:ascii="Calibri" w:hAnsi="Calibri" w:cs="Calibri"/>
          <w:szCs w:val="24"/>
        </w:rPr>
        <w:t>368</w:t>
      </w:r>
      <w:r w:rsidRPr="00301643">
        <w:rPr>
          <w:rFonts w:ascii="Calibri" w:hAnsi="Calibri" w:cs="Calibri"/>
          <w:szCs w:val="24"/>
        </w:rPr>
        <w:t>m was forecast</w:t>
      </w:r>
      <w:r>
        <w:rPr>
          <w:rFonts w:ascii="Calibri" w:hAnsi="Calibri" w:cs="Calibri"/>
          <w:szCs w:val="24"/>
        </w:rPr>
        <w:t>)</w:t>
      </w:r>
      <w:r w:rsidRPr="00301643">
        <w:rPr>
          <w:rFonts w:ascii="Calibri" w:hAnsi="Calibri" w:cs="Calibri"/>
          <w:szCs w:val="24"/>
        </w:rPr>
        <w:t xml:space="preserve">.  </w:t>
      </w:r>
    </w:p>
    <w:p w14:paraId="14F46D22" w14:textId="77777777" w:rsidR="00041E85" w:rsidRDefault="00041E85" w:rsidP="00041E85">
      <w:pPr>
        <w:pStyle w:val="ListParagraph"/>
        <w:numPr>
          <w:ilvl w:val="1"/>
          <w:numId w:val="17"/>
        </w:numPr>
        <w:jc w:val="both"/>
        <w:rPr>
          <w:rFonts w:ascii="Calibri" w:hAnsi="Calibri" w:cs="Calibri"/>
          <w:szCs w:val="24"/>
        </w:rPr>
      </w:pPr>
      <w:r>
        <w:rPr>
          <w:rFonts w:ascii="Calibri" w:hAnsi="Calibri" w:cs="Calibri"/>
          <w:szCs w:val="24"/>
        </w:rPr>
        <w:t xml:space="preserve">We need to achieve £1.9m of </w:t>
      </w:r>
      <w:r w:rsidRPr="002F44A6">
        <w:rPr>
          <w:rFonts w:ascii="Calibri" w:hAnsi="Calibri" w:cs="Calibri"/>
          <w:szCs w:val="24"/>
        </w:rPr>
        <w:t xml:space="preserve">surrenders </w:t>
      </w:r>
      <w:r>
        <w:rPr>
          <w:rFonts w:ascii="Calibri" w:hAnsi="Calibri" w:cs="Calibri"/>
          <w:szCs w:val="24"/>
        </w:rPr>
        <w:t xml:space="preserve">before the end of this financial year and are working with Objective leads to achieve this.  The current confidence levels allocated against the Corporate Plan Objectives indicate surrenders of £1m but as we are forecasting an overspend of £0.9m, we need to find £1.9m to bring us in on budget. </w:t>
      </w:r>
    </w:p>
    <w:p w14:paraId="000B66C8" w14:textId="77777777" w:rsidR="00041E85" w:rsidRDefault="00041E85" w:rsidP="00041E85">
      <w:pPr>
        <w:pStyle w:val="ListParagraph"/>
        <w:numPr>
          <w:ilvl w:val="1"/>
          <w:numId w:val="17"/>
        </w:numPr>
        <w:jc w:val="both"/>
        <w:rPr>
          <w:rFonts w:ascii="Calibri" w:hAnsi="Calibri" w:cs="Calibri"/>
          <w:szCs w:val="24"/>
        </w:rPr>
      </w:pPr>
      <w:r>
        <w:rPr>
          <w:rFonts w:ascii="Calibri" w:hAnsi="Calibri" w:cs="Calibri"/>
          <w:szCs w:val="24"/>
        </w:rPr>
        <w:lastRenderedPageBreak/>
        <w:t xml:space="preserve">Surrenders received to the end of December are £2.6m and the four-year average for Jan to Mar is £1.7m. </w:t>
      </w:r>
    </w:p>
    <w:p w14:paraId="5072A753" w14:textId="77777777" w:rsidR="00041E85" w:rsidRPr="00301643" w:rsidRDefault="00041E85" w:rsidP="00041E85">
      <w:pPr>
        <w:pStyle w:val="ListParagraph"/>
        <w:numPr>
          <w:ilvl w:val="1"/>
          <w:numId w:val="17"/>
        </w:numPr>
        <w:spacing w:after="0"/>
        <w:jc w:val="both"/>
        <w:rPr>
          <w:szCs w:val="24"/>
        </w:rPr>
      </w:pPr>
      <w:r w:rsidRPr="006F03C0">
        <w:rPr>
          <w:rFonts w:ascii="Calibri" w:hAnsi="Calibri" w:cs="Calibri"/>
          <w:szCs w:val="24"/>
        </w:rPr>
        <w:t>Finance meets each Objective Lead</w:t>
      </w:r>
      <w:r>
        <w:rPr>
          <w:rFonts w:ascii="Calibri" w:hAnsi="Calibri" w:cs="Calibri"/>
          <w:szCs w:val="24"/>
        </w:rPr>
        <w:t>s</w:t>
      </w:r>
      <w:r w:rsidRPr="006F03C0">
        <w:rPr>
          <w:rFonts w:ascii="Calibri" w:hAnsi="Calibri" w:cs="Calibri"/>
          <w:szCs w:val="24"/>
        </w:rPr>
        <w:t xml:space="preserve"> monthly</w:t>
      </w:r>
      <w:r>
        <w:rPr>
          <w:rFonts w:ascii="Calibri" w:hAnsi="Calibri" w:cs="Calibri"/>
          <w:szCs w:val="24"/>
        </w:rPr>
        <w:t xml:space="preserve"> to </w:t>
      </w:r>
      <w:r w:rsidRPr="006F03C0">
        <w:rPr>
          <w:rFonts w:ascii="Calibri" w:hAnsi="Calibri" w:cs="Calibri"/>
          <w:szCs w:val="24"/>
        </w:rPr>
        <w:t>advis</w:t>
      </w:r>
      <w:r>
        <w:rPr>
          <w:rFonts w:ascii="Calibri" w:hAnsi="Calibri" w:cs="Calibri"/>
          <w:szCs w:val="24"/>
        </w:rPr>
        <w:t>e</w:t>
      </w:r>
      <w:r w:rsidRPr="006F03C0">
        <w:rPr>
          <w:rFonts w:ascii="Calibri" w:hAnsi="Calibri" w:cs="Calibri"/>
          <w:szCs w:val="24"/>
        </w:rPr>
        <w:t xml:space="preserve"> and challeng</w:t>
      </w:r>
      <w:r>
        <w:rPr>
          <w:rFonts w:ascii="Calibri" w:hAnsi="Calibri" w:cs="Calibri"/>
          <w:szCs w:val="24"/>
        </w:rPr>
        <w:t>e</w:t>
      </w:r>
      <w:r w:rsidRPr="006F03C0">
        <w:rPr>
          <w:rFonts w:ascii="Calibri" w:hAnsi="Calibri" w:cs="Calibri"/>
          <w:szCs w:val="24"/>
        </w:rPr>
        <w:t xml:space="preserve"> commitments, spend and surrenders</w:t>
      </w:r>
      <w:r>
        <w:rPr>
          <w:rFonts w:ascii="Calibri" w:hAnsi="Calibri" w:cs="Calibri"/>
          <w:szCs w:val="24"/>
        </w:rPr>
        <w:t>.  In collaboration with Objective Leads, a</w:t>
      </w:r>
      <w:r w:rsidRPr="006F03C0">
        <w:rPr>
          <w:rFonts w:ascii="Calibri" w:hAnsi="Calibri" w:cs="Calibri"/>
          <w:szCs w:val="24"/>
        </w:rPr>
        <w:t xml:space="preserve">llocations </w:t>
      </w:r>
      <w:r>
        <w:rPr>
          <w:rFonts w:ascii="Calibri" w:hAnsi="Calibri" w:cs="Calibri"/>
          <w:szCs w:val="24"/>
        </w:rPr>
        <w:t xml:space="preserve">can then be made </w:t>
      </w:r>
      <w:r w:rsidRPr="006F03C0">
        <w:rPr>
          <w:rFonts w:ascii="Calibri" w:hAnsi="Calibri" w:cs="Calibri"/>
          <w:szCs w:val="24"/>
        </w:rPr>
        <w:t>to high priority</w:t>
      </w:r>
      <w:r>
        <w:rPr>
          <w:rFonts w:ascii="Calibri" w:hAnsi="Calibri" w:cs="Calibri"/>
          <w:szCs w:val="24"/>
        </w:rPr>
        <w:t xml:space="preserve"> and achievable</w:t>
      </w:r>
      <w:r w:rsidRPr="006F03C0">
        <w:rPr>
          <w:rFonts w:ascii="Calibri" w:hAnsi="Calibri" w:cs="Calibri"/>
          <w:szCs w:val="24"/>
        </w:rPr>
        <w:t xml:space="preserve"> work during the remainder of the year</w:t>
      </w:r>
      <w:r>
        <w:rPr>
          <w:rFonts w:ascii="Calibri" w:hAnsi="Calibri" w:cs="Calibri"/>
          <w:szCs w:val="24"/>
        </w:rPr>
        <w:t>.  Due to our current overspend position, approval of additional funds is being scrutinised by Allocations Group.</w:t>
      </w:r>
    </w:p>
    <w:p w14:paraId="76335ED1" w14:textId="77777777" w:rsidR="00041E85" w:rsidRDefault="00041E85" w:rsidP="00041E85">
      <w:pPr>
        <w:jc w:val="both"/>
        <w:rPr>
          <w:rFonts w:ascii="Calibri" w:hAnsi="Calibri" w:cs="Calibri"/>
          <w:szCs w:val="24"/>
        </w:rPr>
      </w:pPr>
    </w:p>
    <w:p w14:paraId="5989FC7C" w14:textId="687BF358" w:rsidR="00041E85" w:rsidRDefault="00041E85" w:rsidP="00041E85">
      <w:pPr>
        <w:jc w:val="both"/>
        <w:rPr>
          <w:rFonts w:ascii="Calibri" w:hAnsi="Calibri" w:cs="Calibri"/>
          <w:szCs w:val="24"/>
        </w:rPr>
      </w:pPr>
      <w:r w:rsidRPr="00301643">
        <w:rPr>
          <w:rFonts w:ascii="Calibri" w:hAnsi="Calibri" w:cs="Calibri"/>
          <w:szCs w:val="24"/>
        </w:rPr>
        <w:t xml:space="preserve">Movement in month includes a </w:t>
      </w:r>
      <w:r>
        <w:rPr>
          <w:rFonts w:ascii="Calibri" w:hAnsi="Calibri" w:cs="Calibri"/>
          <w:szCs w:val="24"/>
        </w:rPr>
        <w:t>reduction</w:t>
      </w:r>
      <w:r w:rsidRPr="00301643">
        <w:rPr>
          <w:rFonts w:ascii="Calibri" w:hAnsi="Calibri" w:cs="Calibri"/>
          <w:szCs w:val="24"/>
        </w:rPr>
        <w:t xml:space="preserve"> in Paybill. The Paybill forecast has been updated and has </w:t>
      </w:r>
      <w:r>
        <w:rPr>
          <w:rFonts w:ascii="Calibri" w:hAnsi="Calibri" w:cs="Calibri"/>
          <w:szCs w:val="24"/>
        </w:rPr>
        <w:t>de</w:t>
      </w:r>
      <w:r w:rsidRPr="00301643">
        <w:rPr>
          <w:rFonts w:ascii="Calibri" w:hAnsi="Calibri" w:cs="Calibri"/>
          <w:szCs w:val="24"/>
        </w:rPr>
        <w:t>creased to £42</w:t>
      </w:r>
      <w:r>
        <w:rPr>
          <w:rFonts w:ascii="Calibri" w:hAnsi="Calibri" w:cs="Calibri"/>
          <w:szCs w:val="24"/>
        </w:rPr>
        <w:t>.2</w:t>
      </w:r>
      <w:r w:rsidRPr="00301643">
        <w:rPr>
          <w:rFonts w:ascii="Calibri" w:hAnsi="Calibri" w:cs="Calibri"/>
          <w:szCs w:val="24"/>
        </w:rPr>
        <w:t>m.  This is a £</w:t>
      </w:r>
      <w:r>
        <w:rPr>
          <w:rFonts w:ascii="Calibri" w:hAnsi="Calibri" w:cs="Calibri"/>
          <w:szCs w:val="24"/>
        </w:rPr>
        <w:t>0.6</w:t>
      </w:r>
      <w:r w:rsidRPr="00301643">
        <w:rPr>
          <w:rFonts w:ascii="Calibri" w:hAnsi="Calibri" w:cs="Calibri"/>
          <w:szCs w:val="24"/>
        </w:rPr>
        <w:t xml:space="preserve">m variance on the current budget of £41.6m.  </w:t>
      </w:r>
    </w:p>
    <w:p w14:paraId="1DA806A7" w14:textId="77777777" w:rsidR="00041E85" w:rsidRPr="00301643" w:rsidRDefault="00041E85" w:rsidP="00041E85">
      <w:pPr>
        <w:jc w:val="both"/>
        <w:rPr>
          <w:rFonts w:ascii="Calibri" w:hAnsi="Calibri" w:cs="Calibri"/>
          <w:szCs w:val="24"/>
        </w:rPr>
      </w:pPr>
      <w:r>
        <w:rPr>
          <w:rFonts w:ascii="Calibri" w:hAnsi="Calibri" w:cs="Calibri"/>
          <w:szCs w:val="24"/>
        </w:rPr>
        <w:t>Further amendments in month include:</w:t>
      </w:r>
    </w:p>
    <w:p w14:paraId="5213F3D5" w14:textId="77777777" w:rsidR="00041E85" w:rsidRDefault="00041E85" w:rsidP="00041E85">
      <w:pPr>
        <w:pStyle w:val="ListParagraph"/>
        <w:numPr>
          <w:ilvl w:val="0"/>
          <w:numId w:val="25"/>
        </w:numPr>
        <w:spacing w:after="0"/>
        <w:jc w:val="both"/>
        <w:rPr>
          <w:rFonts w:ascii="Calibri" w:hAnsi="Calibri" w:cs="Calibri"/>
          <w:szCs w:val="24"/>
        </w:rPr>
      </w:pPr>
      <w:r w:rsidRPr="002D34AD">
        <w:rPr>
          <w:rFonts w:ascii="Calibri" w:hAnsi="Calibri" w:cs="Calibri"/>
          <w:szCs w:val="24"/>
        </w:rPr>
        <w:t>Strategic Resource Managers along with the Directorates have been working on identifying in-year paybill savings made throughout 2024/25.  This has been reassessed and updated by Finance with the results reduced.  They have identified posts that have ended, not been recruited or have reduced hours.  To achieve the full year saving target of 5%, we would need to make a further £1.15m of savings in 3.5 months.  We believe this is unachievable and that we will look to balance paybill through the flexibility we have in programme and project OPEX.</w:t>
      </w:r>
    </w:p>
    <w:p w14:paraId="627E10F0" w14:textId="77777777" w:rsidR="00041E85" w:rsidRPr="00570E28" w:rsidRDefault="00041E85" w:rsidP="00041E85">
      <w:pPr>
        <w:pStyle w:val="ListParagraph"/>
        <w:jc w:val="both"/>
        <w:rPr>
          <w:rFonts w:ascii="Calibri" w:hAnsi="Calibri" w:cs="Calibri"/>
          <w:szCs w:val="24"/>
        </w:rPr>
      </w:pPr>
    </w:p>
    <w:tbl>
      <w:tblPr>
        <w:tblW w:w="7460" w:type="dxa"/>
        <w:jc w:val="center"/>
        <w:tblLook w:val="04A0" w:firstRow="1" w:lastRow="0" w:firstColumn="1" w:lastColumn="0" w:noHBand="0" w:noVBand="1"/>
      </w:tblPr>
      <w:tblGrid>
        <w:gridCol w:w="1800"/>
        <w:gridCol w:w="1220"/>
        <w:gridCol w:w="1120"/>
        <w:gridCol w:w="1160"/>
        <w:gridCol w:w="1040"/>
        <w:gridCol w:w="1120"/>
      </w:tblGrid>
      <w:tr w:rsidR="00041E85" w:rsidRPr="001175F9" w14:paraId="60E80427" w14:textId="77777777" w:rsidTr="00DC48CA">
        <w:trPr>
          <w:trHeight w:val="690"/>
          <w:jc w:val="center"/>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CA9DF" w14:textId="77777777" w:rsidR="00041E85" w:rsidRPr="001175F9" w:rsidRDefault="00041E85" w:rsidP="00DC48CA">
            <w:pPr>
              <w:jc w:val="center"/>
              <w:rPr>
                <w:rFonts w:ascii="Aptos Narrow" w:eastAsia="Times New Roman" w:hAnsi="Aptos Narrow" w:cs="Times New Roman"/>
                <w:i/>
                <w:iCs/>
                <w:color w:val="FF0000"/>
                <w:sz w:val="16"/>
                <w:szCs w:val="16"/>
                <w:u w:val="single"/>
                <w:lang w:eastAsia="en-GB"/>
              </w:rPr>
            </w:pPr>
            <w:r w:rsidRPr="001175F9">
              <w:rPr>
                <w:rFonts w:ascii="Aptos Narrow" w:eastAsia="Times New Roman" w:hAnsi="Aptos Narrow" w:cs="Times New Roman"/>
                <w:i/>
                <w:iCs/>
                <w:color w:val="FF0000"/>
                <w:sz w:val="16"/>
                <w:szCs w:val="16"/>
                <w:u w:val="single"/>
                <w:lang w:eastAsia="en-GB"/>
              </w:rPr>
              <w:t>11.12.2024 update</w:t>
            </w:r>
          </w:p>
        </w:tc>
        <w:tc>
          <w:tcPr>
            <w:tcW w:w="1220" w:type="dxa"/>
            <w:tcBorders>
              <w:top w:val="single" w:sz="4" w:space="0" w:color="auto"/>
              <w:left w:val="nil"/>
              <w:bottom w:val="single" w:sz="4" w:space="0" w:color="auto"/>
              <w:right w:val="single" w:sz="4" w:space="0" w:color="auto"/>
            </w:tcBorders>
            <w:shd w:val="clear" w:color="000000" w:fill="D9D9D9"/>
            <w:vAlign w:val="bottom"/>
            <w:hideMark/>
          </w:tcPr>
          <w:p w14:paraId="12ED8BF5"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Full year 5% Saving</w:t>
            </w:r>
          </w:p>
        </w:tc>
        <w:tc>
          <w:tcPr>
            <w:tcW w:w="1120" w:type="dxa"/>
            <w:tcBorders>
              <w:top w:val="single" w:sz="4" w:space="0" w:color="auto"/>
              <w:left w:val="nil"/>
              <w:bottom w:val="single" w:sz="4" w:space="0" w:color="auto"/>
              <w:right w:val="single" w:sz="4" w:space="0" w:color="auto"/>
            </w:tcBorders>
            <w:shd w:val="clear" w:color="000000" w:fill="D9D9D9"/>
            <w:vAlign w:val="bottom"/>
            <w:hideMark/>
          </w:tcPr>
          <w:p w14:paraId="3E1EF578"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Nov Target (8/12 of year gone)</w:t>
            </w:r>
          </w:p>
        </w:tc>
        <w:tc>
          <w:tcPr>
            <w:tcW w:w="1160" w:type="dxa"/>
            <w:tcBorders>
              <w:top w:val="single" w:sz="4" w:space="0" w:color="auto"/>
              <w:left w:val="nil"/>
              <w:bottom w:val="single" w:sz="4" w:space="0" w:color="auto"/>
              <w:right w:val="single" w:sz="4" w:space="0" w:color="auto"/>
            </w:tcBorders>
            <w:shd w:val="clear" w:color="000000" w:fill="D9D9D9"/>
            <w:noWrap/>
            <w:vAlign w:val="center"/>
            <w:hideMark/>
          </w:tcPr>
          <w:p w14:paraId="44BBD0AA"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Savings YTD</w:t>
            </w:r>
          </w:p>
        </w:tc>
        <w:tc>
          <w:tcPr>
            <w:tcW w:w="1040" w:type="dxa"/>
            <w:tcBorders>
              <w:top w:val="single" w:sz="4" w:space="0" w:color="auto"/>
              <w:left w:val="nil"/>
              <w:bottom w:val="single" w:sz="4" w:space="0" w:color="auto"/>
              <w:right w:val="single" w:sz="4" w:space="0" w:color="auto"/>
            </w:tcBorders>
            <w:shd w:val="clear" w:color="000000" w:fill="D9D9D9"/>
            <w:noWrap/>
            <w:vAlign w:val="bottom"/>
            <w:hideMark/>
          </w:tcPr>
          <w:p w14:paraId="7440DBF4"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 on target</w:t>
            </w:r>
          </w:p>
        </w:tc>
        <w:tc>
          <w:tcPr>
            <w:tcW w:w="1120" w:type="dxa"/>
            <w:tcBorders>
              <w:top w:val="single" w:sz="4" w:space="0" w:color="auto"/>
              <w:left w:val="nil"/>
              <w:bottom w:val="single" w:sz="4" w:space="0" w:color="auto"/>
              <w:right w:val="single" w:sz="4" w:space="0" w:color="auto"/>
            </w:tcBorders>
            <w:shd w:val="clear" w:color="000000" w:fill="D9D9D9"/>
            <w:vAlign w:val="bottom"/>
            <w:hideMark/>
          </w:tcPr>
          <w:p w14:paraId="77430371"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To achieve by year end</w:t>
            </w:r>
          </w:p>
        </w:tc>
      </w:tr>
      <w:tr w:rsidR="00041E85" w:rsidRPr="001175F9" w14:paraId="35C4960C" w14:textId="77777777" w:rsidTr="00DC48CA">
        <w:trPr>
          <w:trHeight w:val="300"/>
          <w:jc w:val="center"/>
        </w:trPr>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14:paraId="3FF440FB" w14:textId="77777777" w:rsidR="00041E85" w:rsidRPr="001175F9" w:rsidRDefault="00041E85" w:rsidP="00DC48CA">
            <w:pP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Total</w:t>
            </w:r>
          </w:p>
        </w:tc>
        <w:tc>
          <w:tcPr>
            <w:tcW w:w="1220" w:type="dxa"/>
            <w:tcBorders>
              <w:top w:val="nil"/>
              <w:left w:val="nil"/>
              <w:bottom w:val="single" w:sz="4" w:space="0" w:color="auto"/>
              <w:right w:val="single" w:sz="4" w:space="0" w:color="auto"/>
            </w:tcBorders>
            <w:shd w:val="clear" w:color="auto" w:fill="auto"/>
            <w:noWrap/>
            <w:vAlign w:val="bottom"/>
            <w:hideMark/>
          </w:tcPr>
          <w:p w14:paraId="186DBDD8"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2,058,491</w:t>
            </w:r>
          </w:p>
        </w:tc>
        <w:tc>
          <w:tcPr>
            <w:tcW w:w="1120" w:type="dxa"/>
            <w:tcBorders>
              <w:top w:val="nil"/>
              <w:left w:val="nil"/>
              <w:bottom w:val="single" w:sz="4" w:space="0" w:color="auto"/>
              <w:right w:val="single" w:sz="4" w:space="0" w:color="auto"/>
            </w:tcBorders>
            <w:shd w:val="clear" w:color="auto" w:fill="auto"/>
            <w:noWrap/>
            <w:vAlign w:val="bottom"/>
            <w:hideMark/>
          </w:tcPr>
          <w:p w14:paraId="4518C715"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1,372,327</w:t>
            </w:r>
          </w:p>
        </w:tc>
        <w:tc>
          <w:tcPr>
            <w:tcW w:w="1160" w:type="dxa"/>
            <w:tcBorders>
              <w:top w:val="nil"/>
              <w:left w:val="nil"/>
              <w:bottom w:val="single" w:sz="4" w:space="0" w:color="auto"/>
              <w:right w:val="single" w:sz="4" w:space="0" w:color="auto"/>
            </w:tcBorders>
            <w:shd w:val="clear" w:color="auto" w:fill="auto"/>
            <w:noWrap/>
            <w:vAlign w:val="bottom"/>
            <w:hideMark/>
          </w:tcPr>
          <w:p w14:paraId="629A52A2"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909,604</w:t>
            </w:r>
          </w:p>
        </w:tc>
        <w:tc>
          <w:tcPr>
            <w:tcW w:w="1040" w:type="dxa"/>
            <w:tcBorders>
              <w:top w:val="nil"/>
              <w:left w:val="nil"/>
              <w:bottom w:val="single" w:sz="4" w:space="0" w:color="auto"/>
              <w:right w:val="single" w:sz="4" w:space="0" w:color="auto"/>
            </w:tcBorders>
            <w:shd w:val="clear" w:color="auto" w:fill="auto"/>
            <w:noWrap/>
            <w:vAlign w:val="bottom"/>
            <w:hideMark/>
          </w:tcPr>
          <w:p w14:paraId="5561012B"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FF0000"/>
                <w:sz w:val="16"/>
                <w:szCs w:val="16"/>
                <w:lang w:eastAsia="en-GB"/>
              </w:rPr>
              <w:t>-462,555</w:t>
            </w:r>
          </w:p>
        </w:tc>
        <w:tc>
          <w:tcPr>
            <w:tcW w:w="1120" w:type="dxa"/>
            <w:tcBorders>
              <w:top w:val="nil"/>
              <w:left w:val="nil"/>
              <w:bottom w:val="single" w:sz="4" w:space="0" w:color="auto"/>
              <w:right w:val="single" w:sz="4" w:space="0" w:color="auto"/>
            </w:tcBorders>
            <w:shd w:val="clear" w:color="auto" w:fill="auto"/>
            <w:noWrap/>
            <w:vAlign w:val="bottom"/>
            <w:hideMark/>
          </w:tcPr>
          <w:p w14:paraId="0576B32E"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1,148,635</w:t>
            </w:r>
          </w:p>
        </w:tc>
      </w:tr>
      <w:tr w:rsidR="00041E85" w:rsidRPr="001175F9" w14:paraId="72B8A3CC" w14:textId="77777777" w:rsidTr="00DC48CA">
        <w:trPr>
          <w:trHeight w:val="300"/>
          <w:jc w:val="center"/>
        </w:trPr>
        <w:tc>
          <w:tcPr>
            <w:tcW w:w="1800" w:type="dxa"/>
            <w:tcBorders>
              <w:top w:val="nil"/>
              <w:left w:val="single" w:sz="4" w:space="0" w:color="auto"/>
              <w:bottom w:val="single" w:sz="4" w:space="0" w:color="auto"/>
              <w:right w:val="single" w:sz="4" w:space="0" w:color="auto"/>
            </w:tcBorders>
            <w:shd w:val="clear" w:color="000000" w:fill="D9D9D9"/>
            <w:noWrap/>
            <w:vAlign w:val="bottom"/>
            <w:hideMark/>
          </w:tcPr>
          <w:p w14:paraId="51BD15E3" w14:textId="77777777" w:rsidR="00041E85" w:rsidRPr="001175F9" w:rsidRDefault="00041E85" w:rsidP="00DC48CA">
            <w:pP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Per Directorate</w:t>
            </w:r>
          </w:p>
        </w:tc>
        <w:tc>
          <w:tcPr>
            <w:tcW w:w="1220" w:type="dxa"/>
            <w:tcBorders>
              <w:top w:val="nil"/>
              <w:left w:val="nil"/>
              <w:bottom w:val="single" w:sz="4" w:space="0" w:color="auto"/>
              <w:right w:val="single" w:sz="4" w:space="0" w:color="auto"/>
            </w:tcBorders>
            <w:shd w:val="clear" w:color="000000" w:fill="D9D9D9"/>
            <w:noWrap/>
            <w:vAlign w:val="bottom"/>
            <w:hideMark/>
          </w:tcPr>
          <w:p w14:paraId="5DFD82E6" w14:textId="77777777" w:rsidR="00041E85" w:rsidRPr="001175F9" w:rsidRDefault="00041E85" w:rsidP="00DC48CA">
            <w:pPr>
              <w:jc w:val="center"/>
              <w:rPr>
                <w:rFonts w:ascii="Aptos Narrow" w:eastAsia="Times New Roman" w:hAnsi="Aptos Narrow" w:cs="Times New Roman"/>
                <w:color w:val="000000"/>
                <w:sz w:val="16"/>
                <w:szCs w:val="16"/>
                <w:lang w:eastAsia="en-GB"/>
              </w:rPr>
            </w:pPr>
          </w:p>
        </w:tc>
        <w:tc>
          <w:tcPr>
            <w:tcW w:w="1120" w:type="dxa"/>
            <w:tcBorders>
              <w:top w:val="nil"/>
              <w:left w:val="nil"/>
              <w:bottom w:val="single" w:sz="4" w:space="0" w:color="auto"/>
              <w:right w:val="single" w:sz="4" w:space="0" w:color="auto"/>
            </w:tcBorders>
            <w:shd w:val="clear" w:color="000000" w:fill="D9D9D9"/>
            <w:noWrap/>
            <w:vAlign w:val="bottom"/>
            <w:hideMark/>
          </w:tcPr>
          <w:p w14:paraId="61939ECC" w14:textId="77777777" w:rsidR="00041E85" w:rsidRPr="001175F9" w:rsidRDefault="00041E85" w:rsidP="00DC48CA">
            <w:pPr>
              <w:jc w:val="center"/>
              <w:rPr>
                <w:rFonts w:ascii="Aptos Narrow" w:eastAsia="Times New Roman" w:hAnsi="Aptos Narrow" w:cs="Times New Roman"/>
                <w:color w:val="000000"/>
                <w:sz w:val="16"/>
                <w:szCs w:val="16"/>
                <w:lang w:eastAsia="en-GB"/>
              </w:rPr>
            </w:pPr>
          </w:p>
        </w:tc>
        <w:tc>
          <w:tcPr>
            <w:tcW w:w="1160" w:type="dxa"/>
            <w:tcBorders>
              <w:top w:val="nil"/>
              <w:left w:val="nil"/>
              <w:bottom w:val="single" w:sz="4" w:space="0" w:color="auto"/>
              <w:right w:val="single" w:sz="4" w:space="0" w:color="auto"/>
            </w:tcBorders>
            <w:shd w:val="clear" w:color="000000" w:fill="D9D9D9"/>
            <w:noWrap/>
            <w:vAlign w:val="bottom"/>
            <w:hideMark/>
          </w:tcPr>
          <w:p w14:paraId="773FF1DD" w14:textId="77777777" w:rsidR="00041E85" w:rsidRPr="001175F9" w:rsidRDefault="00041E85" w:rsidP="00DC48CA">
            <w:pPr>
              <w:jc w:val="center"/>
              <w:rPr>
                <w:rFonts w:ascii="Aptos Narrow" w:eastAsia="Times New Roman" w:hAnsi="Aptos Narrow" w:cs="Times New Roman"/>
                <w:color w:val="000000"/>
                <w:sz w:val="16"/>
                <w:szCs w:val="16"/>
                <w:lang w:eastAsia="en-GB"/>
              </w:rPr>
            </w:pPr>
          </w:p>
        </w:tc>
        <w:tc>
          <w:tcPr>
            <w:tcW w:w="1040" w:type="dxa"/>
            <w:tcBorders>
              <w:top w:val="nil"/>
              <w:left w:val="nil"/>
              <w:bottom w:val="single" w:sz="4" w:space="0" w:color="auto"/>
              <w:right w:val="single" w:sz="4" w:space="0" w:color="auto"/>
            </w:tcBorders>
            <w:shd w:val="clear" w:color="000000" w:fill="D9D9D9"/>
            <w:noWrap/>
            <w:vAlign w:val="bottom"/>
            <w:hideMark/>
          </w:tcPr>
          <w:p w14:paraId="6B2EB1DB" w14:textId="77777777" w:rsidR="00041E85" w:rsidRPr="001175F9" w:rsidRDefault="00041E85" w:rsidP="00DC48CA">
            <w:pPr>
              <w:jc w:val="center"/>
              <w:rPr>
                <w:rFonts w:ascii="Aptos Narrow" w:eastAsia="Times New Roman" w:hAnsi="Aptos Narrow" w:cs="Times New Roman"/>
                <w:color w:val="000000"/>
                <w:sz w:val="16"/>
                <w:szCs w:val="16"/>
                <w:lang w:eastAsia="en-GB"/>
              </w:rPr>
            </w:pPr>
          </w:p>
        </w:tc>
        <w:tc>
          <w:tcPr>
            <w:tcW w:w="1120" w:type="dxa"/>
            <w:tcBorders>
              <w:top w:val="nil"/>
              <w:left w:val="nil"/>
              <w:bottom w:val="single" w:sz="4" w:space="0" w:color="auto"/>
              <w:right w:val="single" w:sz="4" w:space="0" w:color="auto"/>
            </w:tcBorders>
            <w:shd w:val="clear" w:color="000000" w:fill="D9D9D9"/>
            <w:noWrap/>
            <w:vAlign w:val="bottom"/>
            <w:hideMark/>
          </w:tcPr>
          <w:p w14:paraId="796A0116" w14:textId="77777777" w:rsidR="00041E85" w:rsidRPr="001175F9" w:rsidRDefault="00041E85" w:rsidP="00DC48CA">
            <w:pPr>
              <w:jc w:val="center"/>
              <w:rPr>
                <w:rFonts w:ascii="Aptos Narrow" w:eastAsia="Times New Roman" w:hAnsi="Aptos Narrow" w:cs="Times New Roman"/>
                <w:color w:val="000000"/>
                <w:sz w:val="16"/>
                <w:szCs w:val="16"/>
                <w:lang w:eastAsia="en-GB"/>
              </w:rPr>
            </w:pPr>
          </w:p>
        </w:tc>
      </w:tr>
      <w:tr w:rsidR="00041E85" w:rsidRPr="001175F9" w14:paraId="07F77D84" w14:textId="77777777" w:rsidTr="00DC48CA">
        <w:trPr>
          <w:trHeight w:val="300"/>
          <w:jc w:val="center"/>
        </w:trPr>
        <w:tc>
          <w:tcPr>
            <w:tcW w:w="1800" w:type="dxa"/>
            <w:tcBorders>
              <w:top w:val="nil"/>
              <w:left w:val="single" w:sz="4" w:space="0" w:color="auto"/>
              <w:bottom w:val="single" w:sz="4" w:space="0" w:color="auto"/>
              <w:right w:val="single" w:sz="4" w:space="0" w:color="auto"/>
            </w:tcBorders>
            <w:shd w:val="clear" w:color="000000" w:fill="FFFFFF"/>
            <w:hideMark/>
          </w:tcPr>
          <w:p w14:paraId="3070BE39" w14:textId="77777777" w:rsidR="00041E85" w:rsidRPr="001175F9" w:rsidRDefault="00041E85" w:rsidP="00DC48CA">
            <w:pP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Green Economy</w:t>
            </w:r>
          </w:p>
        </w:tc>
        <w:tc>
          <w:tcPr>
            <w:tcW w:w="1220" w:type="dxa"/>
            <w:tcBorders>
              <w:top w:val="nil"/>
              <w:left w:val="nil"/>
              <w:bottom w:val="single" w:sz="4" w:space="0" w:color="auto"/>
              <w:right w:val="single" w:sz="4" w:space="0" w:color="auto"/>
            </w:tcBorders>
            <w:shd w:val="clear" w:color="auto" w:fill="auto"/>
            <w:noWrap/>
            <w:vAlign w:val="bottom"/>
            <w:hideMark/>
          </w:tcPr>
          <w:p w14:paraId="703E66F2"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968,451</w:t>
            </w:r>
          </w:p>
        </w:tc>
        <w:tc>
          <w:tcPr>
            <w:tcW w:w="1120" w:type="dxa"/>
            <w:tcBorders>
              <w:top w:val="nil"/>
              <w:left w:val="nil"/>
              <w:bottom w:val="single" w:sz="4" w:space="0" w:color="auto"/>
              <w:right w:val="single" w:sz="4" w:space="0" w:color="auto"/>
            </w:tcBorders>
            <w:shd w:val="clear" w:color="auto" w:fill="auto"/>
            <w:noWrap/>
            <w:vAlign w:val="bottom"/>
            <w:hideMark/>
          </w:tcPr>
          <w:p w14:paraId="250054BE"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645,634</w:t>
            </w:r>
          </w:p>
        </w:tc>
        <w:tc>
          <w:tcPr>
            <w:tcW w:w="1160" w:type="dxa"/>
            <w:tcBorders>
              <w:top w:val="nil"/>
              <w:left w:val="nil"/>
              <w:bottom w:val="single" w:sz="4" w:space="0" w:color="auto"/>
              <w:right w:val="single" w:sz="4" w:space="0" w:color="auto"/>
            </w:tcBorders>
            <w:shd w:val="clear" w:color="auto" w:fill="auto"/>
            <w:noWrap/>
            <w:vAlign w:val="bottom"/>
            <w:hideMark/>
          </w:tcPr>
          <w:p w14:paraId="18BFB632"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390,202</w:t>
            </w:r>
          </w:p>
        </w:tc>
        <w:tc>
          <w:tcPr>
            <w:tcW w:w="1040" w:type="dxa"/>
            <w:tcBorders>
              <w:top w:val="nil"/>
              <w:left w:val="nil"/>
              <w:bottom w:val="single" w:sz="4" w:space="0" w:color="auto"/>
              <w:right w:val="single" w:sz="4" w:space="0" w:color="auto"/>
            </w:tcBorders>
            <w:shd w:val="clear" w:color="auto" w:fill="auto"/>
            <w:noWrap/>
            <w:vAlign w:val="bottom"/>
            <w:hideMark/>
          </w:tcPr>
          <w:p w14:paraId="0DBD6659"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FF0000"/>
                <w:sz w:val="16"/>
                <w:szCs w:val="16"/>
                <w:lang w:eastAsia="en-GB"/>
              </w:rPr>
              <w:t>-255,432</w:t>
            </w:r>
          </w:p>
        </w:tc>
        <w:tc>
          <w:tcPr>
            <w:tcW w:w="1120" w:type="dxa"/>
            <w:tcBorders>
              <w:top w:val="nil"/>
              <w:left w:val="nil"/>
              <w:bottom w:val="single" w:sz="4" w:space="0" w:color="auto"/>
              <w:right w:val="single" w:sz="4" w:space="0" w:color="auto"/>
            </w:tcBorders>
            <w:shd w:val="clear" w:color="auto" w:fill="auto"/>
            <w:noWrap/>
            <w:vAlign w:val="bottom"/>
            <w:hideMark/>
          </w:tcPr>
          <w:p w14:paraId="360C1111"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578,249</w:t>
            </w:r>
          </w:p>
        </w:tc>
      </w:tr>
      <w:tr w:rsidR="00041E85" w:rsidRPr="001175F9" w14:paraId="257B983D" w14:textId="77777777" w:rsidTr="00DC48CA">
        <w:trPr>
          <w:trHeight w:val="450"/>
          <w:jc w:val="center"/>
        </w:trPr>
        <w:tc>
          <w:tcPr>
            <w:tcW w:w="1800" w:type="dxa"/>
            <w:tcBorders>
              <w:top w:val="nil"/>
              <w:left w:val="single" w:sz="4" w:space="0" w:color="auto"/>
              <w:bottom w:val="single" w:sz="4" w:space="0" w:color="auto"/>
              <w:right w:val="single" w:sz="4" w:space="0" w:color="auto"/>
            </w:tcBorders>
            <w:shd w:val="clear" w:color="000000" w:fill="FFFFFF"/>
            <w:hideMark/>
          </w:tcPr>
          <w:p w14:paraId="3C96D73E" w14:textId="77777777" w:rsidR="00041E85" w:rsidRPr="001175F9" w:rsidRDefault="00041E85" w:rsidP="00DC48CA">
            <w:pP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Nature and Climate Change</w:t>
            </w:r>
          </w:p>
        </w:tc>
        <w:tc>
          <w:tcPr>
            <w:tcW w:w="1220" w:type="dxa"/>
            <w:tcBorders>
              <w:top w:val="nil"/>
              <w:left w:val="nil"/>
              <w:bottom w:val="single" w:sz="4" w:space="0" w:color="auto"/>
              <w:right w:val="single" w:sz="4" w:space="0" w:color="auto"/>
            </w:tcBorders>
            <w:shd w:val="clear" w:color="auto" w:fill="auto"/>
            <w:noWrap/>
            <w:vAlign w:val="bottom"/>
            <w:hideMark/>
          </w:tcPr>
          <w:p w14:paraId="01CC3866"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543,505</w:t>
            </w:r>
          </w:p>
        </w:tc>
        <w:tc>
          <w:tcPr>
            <w:tcW w:w="1120" w:type="dxa"/>
            <w:tcBorders>
              <w:top w:val="nil"/>
              <w:left w:val="nil"/>
              <w:bottom w:val="single" w:sz="4" w:space="0" w:color="auto"/>
              <w:right w:val="single" w:sz="4" w:space="0" w:color="auto"/>
            </w:tcBorders>
            <w:shd w:val="clear" w:color="auto" w:fill="auto"/>
            <w:noWrap/>
            <w:vAlign w:val="bottom"/>
            <w:hideMark/>
          </w:tcPr>
          <w:p w14:paraId="129C507D"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362,337</w:t>
            </w:r>
          </w:p>
        </w:tc>
        <w:tc>
          <w:tcPr>
            <w:tcW w:w="1160" w:type="dxa"/>
            <w:tcBorders>
              <w:top w:val="nil"/>
              <w:left w:val="nil"/>
              <w:bottom w:val="single" w:sz="4" w:space="0" w:color="auto"/>
              <w:right w:val="single" w:sz="4" w:space="0" w:color="auto"/>
            </w:tcBorders>
            <w:shd w:val="clear" w:color="auto" w:fill="auto"/>
            <w:noWrap/>
            <w:vAlign w:val="bottom"/>
            <w:hideMark/>
          </w:tcPr>
          <w:p w14:paraId="11C87E11"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272,605</w:t>
            </w:r>
          </w:p>
        </w:tc>
        <w:tc>
          <w:tcPr>
            <w:tcW w:w="1040" w:type="dxa"/>
            <w:tcBorders>
              <w:top w:val="nil"/>
              <w:left w:val="nil"/>
              <w:bottom w:val="single" w:sz="4" w:space="0" w:color="auto"/>
              <w:right w:val="single" w:sz="4" w:space="0" w:color="auto"/>
            </w:tcBorders>
            <w:shd w:val="clear" w:color="auto" w:fill="auto"/>
            <w:noWrap/>
            <w:vAlign w:val="bottom"/>
            <w:hideMark/>
          </w:tcPr>
          <w:p w14:paraId="53991490"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FF0000"/>
                <w:sz w:val="16"/>
                <w:szCs w:val="16"/>
                <w:lang w:eastAsia="en-GB"/>
              </w:rPr>
              <w:t>-89,732</w:t>
            </w:r>
          </w:p>
        </w:tc>
        <w:tc>
          <w:tcPr>
            <w:tcW w:w="1120" w:type="dxa"/>
            <w:tcBorders>
              <w:top w:val="nil"/>
              <w:left w:val="nil"/>
              <w:bottom w:val="single" w:sz="4" w:space="0" w:color="auto"/>
              <w:right w:val="single" w:sz="4" w:space="0" w:color="auto"/>
            </w:tcBorders>
            <w:shd w:val="clear" w:color="auto" w:fill="auto"/>
            <w:noWrap/>
            <w:vAlign w:val="bottom"/>
            <w:hideMark/>
          </w:tcPr>
          <w:p w14:paraId="32B6AF9B"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270,900</w:t>
            </w:r>
          </w:p>
        </w:tc>
      </w:tr>
      <w:tr w:rsidR="00041E85" w:rsidRPr="001175F9" w14:paraId="657A31D3" w14:textId="77777777" w:rsidTr="00DC48CA">
        <w:trPr>
          <w:trHeight w:val="450"/>
          <w:jc w:val="center"/>
        </w:trPr>
        <w:tc>
          <w:tcPr>
            <w:tcW w:w="1800" w:type="dxa"/>
            <w:tcBorders>
              <w:top w:val="nil"/>
              <w:left w:val="single" w:sz="4" w:space="0" w:color="auto"/>
              <w:bottom w:val="single" w:sz="4" w:space="0" w:color="auto"/>
              <w:right w:val="single" w:sz="4" w:space="0" w:color="auto"/>
            </w:tcBorders>
            <w:shd w:val="clear" w:color="auto" w:fill="auto"/>
            <w:hideMark/>
          </w:tcPr>
          <w:p w14:paraId="118C2837" w14:textId="77777777" w:rsidR="00041E85" w:rsidRPr="001175F9" w:rsidRDefault="00041E85" w:rsidP="00DC48CA">
            <w:pP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Business Service and Transformation</w:t>
            </w:r>
          </w:p>
        </w:tc>
        <w:tc>
          <w:tcPr>
            <w:tcW w:w="1220" w:type="dxa"/>
            <w:tcBorders>
              <w:top w:val="nil"/>
              <w:left w:val="nil"/>
              <w:bottom w:val="single" w:sz="4" w:space="0" w:color="auto"/>
              <w:right w:val="single" w:sz="4" w:space="0" w:color="auto"/>
            </w:tcBorders>
            <w:shd w:val="clear" w:color="auto" w:fill="auto"/>
            <w:noWrap/>
            <w:vAlign w:val="bottom"/>
            <w:hideMark/>
          </w:tcPr>
          <w:p w14:paraId="48EF8778"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442,415</w:t>
            </w:r>
          </w:p>
        </w:tc>
        <w:tc>
          <w:tcPr>
            <w:tcW w:w="1120" w:type="dxa"/>
            <w:tcBorders>
              <w:top w:val="nil"/>
              <w:left w:val="nil"/>
              <w:bottom w:val="single" w:sz="4" w:space="0" w:color="auto"/>
              <w:right w:val="single" w:sz="4" w:space="0" w:color="auto"/>
            </w:tcBorders>
            <w:shd w:val="clear" w:color="auto" w:fill="auto"/>
            <w:noWrap/>
            <w:vAlign w:val="bottom"/>
            <w:hideMark/>
          </w:tcPr>
          <w:p w14:paraId="282CD6FE"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294,943</w:t>
            </w:r>
          </w:p>
        </w:tc>
        <w:tc>
          <w:tcPr>
            <w:tcW w:w="1160" w:type="dxa"/>
            <w:tcBorders>
              <w:top w:val="nil"/>
              <w:left w:val="nil"/>
              <w:bottom w:val="single" w:sz="4" w:space="0" w:color="auto"/>
              <w:right w:val="single" w:sz="4" w:space="0" w:color="auto"/>
            </w:tcBorders>
            <w:shd w:val="clear" w:color="auto" w:fill="auto"/>
            <w:noWrap/>
            <w:vAlign w:val="bottom"/>
            <w:hideMark/>
          </w:tcPr>
          <w:p w14:paraId="5B40A44A"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223,023</w:t>
            </w:r>
          </w:p>
        </w:tc>
        <w:tc>
          <w:tcPr>
            <w:tcW w:w="1040" w:type="dxa"/>
            <w:tcBorders>
              <w:top w:val="nil"/>
              <w:left w:val="nil"/>
              <w:bottom w:val="single" w:sz="4" w:space="0" w:color="auto"/>
              <w:right w:val="single" w:sz="4" w:space="0" w:color="auto"/>
            </w:tcBorders>
            <w:shd w:val="clear" w:color="auto" w:fill="auto"/>
            <w:noWrap/>
            <w:vAlign w:val="bottom"/>
            <w:hideMark/>
          </w:tcPr>
          <w:p w14:paraId="59EB98CD"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FF0000"/>
                <w:sz w:val="16"/>
                <w:szCs w:val="16"/>
                <w:lang w:eastAsia="en-GB"/>
              </w:rPr>
              <w:t>-71,920</w:t>
            </w:r>
          </w:p>
        </w:tc>
        <w:tc>
          <w:tcPr>
            <w:tcW w:w="1120" w:type="dxa"/>
            <w:tcBorders>
              <w:top w:val="nil"/>
              <w:left w:val="nil"/>
              <w:bottom w:val="single" w:sz="4" w:space="0" w:color="auto"/>
              <w:right w:val="single" w:sz="4" w:space="0" w:color="auto"/>
            </w:tcBorders>
            <w:shd w:val="clear" w:color="auto" w:fill="auto"/>
            <w:noWrap/>
            <w:vAlign w:val="bottom"/>
            <w:hideMark/>
          </w:tcPr>
          <w:p w14:paraId="3E51DC38"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219,392</w:t>
            </w:r>
          </w:p>
        </w:tc>
      </w:tr>
      <w:tr w:rsidR="00041E85" w:rsidRPr="001175F9" w14:paraId="66B90A7E" w14:textId="77777777" w:rsidTr="00DC48CA">
        <w:trPr>
          <w:trHeight w:val="300"/>
          <w:jc w:val="center"/>
        </w:trPr>
        <w:tc>
          <w:tcPr>
            <w:tcW w:w="1800" w:type="dxa"/>
            <w:tcBorders>
              <w:top w:val="nil"/>
              <w:left w:val="single" w:sz="4" w:space="0" w:color="auto"/>
              <w:bottom w:val="single" w:sz="4" w:space="0" w:color="auto"/>
              <w:right w:val="single" w:sz="4" w:space="0" w:color="auto"/>
            </w:tcBorders>
            <w:shd w:val="clear" w:color="000000" w:fill="FFFFFF"/>
            <w:hideMark/>
          </w:tcPr>
          <w:p w14:paraId="1BD6518F" w14:textId="77777777" w:rsidR="00041E85" w:rsidRPr="001175F9" w:rsidRDefault="00041E85" w:rsidP="00DC48CA">
            <w:pP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Chief Executive's Group</w:t>
            </w:r>
          </w:p>
        </w:tc>
        <w:tc>
          <w:tcPr>
            <w:tcW w:w="1220" w:type="dxa"/>
            <w:tcBorders>
              <w:top w:val="nil"/>
              <w:left w:val="nil"/>
              <w:bottom w:val="single" w:sz="4" w:space="0" w:color="auto"/>
              <w:right w:val="single" w:sz="4" w:space="0" w:color="auto"/>
            </w:tcBorders>
            <w:shd w:val="clear" w:color="auto" w:fill="auto"/>
            <w:noWrap/>
            <w:vAlign w:val="bottom"/>
            <w:hideMark/>
          </w:tcPr>
          <w:p w14:paraId="08038FA1"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103,868</w:t>
            </w:r>
          </w:p>
        </w:tc>
        <w:tc>
          <w:tcPr>
            <w:tcW w:w="1120" w:type="dxa"/>
            <w:tcBorders>
              <w:top w:val="nil"/>
              <w:left w:val="nil"/>
              <w:bottom w:val="single" w:sz="4" w:space="0" w:color="auto"/>
              <w:right w:val="single" w:sz="4" w:space="0" w:color="auto"/>
            </w:tcBorders>
            <w:shd w:val="clear" w:color="auto" w:fill="auto"/>
            <w:noWrap/>
            <w:vAlign w:val="bottom"/>
            <w:hideMark/>
          </w:tcPr>
          <w:p w14:paraId="0BA9BB34"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69,245</w:t>
            </w:r>
          </w:p>
        </w:tc>
        <w:tc>
          <w:tcPr>
            <w:tcW w:w="1160" w:type="dxa"/>
            <w:tcBorders>
              <w:top w:val="nil"/>
              <w:left w:val="nil"/>
              <w:bottom w:val="single" w:sz="4" w:space="0" w:color="auto"/>
              <w:right w:val="single" w:sz="4" w:space="0" w:color="auto"/>
            </w:tcBorders>
            <w:shd w:val="clear" w:color="auto" w:fill="auto"/>
            <w:noWrap/>
            <w:vAlign w:val="bottom"/>
            <w:hideMark/>
          </w:tcPr>
          <w:p w14:paraId="097F77B6"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23,774</w:t>
            </w:r>
          </w:p>
        </w:tc>
        <w:tc>
          <w:tcPr>
            <w:tcW w:w="1040" w:type="dxa"/>
            <w:tcBorders>
              <w:top w:val="nil"/>
              <w:left w:val="nil"/>
              <w:bottom w:val="single" w:sz="4" w:space="0" w:color="auto"/>
              <w:right w:val="single" w:sz="4" w:space="0" w:color="auto"/>
            </w:tcBorders>
            <w:shd w:val="clear" w:color="auto" w:fill="auto"/>
            <w:noWrap/>
            <w:vAlign w:val="bottom"/>
            <w:hideMark/>
          </w:tcPr>
          <w:p w14:paraId="7A202EF8"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FF0000"/>
                <w:sz w:val="16"/>
                <w:szCs w:val="16"/>
                <w:lang w:eastAsia="en-GB"/>
              </w:rPr>
              <w:t>-45,471</w:t>
            </w:r>
          </w:p>
        </w:tc>
        <w:tc>
          <w:tcPr>
            <w:tcW w:w="1120" w:type="dxa"/>
            <w:tcBorders>
              <w:top w:val="nil"/>
              <w:left w:val="nil"/>
              <w:bottom w:val="single" w:sz="4" w:space="0" w:color="auto"/>
              <w:right w:val="single" w:sz="4" w:space="0" w:color="auto"/>
            </w:tcBorders>
            <w:shd w:val="clear" w:color="auto" w:fill="auto"/>
            <w:noWrap/>
            <w:vAlign w:val="bottom"/>
            <w:hideMark/>
          </w:tcPr>
          <w:p w14:paraId="3FB6E697" w14:textId="77777777" w:rsidR="00041E85" w:rsidRPr="001175F9" w:rsidRDefault="00041E85" w:rsidP="00DC48CA">
            <w:pPr>
              <w:jc w:val="center"/>
              <w:rPr>
                <w:rFonts w:ascii="Aptos Narrow" w:eastAsia="Times New Roman" w:hAnsi="Aptos Narrow" w:cs="Times New Roman"/>
                <w:color w:val="000000"/>
                <w:sz w:val="16"/>
                <w:szCs w:val="16"/>
                <w:lang w:eastAsia="en-GB"/>
              </w:rPr>
            </w:pPr>
            <w:r w:rsidRPr="001175F9">
              <w:rPr>
                <w:rFonts w:ascii="Aptos Narrow" w:eastAsia="Times New Roman" w:hAnsi="Aptos Narrow" w:cs="Times New Roman"/>
                <w:color w:val="000000"/>
                <w:sz w:val="16"/>
                <w:szCs w:val="16"/>
                <w:lang w:eastAsia="en-GB"/>
              </w:rPr>
              <w:t>80,094</w:t>
            </w:r>
          </w:p>
        </w:tc>
      </w:tr>
    </w:tbl>
    <w:p w14:paraId="63D4633B" w14:textId="77777777" w:rsidR="00041E85" w:rsidRDefault="00041E85" w:rsidP="00041E85">
      <w:pPr>
        <w:pStyle w:val="ListParagraph"/>
        <w:jc w:val="both"/>
        <w:rPr>
          <w:rFonts w:ascii="Calibri" w:hAnsi="Calibri" w:cs="Calibri"/>
          <w:szCs w:val="24"/>
        </w:rPr>
      </w:pPr>
    </w:p>
    <w:p w14:paraId="65EFB801" w14:textId="77777777" w:rsidR="00041E85" w:rsidRDefault="00041E85" w:rsidP="00041E85">
      <w:pPr>
        <w:pStyle w:val="ListParagraph"/>
        <w:numPr>
          <w:ilvl w:val="0"/>
          <w:numId w:val="19"/>
        </w:numPr>
        <w:jc w:val="both"/>
        <w:rPr>
          <w:rFonts w:ascii="Calibri" w:hAnsi="Calibri" w:cs="Calibri"/>
          <w:szCs w:val="24"/>
        </w:rPr>
      </w:pPr>
      <w:r w:rsidRPr="00CB29C8">
        <w:rPr>
          <w:rFonts w:ascii="Calibri" w:hAnsi="Calibri" w:cs="Calibri"/>
          <w:szCs w:val="24"/>
        </w:rPr>
        <w:t>The project budget and target are £1</w:t>
      </w:r>
      <w:r>
        <w:rPr>
          <w:rFonts w:ascii="Calibri" w:hAnsi="Calibri" w:cs="Calibri"/>
          <w:szCs w:val="24"/>
        </w:rPr>
        <w:t>8</w:t>
      </w:r>
      <w:r w:rsidRPr="00CB29C8">
        <w:rPr>
          <w:rFonts w:ascii="Calibri" w:hAnsi="Calibri" w:cs="Calibri"/>
          <w:szCs w:val="24"/>
        </w:rPr>
        <w:t>m with a current forecast of £1</w:t>
      </w:r>
      <w:r>
        <w:rPr>
          <w:rFonts w:ascii="Calibri" w:hAnsi="Calibri" w:cs="Calibri"/>
          <w:szCs w:val="24"/>
        </w:rPr>
        <w:t>8.5</w:t>
      </w:r>
      <w:r w:rsidRPr="00CB29C8">
        <w:rPr>
          <w:rFonts w:ascii="Calibri" w:hAnsi="Calibri" w:cs="Calibri"/>
          <w:szCs w:val="24"/>
        </w:rPr>
        <w:t>m.</w:t>
      </w:r>
      <w:r w:rsidRPr="004C06A6">
        <w:rPr>
          <w:rFonts w:ascii="Calibri" w:hAnsi="Calibri" w:cs="Calibri"/>
          <w:color w:val="FF0000"/>
          <w:szCs w:val="24"/>
        </w:rPr>
        <w:t xml:space="preserve"> </w:t>
      </w:r>
      <w:r w:rsidRPr="00CB29C8">
        <w:rPr>
          <w:rFonts w:ascii="Calibri" w:hAnsi="Calibri" w:cs="Calibri"/>
          <w:szCs w:val="24"/>
        </w:rPr>
        <w:t xml:space="preserve">The Project Allocation Forecast Tracker does not include any ring-fenced funds NRF, </w:t>
      </w:r>
      <w:r>
        <w:rPr>
          <w:rFonts w:ascii="Calibri" w:hAnsi="Calibri" w:cs="Calibri"/>
          <w:szCs w:val="24"/>
        </w:rPr>
        <w:t>P</w:t>
      </w:r>
      <w:r w:rsidRPr="00CB29C8">
        <w:rPr>
          <w:rFonts w:ascii="Calibri" w:hAnsi="Calibri" w:cs="Calibri"/>
          <w:szCs w:val="24"/>
        </w:rPr>
        <w:t xml:space="preserve">eatlands, FIRNS and </w:t>
      </w:r>
      <w:proofErr w:type="spellStart"/>
      <w:r w:rsidRPr="00CB29C8">
        <w:rPr>
          <w:rFonts w:ascii="Calibri" w:hAnsi="Calibri" w:cs="Calibri"/>
          <w:szCs w:val="24"/>
        </w:rPr>
        <w:t>FwN</w:t>
      </w:r>
      <w:proofErr w:type="spellEnd"/>
      <w:r w:rsidRPr="00CB29C8">
        <w:rPr>
          <w:rFonts w:ascii="Calibri" w:hAnsi="Calibri" w:cs="Calibri"/>
          <w:szCs w:val="24"/>
        </w:rPr>
        <w:t xml:space="preserve"> are</w:t>
      </w:r>
      <w:r>
        <w:rPr>
          <w:rFonts w:ascii="Calibri" w:hAnsi="Calibri" w:cs="Calibri"/>
          <w:szCs w:val="24"/>
        </w:rPr>
        <w:t xml:space="preserve"> therefore excluded</w:t>
      </w:r>
      <w:r w:rsidRPr="00CB29C8">
        <w:rPr>
          <w:rFonts w:ascii="Calibri" w:hAnsi="Calibri" w:cs="Calibri"/>
          <w:szCs w:val="24"/>
        </w:rPr>
        <w:t xml:space="preserve">.  </w:t>
      </w:r>
      <w:r>
        <w:rPr>
          <w:rFonts w:ascii="Calibri" w:hAnsi="Calibri" w:cs="Calibri"/>
          <w:szCs w:val="24"/>
        </w:rPr>
        <w:t>The JNCC contribution is also not included, the Forecast for it is £1.156m and this was paid in mid-October.</w:t>
      </w:r>
    </w:p>
    <w:p w14:paraId="3872FBF2" w14:textId="77777777" w:rsidR="00041E85" w:rsidRPr="00464C6C" w:rsidRDefault="00041E85" w:rsidP="00041E85">
      <w:pPr>
        <w:jc w:val="both"/>
        <w:rPr>
          <w:szCs w:val="24"/>
        </w:rPr>
      </w:pPr>
    </w:p>
    <w:p w14:paraId="69A82C07" w14:textId="77777777" w:rsidR="00041E85" w:rsidRDefault="00041E85" w:rsidP="00041E85">
      <w:pPr>
        <w:keepNext/>
        <w:keepLines/>
        <w:ind w:left="360"/>
        <w:contextualSpacing/>
        <w:outlineLvl w:val="1"/>
        <w:rPr>
          <w:rFonts w:ascii="Calibri" w:eastAsia="Times New Roman" w:hAnsi="Calibri" w:cs="Calibri"/>
          <w:b/>
          <w:szCs w:val="24"/>
        </w:rPr>
      </w:pPr>
    </w:p>
    <w:p w14:paraId="2E3836E0" w14:textId="2BC96EB0" w:rsidR="00041E85" w:rsidRDefault="00041E85" w:rsidP="00041E85">
      <w:pPr>
        <w:keepNext/>
        <w:keepLines/>
        <w:ind w:left="360"/>
        <w:contextualSpacing/>
        <w:outlineLvl w:val="1"/>
        <w:rPr>
          <w:rFonts w:ascii="Calibri" w:eastAsia="Times New Roman" w:hAnsi="Calibri" w:cs="Calibri"/>
          <w:b/>
          <w:szCs w:val="24"/>
        </w:rPr>
      </w:pPr>
      <w:r>
        <w:rPr>
          <w:rFonts w:ascii="Calibri" w:eastAsia="Times New Roman" w:hAnsi="Calibri" w:cs="Calibri"/>
          <w:b/>
          <w:szCs w:val="24"/>
        </w:rPr>
        <w:t>Programme funding including Indirect Capital</w:t>
      </w:r>
    </w:p>
    <w:p w14:paraId="3D9DFF8C" w14:textId="77777777" w:rsidR="00041E85" w:rsidRDefault="00041E85" w:rsidP="00041E85">
      <w:pPr>
        <w:spacing w:line="259" w:lineRule="auto"/>
        <w:jc w:val="both"/>
        <w:rPr>
          <w:rFonts w:ascii="Calibri" w:hAnsi="Calibri" w:cs="Calibri"/>
          <w:szCs w:val="24"/>
        </w:rPr>
      </w:pPr>
    </w:p>
    <w:p w14:paraId="71618555" w14:textId="77777777" w:rsidR="00041E85" w:rsidRPr="00301643" w:rsidRDefault="00041E85" w:rsidP="00041E85">
      <w:pPr>
        <w:spacing w:line="259" w:lineRule="auto"/>
        <w:jc w:val="both"/>
        <w:rPr>
          <w:rFonts w:ascii="Calibri" w:hAnsi="Calibri" w:cs="Calibri"/>
          <w:szCs w:val="24"/>
        </w:rPr>
      </w:pPr>
      <w:r>
        <w:rPr>
          <w:rFonts w:ascii="Calibri" w:hAnsi="Calibri" w:cs="Calibri"/>
          <w:szCs w:val="24"/>
        </w:rPr>
        <w:t>Indirect Capital</w:t>
      </w:r>
      <w:r w:rsidRPr="00301643">
        <w:rPr>
          <w:rFonts w:ascii="Calibri" w:hAnsi="Calibri" w:cs="Calibri"/>
          <w:szCs w:val="24"/>
        </w:rPr>
        <w:t xml:space="preserve"> Programmes are forecasting an </w:t>
      </w:r>
      <w:r>
        <w:rPr>
          <w:rFonts w:ascii="Calibri" w:hAnsi="Calibri" w:cs="Calibri"/>
          <w:szCs w:val="24"/>
        </w:rPr>
        <w:t>under</w:t>
      </w:r>
      <w:r w:rsidRPr="00301643">
        <w:rPr>
          <w:rFonts w:ascii="Calibri" w:hAnsi="Calibri" w:cs="Calibri"/>
          <w:szCs w:val="24"/>
        </w:rPr>
        <w:t>spend of £0.</w:t>
      </w:r>
      <w:r>
        <w:rPr>
          <w:rFonts w:ascii="Calibri" w:hAnsi="Calibri" w:cs="Calibri"/>
          <w:szCs w:val="24"/>
        </w:rPr>
        <w:t>232</w:t>
      </w:r>
      <w:r w:rsidRPr="00301643">
        <w:rPr>
          <w:rFonts w:ascii="Calibri" w:hAnsi="Calibri" w:cs="Calibri"/>
          <w:szCs w:val="24"/>
        </w:rPr>
        <w:t>m</w:t>
      </w:r>
      <w:r>
        <w:rPr>
          <w:rFonts w:ascii="Calibri" w:hAnsi="Calibri" w:cs="Calibri"/>
          <w:szCs w:val="24"/>
        </w:rPr>
        <w:t xml:space="preserve"> and Resource Programmes are forecasting an underspend of £0.266m.  They</w:t>
      </w:r>
      <w:r w:rsidRPr="00301643">
        <w:rPr>
          <w:rFonts w:ascii="Calibri" w:hAnsi="Calibri" w:cs="Calibri"/>
          <w:szCs w:val="24"/>
        </w:rPr>
        <w:t xml:space="preserve"> consider the confidence levels for Peatlands and NRF</w:t>
      </w:r>
      <w:r>
        <w:rPr>
          <w:rFonts w:ascii="Calibri" w:hAnsi="Calibri" w:cs="Calibri"/>
          <w:szCs w:val="24"/>
        </w:rPr>
        <w:t>.</w:t>
      </w:r>
    </w:p>
    <w:p w14:paraId="45450829" w14:textId="77777777" w:rsidR="00041E85" w:rsidRPr="00301643" w:rsidRDefault="00041E85" w:rsidP="00041E85">
      <w:pPr>
        <w:pStyle w:val="ListParagraph"/>
        <w:numPr>
          <w:ilvl w:val="0"/>
          <w:numId w:val="18"/>
        </w:numPr>
        <w:jc w:val="both"/>
        <w:rPr>
          <w:rFonts w:ascii="Calibri" w:hAnsi="Calibri" w:cs="Calibri"/>
          <w:szCs w:val="24"/>
        </w:rPr>
      </w:pPr>
      <w:r w:rsidRPr="004A5A79">
        <w:rPr>
          <w:rFonts w:ascii="Calibri" w:hAnsi="Calibri" w:cs="Calibri"/>
          <w:szCs w:val="24"/>
        </w:rPr>
        <w:t>In addition to the £14.9m approved by SG for Peatland Action (£10.99m Indirect Capital and £3.91m Resource), we have included a further £0.8</w:t>
      </w:r>
      <w:r>
        <w:rPr>
          <w:rFonts w:ascii="Calibri" w:hAnsi="Calibri" w:cs="Calibri"/>
          <w:szCs w:val="24"/>
        </w:rPr>
        <w:t>76</w:t>
      </w:r>
      <w:r w:rsidRPr="004A5A79">
        <w:rPr>
          <w:rFonts w:ascii="Calibri" w:hAnsi="Calibri" w:cs="Calibri"/>
          <w:szCs w:val="24"/>
        </w:rPr>
        <w:t>m in the budget to be received from the Shared Islands Fund.  The SIF claim has been submitted and projects funded by this money offered accordingly.</w:t>
      </w:r>
      <w:r>
        <w:rPr>
          <w:rFonts w:ascii="Calibri" w:hAnsi="Calibri" w:cs="Calibri"/>
          <w:szCs w:val="24"/>
        </w:rPr>
        <w:t xml:space="preserve"> </w:t>
      </w:r>
      <w:r w:rsidRPr="004A5A79">
        <w:rPr>
          <w:rFonts w:ascii="Calibri" w:hAnsi="Calibri" w:cs="Calibri"/>
          <w:szCs w:val="24"/>
        </w:rPr>
        <w:t xml:space="preserve"> </w:t>
      </w:r>
    </w:p>
    <w:p w14:paraId="0456F785" w14:textId="77777777" w:rsidR="00041E85" w:rsidRDefault="00041E85" w:rsidP="00041E85">
      <w:pPr>
        <w:pStyle w:val="ListParagraph"/>
        <w:numPr>
          <w:ilvl w:val="0"/>
          <w:numId w:val="18"/>
        </w:numPr>
        <w:spacing w:after="0"/>
        <w:jc w:val="both"/>
        <w:rPr>
          <w:rFonts w:ascii="Calibri" w:hAnsi="Calibri" w:cs="Calibri"/>
          <w:szCs w:val="24"/>
        </w:rPr>
      </w:pPr>
      <w:r>
        <w:rPr>
          <w:rFonts w:ascii="Calibri" w:hAnsi="Calibri" w:cs="Calibri"/>
          <w:szCs w:val="24"/>
        </w:rPr>
        <w:t xml:space="preserve">On both Peatlands and NRF, we have over-allocated due to these large programmes having underspent in previous years.  We have applied confidence levels which are the value of surrenders we need to achieve to bring us in on budget.  We are showing the full forecast including the confidence levels for these programmes.  Both programmes are being project managed and have financial support from the </w:t>
      </w:r>
      <w:r w:rsidRPr="002A16C4">
        <w:rPr>
          <w:rFonts w:ascii="Calibri" w:hAnsi="Calibri" w:cs="Calibri"/>
          <w:szCs w:val="24"/>
        </w:rPr>
        <w:t>Business Support Accountant</w:t>
      </w:r>
      <w:r>
        <w:rPr>
          <w:rFonts w:ascii="Calibri" w:hAnsi="Calibri" w:cs="Calibri"/>
          <w:szCs w:val="24"/>
        </w:rPr>
        <w:t xml:space="preserve">s.  </w:t>
      </w:r>
    </w:p>
    <w:p w14:paraId="17626F01" w14:textId="77777777" w:rsidR="00041E85" w:rsidRPr="00DA7EB9" w:rsidRDefault="00041E85" w:rsidP="00041E85">
      <w:pPr>
        <w:pStyle w:val="ListParagraph"/>
        <w:numPr>
          <w:ilvl w:val="1"/>
          <w:numId w:val="18"/>
        </w:numPr>
        <w:jc w:val="both"/>
        <w:rPr>
          <w:rFonts w:ascii="Calibri" w:hAnsi="Calibri" w:cs="Calibri"/>
          <w:szCs w:val="24"/>
        </w:rPr>
      </w:pPr>
      <w:r w:rsidRPr="00DA7EB9">
        <w:rPr>
          <w:rFonts w:ascii="Calibri" w:hAnsi="Calibri" w:cs="Calibri"/>
          <w:szCs w:val="24"/>
        </w:rPr>
        <w:t>We are currently forecasting £1</w:t>
      </w:r>
      <w:r>
        <w:rPr>
          <w:rFonts w:ascii="Calibri" w:hAnsi="Calibri" w:cs="Calibri"/>
          <w:szCs w:val="24"/>
        </w:rPr>
        <w:t>6.091</w:t>
      </w:r>
      <w:r w:rsidRPr="00DA7EB9">
        <w:rPr>
          <w:rFonts w:ascii="Calibri" w:hAnsi="Calibri" w:cs="Calibri"/>
          <w:szCs w:val="24"/>
        </w:rPr>
        <w:t>m against the budget of £15.7</w:t>
      </w:r>
      <w:r>
        <w:rPr>
          <w:rFonts w:ascii="Calibri" w:hAnsi="Calibri" w:cs="Calibri"/>
          <w:szCs w:val="24"/>
        </w:rPr>
        <w:t>76</w:t>
      </w:r>
      <w:r w:rsidRPr="00DA7EB9">
        <w:rPr>
          <w:rFonts w:ascii="Calibri" w:hAnsi="Calibri" w:cs="Calibri"/>
          <w:szCs w:val="24"/>
        </w:rPr>
        <w:t xml:space="preserve">m for Peatland Action.  We </w:t>
      </w:r>
      <w:r>
        <w:rPr>
          <w:rFonts w:ascii="Calibri" w:hAnsi="Calibri" w:cs="Calibri"/>
          <w:szCs w:val="24"/>
        </w:rPr>
        <w:t>require</w:t>
      </w:r>
      <w:r w:rsidRPr="00DA7EB9">
        <w:rPr>
          <w:rFonts w:ascii="Calibri" w:hAnsi="Calibri" w:cs="Calibri"/>
          <w:szCs w:val="24"/>
        </w:rPr>
        <w:t xml:space="preserve"> surrenders </w:t>
      </w:r>
      <w:r>
        <w:rPr>
          <w:rFonts w:ascii="Calibri" w:hAnsi="Calibri" w:cs="Calibri"/>
          <w:szCs w:val="24"/>
        </w:rPr>
        <w:t xml:space="preserve">(and/or slippage into 25/26) </w:t>
      </w:r>
      <w:r w:rsidRPr="00DA7EB9">
        <w:rPr>
          <w:rFonts w:ascii="Calibri" w:hAnsi="Calibri" w:cs="Calibri"/>
          <w:szCs w:val="24"/>
        </w:rPr>
        <w:t>of £</w:t>
      </w:r>
      <w:r>
        <w:rPr>
          <w:rFonts w:ascii="Calibri" w:hAnsi="Calibri" w:cs="Calibri"/>
          <w:szCs w:val="24"/>
        </w:rPr>
        <w:t>0.3</w:t>
      </w:r>
      <w:r w:rsidRPr="00DA7EB9">
        <w:rPr>
          <w:rFonts w:ascii="Calibri" w:hAnsi="Calibri" w:cs="Calibri"/>
          <w:szCs w:val="24"/>
        </w:rPr>
        <w:t>m to bring us in on budget.</w:t>
      </w:r>
    </w:p>
    <w:p w14:paraId="364929FE" w14:textId="77777777" w:rsidR="00041E85" w:rsidRDefault="00041E85" w:rsidP="00041E85">
      <w:pPr>
        <w:pStyle w:val="ListParagraph"/>
        <w:numPr>
          <w:ilvl w:val="1"/>
          <w:numId w:val="18"/>
        </w:numPr>
        <w:spacing w:after="0"/>
        <w:jc w:val="both"/>
        <w:rPr>
          <w:rFonts w:ascii="Calibri" w:hAnsi="Calibri" w:cs="Calibri"/>
          <w:szCs w:val="24"/>
        </w:rPr>
      </w:pPr>
      <w:r w:rsidRPr="009E0CB7">
        <w:rPr>
          <w:rFonts w:ascii="Calibri" w:hAnsi="Calibri" w:cs="Calibri"/>
          <w:szCs w:val="24"/>
        </w:rPr>
        <w:t>The total Nature Restoration Fund (NRF) budget is £9.732m, this is split £2.750m Resource and £6.982m Indirect Capital.  We are forecasting £8.</w:t>
      </w:r>
      <w:r>
        <w:rPr>
          <w:rFonts w:ascii="Calibri" w:hAnsi="Calibri" w:cs="Calibri"/>
          <w:szCs w:val="24"/>
        </w:rPr>
        <w:t>979</w:t>
      </w:r>
      <w:r w:rsidRPr="009E0CB7">
        <w:rPr>
          <w:rFonts w:ascii="Calibri" w:hAnsi="Calibri" w:cs="Calibri"/>
          <w:szCs w:val="24"/>
        </w:rPr>
        <w:t>m with the confidence levels applied, a total underspend of £0.7</w:t>
      </w:r>
      <w:r>
        <w:rPr>
          <w:rFonts w:ascii="Calibri" w:hAnsi="Calibri" w:cs="Calibri"/>
          <w:szCs w:val="24"/>
        </w:rPr>
        <w:t>53</w:t>
      </w:r>
      <w:r w:rsidRPr="009E0CB7">
        <w:rPr>
          <w:rFonts w:ascii="Calibri" w:hAnsi="Calibri" w:cs="Calibri"/>
          <w:szCs w:val="24"/>
        </w:rPr>
        <w:t>m.</w:t>
      </w:r>
    </w:p>
    <w:p w14:paraId="2FDCCAB1" w14:textId="77777777" w:rsidR="00041E85" w:rsidRPr="009E0CB7" w:rsidRDefault="00041E85" w:rsidP="00041E85">
      <w:pPr>
        <w:pStyle w:val="ListParagraph"/>
        <w:numPr>
          <w:ilvl w:val="1"/>
          <w:numId w:val="18"/>
        </w:numPr>
        <w:spacing w:after="0"/>
        <w:jc w:val="both"/>
        <w:rPr>
          <w:rFonts w:ascii="Calibri" w:hAnsi="Calibri" w:cs="Calibri"/>
          <w:szCs w:val="24"/>
        </w:rPr>
      </w:pPr>
      <w:r w:rsidRPr="009E0CB7">
        <w:rPr>
          <w:rFonts w:ascii="Calibri" w:hAnsi="Calibri" w:cs="Calibri"/>
          <w:szCs w:val="24"/>
        </w:rPr>
        <w:t>The Farming with Nature budget is £0.855m from SG and £0.0</w:t>
      </w:r>
      <w:r>
        <w:rPr>
          <w:rFonts w:ascii="Calibri" w:hAnsi="Calibri" w:cs="Calibri"/>
          <w:szCs w:val="24"/>
        </w:rPr>
        <w:t>86</w:t>
      </w:r>
      <w:r w:rsidRPr="009E0CB7">
        <w:rPr>
          <w:rFonts w:ascii="Calibri" w:hAnsi="Calibri" w:cs="Calibri"/>
          <w:szCs w:val="24"/>
        </w:rPr>
        <w:t>m fr</w:t>
      </w:r>
      <w:r>
        <w:rPr>
          <w:rFonts w:ascii="Calibri" w:hAnsi="Calibri" w:cs="Calibri"/>
          <w:szCs w:val="24"/>
        </w:rPr>
        <w:t>om</w:t>
      </w:r>
      <w:r w:rsidRPr="009E0CB7">
        <w:rPr>
          <w:rFonts w:ascii="Calibri" w:hAnsi="Calibri" w:cs="Calibri"/>
          <w:szCs w:val="24"/>
        </w:rPr>
        <w:t xml:space="preserve"> our core GIA.  We are currently forecasting £0.94</w:t>
      </w:r>
      <w:r>
        <w:rPr>
          <w:rFonts w:ascii="Calibri" w:hAnsi="Calibri" w:cs="Calibri"/>
          <w:szCs w:val="24"/>
        </w:rPr>
        <w:t>1</w:t>
      </w:r>
      <w:r w:rsidRPr="009E0CB7">
        <w:rPr>
          <w:rFonts w:ascii="Calibri" w:hAnsi="Calibri" w:cs="Calibri"/>
          <w:szCs w:val="24"/>
        </w:rPr>
        <w:t>m on this programme.</w:t>
      </w:r>
    </w:p>
    <w:p w14:paraId="4458C4D6" w14:textId="77777777" w:rsidR="00041E85" w:rsidRDefault="00041E85" w:rsidP="00041E85">
      <w:pPr>
        <w:pStyle w:val="ListParagraph"/>
        <w:numPr>
          <w:ilvl w:val="1"/>
          <w:numId w:val="18"/>
        </w:numPr>
        <w:spacing w:after="0"/>
        <w:jc w:val="both"/>
        <w:rPr>
          <w:rFonts w:ascii="Calibri" w:hAnsi="Calibri" w:cs="Calibri"/>
          <w:szCs w:val="24"/>
        </w:rPr>
      </w:pPr>
      <w:r w:rsidRPr="008F472C">
        <w:rPr>
          <w:rFonts w:ascii="Calibri" w:hAnsi="Calibri" w:cs="Calibri"/>
          <w:szCs w:val="24"/>
        </w:rPr>
        <w:t xml:space="preserve">The Facility for Investment Ready Nature in Scotland (FIRNS) </w:t>
      </w:r>
      <w:r>
        <w:rPr>
          <w:rFonts w:ascii="Calibri" w:hAnsi="Calibri" w:cs="Calibri"/>
          <w:szCs w:val="24"/>
        </w:rPr>
        <w:t xml:space="preserve">budget is £1.5m, £1.2m from SG and £0.3m from our Core GIA.  We are forecasting £1.44m on this programme.  </w:t>
      </w:r>
    </w:p>
    <w:p w14:paraId="1C842C19" w14:textId="77777777" w:rsidR="00041E85" w:rsidRPr="008F472C" w:rsidRDefault="00041E85" w:rsidP="00041E85">
      <w:pPr>
        <w:pStyle w:val="ListParagraph"/>
        <w:jc w:val="both"/>
        <w:rPr>
          <w:rFonts w:ascii="Calibri" w:hAnsi="Calibri" w:cs="Calibri"/>
          <w:szCs w:val="24"/>
        </w:rPr>
      </w:pPr>
    </w:p>
    <w:p w14:paraId="159C7335" w14:textId="77777777" w:rsidR="00041E85" w:rsidRPr="002336D3" w:rsidRDefault="00041E85" w:rsidP="00041E85">
      <w:pPr>
        <w:keepNext/>
        <w:keepLines/>
        <w:ind w:left="360"/>
        <w:contextualSpacing/>
        <w:outlineLvl w:val="1"/>
        <w:rPr>
          <w:rFonts w:ascii="Calibri" w:eastAsia="Times New Roman" w:hAnsi="Calibri" w:cs="Calibri"/>
          <w:szCs w:val="24"/>
        </w:rPr>
      </w:pPr>
      <w:r w:rsidRPr="002336D3">
        <w:rPr>
          <w:rFonts w:ascii="Calibri" w:eastAsia="Times New Roman" w:hAnsi="Calibri" w:cs="Calibri"/>
          <w:b/>
          <w:szCs w:val="24"/>
        </w:rPr>
        <w:t>Capital Budget Performance</w:t>
      </w:r>
    </w:p>
    <w:p w14:paraId="0ECA9979" w14:textId="77777777" w:rsidR="00041E85" w:rsidRPr="00301643" w:rsidRDefault="00041E85" w:rsidP="00041E85">
      <w:pPr>
        <w:spacing w:after="120"/>
        <w:jc w:val="both"/>
        <w:rPr>
          <w:rFonts w:ascii="Calibri" w:hAnsi="Calibri" w:cs="Calibri"/>
          <w:szCs w:val="24"/>
        </w:rPr>
      </w:pPr>
      <w:r w:rsidRPr="00301643">
        <w:rPr>
          <w:rFonts w:ascii="Calibri" w:hAnsi="Calibri" w:cs="Calibri"/>
          <w:szCs w:val="24"/>
        </w:rPr>
        <w:t>An underspend of £0.</w:t>
      </w:r>
      <w:r>
        <w:rPr>
          <w:rFonts w:ascii="Calibri" w:hAnsi="Calibri" w:cs="Calibri"/>
          <w:szCs w:val="24"/>
        </w:rPr>
        <w:t>075</w:t>
      </w:r>
      <w:r w:rsidRPr="00301643">
        <w:rPr>
          <w:rFonts w:ascii="Calibri" w:hAnsi="Calibri" w:cs="Calibri"/>
          <w:szCs w:val="24"/>
        </w:rPr>
        <w:t xml:space="preserve">m is forecast on the Capital budget.  </w:t>
      </w:r>
    </w:p>
    <w:p w14:paraId="0D6E6B2F" w14:textId="77777777" w:rsidR="00041E85" w:rsidRPr="001D66FE" w:rsidRDefault="00041E85" w:rsidP="00041E85">
      <w:pPr>
        <w:jc w:val="both"/>
      </w:pPr>
      <w:r w:rsidRPr="00301643">
        <w:rPr>
          <w:rFonts w:ascii="Calibri" w:hAnsi="Calibri" w:cs="Calibri"/>
          <w:szCs w:val="24"/>
        </w:rPr>
        <w:t xml:space="preserve">NatureScot currently leases land at </w:t>
      </w:r>
      <w:proofErr w:type="spellStart"/>
      <w:r w:rsidRPr="00301643">
        <w:rPr>
          <w:rFonts w:ascii="Calibri" w:hAnsi="Calibri" w:cs="Calibri"/>
          <w:szCs w:val="24"/>
        </w:rPr>
        <w:t>Blawhorn</w:t>
      </w:r>
      <w:proofErr w:type="spellEnd"/>
      <w:r w:rsidRPr="00301643">
        <w:rPr>
          <w:rFonts w:ascii="Calibri" w:hAnsi="Calibri" w:cs="Calibri"/>
          <w:szCs w:val="24"/>
        </w:rPr>
        <w:t xml:space="preserve"> Moss NNR which includes the access road and carpark for visitors to the NNR.  The land is being sold, however the purchase value is not available </w:t>
      </w:r>
      <w:proofErr w:type="gramStart"/>
      <w:r w:rsidRPr="00301643">
        <w:rPr>
          <w:rFonts w:ascii="Calibri" w:hAnsi="Calibri" w:cs="Calibri"/>
          <w:szCs w:val="24"/>
        </w:rPr>
        <w:t>yet</w:t>
      </w:r>
      <w:proofErr w:type="gramEnd"/>
      <w:r w:rsidRPr="00301643">
        <w:rPr>
          <w:rFonts w:ascii="Calibri" w:hAnsi="Calibri" w:cs="Calibri"/>
          <w:szCs w:val="24"/>
        </w:rPr>
        <w:t xml:space="preserve"> so we have not yet included within the number potential acquisitions price (expected to be less than £</w:t>
      </w:r>
      <w:r>
        <w:rPr>
          <w:rFonts w:ascii="Calibri" w:hAnsi="Calibri" w:cs="Calibri"/>
          <w:szCs w:val="24"/>
        </w:rPr>
        <w:t>0.</w:t>
      </w:r>
      <w:r w:rsidRPr="00301643">
        <w:rPr>
          <w:rFonts w:ascii="Calibri" w:hAnsi="Calibri" w:cs="Calibri"/>
          <w:szCs w:val="24"/>
        </w:rPr>
        <w:t>1</w:t>
      </w:r>
      <w:r>
        <w:rPr>
          <w:rFonts w:ascii="Calibri" w:hAnsi="Calibri" w:cs="Calibri"/>
          <w:szCs w:val="24"/>
        </w:rPr>
        <w:t>m</w:t>
      </w:r>
      <w:r w:rsidRPr="00301643">
        <w:rPr>
          <w:rFonts w:ascii="Calibri" w:hAnsi="Calibri" w:cs="Calibri"/>
          <w:szCs w:val="24"/>
        </w:rPr>
        <w:t xml:space="preserve">).   </w:t>
      </w:r>
    </w:p>
    <w:p w14:paraId="2DFC6D9B" w14:textId="4A06DCBF" w:rsidR="00041E85" w:rsidRDefault="00041E85">
      <w:pPr>
        <w:rPr>
          <w:rFonts w:ascii="Calibri" w:hAnsi="Calibri" w:cs="Calibri"/>
          <w:szCs w:val="24"/>
        </w:rPr>
      </w:pPr>
      <w:r>
        <w:rPr>
          <w:rFonts w:ascii="Calibri" w:hAnsi="Calibri" w:cs="Calibri"/>
          <w:szCs w:val="24"/>
        </w:rPr>
        <w:br w:type="page"/>
      </w:r>
    </w:p>
    <w:bookmarkEnd w:id="5"/>
    <w:p w14:paraId="55C4FC37" w14:textId="5A58F63D" w:rsidR="008D20BE" w:rsidRDefault="008D20BE" w:rsidP="004F3330">
      <w:pPr>
        <w:keepNext/>
        <w:keepLines/>
        <w:spacing w:before="40" w:after="0" w:line="259" w:lineRule="auto"/>
        <w:outlineLvl w:val="1"/>
        <w:rPr>
          <w:rFonts w:ascii="Calibri" w:eastAsiaTheme="majorEastAsia" w:hAnsi="Calibri" w:cs="Calibri"/>
          <w:b/>
          <w:color w:val="007DC3"/>
          <w:sz w:val="28"/>
          <w:szCs w:val="28"/>
        </w:rPr>
      </w:pPr>
      <w:r w:rsidRPr="004F3330">
        <w:rPr>
          <w:rFonts w:ascii="Calibri" w:eastAsiaTheme="majorEastAsia" w:hAnsi="Calibri" w:cs="Calibri"/>
          <w:b/>
          <w:color w:val="007DC3"/>
          <w:sz w:val="28"/>
          <w:szCs w:val="28"/>
        </w:rPr>
        <w:lastRenderedPageBreak/>
        <w:t xml:space="preserve">RISK </w:t>
      </w:r>
      <w:r w:rsidR="00B60441">
        <w:rPr>
          <w:rFonts w:ascii="Calibri" w:eastAsiaTheme="majorEastAsia" w:hAnsi="Calibri" w:cs="Calibri"/>
          <w:b/>
          <w:color w:val="007DC3"/>
          <w:sz w:val="28"/>
          <w:szCs w:val="28"/>
        </w:rPr>
        <w:t xml:space="preserve">AND </w:t>
      </w:r>
      <w:r w:rsidR="00C83C5D">
        <w:rPr>
          <w:rFonts w:ascii="Calibri" w:eastAsiaTheme="majorEastAsia" w:hAnsi="Calibri" w:cs="Calibri"/>
          <w:b/>
          <w:color w:val="007DC3"/>
          <w:sz w:val="28"/>
          <w:szCs w:val="28"/>
        </w:rPr>
        <w:t>AUDI</w:t>
      </w:r>
      <w:r w:rsidR="00352305">
        <w:rPr>
          <w:rFonts w:ascii="Calibri" w:eastAsiaTheme="majorEastAsia" w:hAnsi="Calibri" w:cs="Calibri"/>
          <w:b/>
          <w:color w:val="007DC3"/>
          <w:sz w:val="28"/>
          <w:szCs w:val="28"/>
        </w:rPr>
        <w:t>T</w:t>
      </w:r>
    </w:p>
    <w:p w14:paraId="66827CE3" w14:textId="77777777" w:rsidR="00352305" w:rsidRDefault="00352305" w:rsidP="004F3330">
      <w:pPr>
        <w:keepNext/>
        <w:keepLines/>
        <w:spacing w:before="40" w:after="0" w:line="259" w:lineRule="auto"/>
        <w:outlineLvl w:val="1"/>
        <w:rPr>
          <w:rFonts w:ascii="Calibri" w:eastAsiaTheme="majorEastAsia" w:hAnsi="Calibri" w:cs="Calibri"/>
          <w:b/>
          <w:color w:val="007DC3"/>
          <w:sz w:val="28"/>
          <w:szCs w:val="28"/>
        </w:rPr>
      </w:pPr>
    </w:p>
    <w:p w14:paraId="6F27AD07" w14:textId="77777777" w:rsidR="008D20BE" w:rsidRPr="00B7164A" w:rsidRDefault="008D20BE" w:rsidP="008D20BE">
      <w:pPr>
        <w:pStyle w:val="Heading2"/>
        <w:spacing w:before="0" w:after="120" w:line="240" w:lineRule="auto"/>
        <w:rPr>
          <w:rFonts w:ascii="Calibri" w:hAnsi="Calibri" w:cs="Calibri"/>
          <w:sz w:val="28"/>
          <w:szCs w:val="28"/>
          <w:u w:val="single"/>
        </w:rPr>
      </w:pPr>
      <w:r w:rsidRPr="00B7164A">
        <w:rPr>
          <w:rFonts w:ascii="Calibri" w:hAnsi="Calibri" w:cs="Calibri"/>
          <w:sz w:val="28"/>
          <w:szCs w:val="28"/>
          <w:u w:val="single"/>
        </w:rPr>
        <w:t>Risk</w:t>
      </w:r>
    </w:p>
    <w:p w14:paraId="64B6B076" w14:textId="3C71EEEF" w:rsidR="00294283" w:rsidRPr="00982B01" w:rsidRDefault="008D20BE" w:rsidP="008539EE">
      <w:pPr>
        <w:rPr>
          <w:rFonts w:ascii="Calibri" w:eastAsia="Times New Roman" w:hAnsi="Calibri" w:cs="Calibri"/>
          <w:szCs w:val="24"/>
        </w:rPr>
      </w:pPr>
      <w:bookmarkStart w:id="6" w:name="_Hlk188625857"/>
      <w:r w:rsidRPr="00982B01">
        <w:rPr>
          <w:rFonts w:ascii="Calibri" w:hAnsi="Calibri" w:cs="Calibri"/>
          <w:szCs w:val="24"/>
        </w:rPr>
        <w:t xml:space="preserve">The </w:t>
      </w:r>
      <w:hyperlink r:id="rId51" w:history="1">
        <w:r w:rsidRPr="00F1371B">
          <w:rPr>
            <w:rStyle w:val="Hyperlink"/>
            <w:rFonts w:ascii="Calibri" w:hAnsi="Calibri" w:cs="Calibri"/>
            <w:color w:val="auto"/>
            <w:szCs w:val="24"/>
            <w:u w:val="none"/>
          </w:rPr>
          <w:t>Corporate Risk Register</w:t>
        </w:r>
      </w:hyperlink>
      <w:r w:rsidRPr="00982B01">
        <w:rPr>
          <w:rFonts w:ascii="Calibri" w:hAnsi="Calibri" w:cs="Calibri"/>
          <w:szCs w:val="24"/>
        </w:rPr>
        <w:t xml:space="preserve"> holds the </w:t>
      </w:r>
      <w:r w:rsidR="00DE4C05" w:rsidRPr="00982B01">
        <w:rPr>
          <w:rFonts w:ascii="Calibri" w:hAnsi="Calibri" w:cs="Calibri"/>
          <w:szCs w:val="24"/>
        </w:rPr>
        <w:t>high priority</w:t>
      </w:r>
      <w:r w:rsidR="003E74CD" w:rsidRPr="00982B01">
        <w:rPr>
          <w:rFonts w:ascii="Calibri" w:hAnsi="Calibri" w:cs="Calibri"/>
          <w:szCs w:val="24"/>
        </w:rPr>
        <w:t xml:space="preserve"> </w:t>
      </w:r>
      <w:r w:rsidRPr="00982B01">
        <w:rPr>
          <w:rFonts w:ascii="Calibri" w:hAnsi="Calibri" w:cs="Calibri"/>
          <w:szCs w:val="24"/>
        </w:rPr>
        <w:t>risks for NatureScot</w:t>
      </w:r>
      <w:r w:rsidR="003E74CD" w:rsidRPr="00982B01">
        <w:rPr>
          <w:rFonts w:ascii="Calibri" w:hAnsi="Calibri" w:cs="Calibri"/>
          <w:szCs w:val="24"/>
        </w:rPr>
        <w:t xml:space="preserve">. </w:t>
      </w:r>
      <w:r w:rsidR="00705BFD">
        <w:rPr>
          <w:rFonts w:ascii="Calibri" w:eastAsia="Times New Roman" w:hAnsi="Calibri" w:cs="Calibri"/>
          <w:szCs w:val="24"/>
        </w:rPr>
        <w:t xml:space="preserve">Following feedback from the ARC and further consideration of the corporate risk register by SLT a number of changes have been made this quarter. </w:t>
      </w:r>
      <w:r w:rsidRPr="00982B01">
        <w:rPr>
          <w:rFonts w:ascii="Calibri" w:eastAsia="Times New Roman" w:hAnsi="Calibri" w:cs="Calibri"/>
          <w:szCs w:val="24"/>
        </w:rPr>
        <w:t xml:space="preserve">There are currently </w:t>
      </w:r>
      <w:r w:rsidR="00954E57">
        <w:rPr>
          <w:rFonts w:ascii="Calibri" w:eastAsia="Times New Roman" w:hAnsi="Calibri" w:cs="Calibri"/>
          <w:szCs w:val="24"/>
        </w:rPr>
        <w:t>1</w:t>
      </w:r>
      <w:r w:rsidR="00C96162">
        <w:rPr>
          <w:rFonts w:ascii="Calibri" w:eastAsia="Times New Roman" w:hAnsi="Calibri" w:cs="Calibri"/>
          <w:szCs w:val="24"/>
        </w:rPr>
        <w:t>2</w:t>
      </w:r>
      <w:r w:rsidR="00954E57">
        <w:rPr>
          <w:rFonts w:ascii="Calibri" w:eastAsia="Times New Roman" w:hAnsi="Calibri" w:cs="Calibri"/>
          <w:szCs w:val="24"/>
        </w:rPr>
        <w:t xml:space="preserve"> </w:t>
      </w:r>
      <w:r w:rsidRPr="00982B01">
        <w:rPr>
          <w:rFonts w:ascii="Calibri" w:eastAsia="Times New Roman" w:hAnsi="Calibri" w:cs="Calibri"/>
          <w:szCs w:val="24"/>
        </w:rPr>
        <w:t xml:space="preserve">approved Corporate Risks, </w:t>
      </w:r>
      <w:r w:rsidR="00890549">
        <w:rPr>
          <w:rFonts w:ascii="Calibri" w:eastAsia="Times New Roman" w:hAnsi="Calibri" w:cs="Calibri"/>
          <w:szCs w:val="24"/>
        </w:rPr>
        <w:t>6</w:t>
      </w:r>
      <w:r w:rsidR="00954E57" w:rsidRPr="00954E57">
        <w:rPr>
          <w:rFonts w:ascii="Calibri" w:eastAsia="Times New Roman" w:hAnsi="Calibri" w:cs="Calibri"/>
          <w:szCs w:val="24"/>
        </w:rPr>
        <w:t xml:space="preserve"> </w:t>
      </w:r>
      <w:r w:rsidR="00954E57" w:rsidRPr="00982B01">
        <w:rPr>
          <w:rFonts w:ascii="Calibri" w:eastAsia="Times New Roman" w:hAnsi="Calibri" w:cs="Calibri"/>
          <w:szCs w:val="24"/>
        </w:rPr>
        <w:t>high</w:t>
      </w:r>
      <w:r w:rsidR="00030D53" w:rsidRPr="00982B01">
        <w:rPr>
          <w:rFonts w:ascii="Calibri" w:eastAsia="Times New Roman" w:hAnsi="Calibri" w:cs="Calibri"/>
          <w:szCs w:val="24"/>
        </w:rPr>
        <w:t>,</w:t>
      </w:r>
      <w:r w:rsidR="00344912" w:rsidRPr="00982B01">
        <w:rPr>
          <w:rFonts w:ascii="Calibri" w:eastAsia="Times New Roman" w:hAnsi="Calibri" w:cs="Calibri"/>
          <w:szCs w:val="24"/>
        </w:rPr>
        <w:t xml:space="preserve"> </w:t>
      </w:r>
      <w:r w:rsidR="00C96162">
        <w:rPr>
          <w:rFonts w:ascii="Calibri" w:eastAsia="Times New Roman" w:hAnsi="Calibri" w:cs="Calibri"/>
          <w:szCs w:val="24"/>
        </w:rPr>
        <w:t>5</w:t>
      </w:r>
      <w:r w:rsidRPr="00982B01">
        <w:rPr>
          <w:rFonts w:ascii="Calibri" w:eastAsia="Times New Roman" w:hAnsi="Calibri" w:cs="Calibri"/>
          <w:szCs w:val="24"/>
        </w:rPr>
        <w:t xml:space="preserve"> </w:t>
      </w:r>
      <w:r w:rsidR="00954E57" w:rsidRPr="00982B01">
        <w:rPr>
          <w:rFonts w:ascii="Calibri" w:eastAsia="Times New Roman" w:hAnsi="Calibri" w:cs="Calibri"/>
          <w:szCs w:val="24"/>
        </w:rPr>
        <w:t xml:space="preserve">medium </w:t>
      </w:r>
      <w:r w:rsidR="00954E57">
        <w:rPr>
          <w:rFonts w:ascii="Calibri" w:eastAsia="Times New Roman" w:hAnsi="Calibri" w:cs="Calibri"/>
          <w:szCs w:val="24"/>
        </w:rPr>
        <w:t>and 1 low</w:t>
      </w:r>
      <w:r w:rsidRPr="00982B01">
        <w:rPr>
          <w:rFonts w:ascii="Calibri" w:eastAsia="Times New Roman" w:hAnsi="Calibri" w:cs="Calibri"/>
          <w:szCs w:val="24"/>
        </w:rPr>
        <w:t xml:space="preserve">. </w:t>
      </w:r>
      <w:r w:rsidR="00705BFD">
        <w:rPr>
          <w:rFonts w:ascii="Calibri" w:eastAsia="Times New Roman" w:hAnsi="Calibri" w:cs="Calibri"/>
          <w:szCs w:val="24"/>
        </w:rPr>
        <w:t xml:space="preserve">There </w:t>
      </w:r>
      <w:r w:rsidR="00CB12CC">
        <w:rPr>
          <w:rFonts w:ascii="Calibri" w:eastAsia="Times New Roman" w:hAnsi="Calibri" w:cs="Calibri"/>
          <w:szCs w:val="24"/>
        </w:rPr>
        <w:t>is one</w:t>
      </w:r>
      <w:r w:rsidR="00705BFD">
        <w:rPr>
          <w:rFonts w:ascii="Calibri" w:eastAsia="Times New Roman" w:hAnsi="Calibri" w:cs="Calibri"/>
          <w:szCs w:val="24"/>
        </w:rPr>
        <w:t xml:space="preserve"> new corporate risk under development that </w:t>
      </w:r>
      <w:r w:rsidR="00CB12CC">
        <w:rPr>
          <w:rFonts w:ascii="Calibri" w:eastAsia="Times New Roman" w:hAnsi="Calibri" w:cs="Calibri"/>
          <w:szCs w:val="24"/>
        </w:rPr>
        <w:t xml:space="preserve">is </w:t>
      </w:r>
      <w:r w:rsidR="00705BFD">
        <w:rPr>
          <w:rFonts w:ascii="Calibri" w:eastAsia="Times New Roman" w:hAnsi="Calibri" w:cs="Calibri"/>
          <w:szCs w:val="24"/>
        </w:rPr>
        <w:t>close to being finalised.</w:t>
      </w:r>
    </w:p>
    <w:p w14:paraId="66E98354" w14:textId="3E785669" w:rsidR="00954E57" w:rsidRDefault="00954E57" w:rsidP="005C64E2">
      <w:pPr>
        <w:rPr>
          <w:rFonts w:ascii="Calibri" w:eastAsia="Times New Roman" w:hAnsi="Calibri" w:cs="Calibri"/>
          <w:szCs w:val="24"/>
        </w:rPr>
      </w:pPr>
      <w:r>
        <w:rPr>
          <w:rFonts w:ascii="Calibri" w:eastAsia="Times New Roman" w:hAnsi="Calibri" w:cs="Calibri"/>
          <w:szCs w:val="24"/>
        </w:rPr>
        <w:t>Risk 646 Weakened reputation has seen a</w:t>
      </w:r>
      <w:r w:rsidR="00130A47">
        <w:rPr>
          <w:rFonts w:ascii="Calibri" w:eastAsia="Times New Roman" w:hAnsi="Calibri" w:cs="Calibri"/>
          <w:szCs w:val="24"/>
        </w:rPr>
        <w:t>n</w:t>
      </w:r>
      <w:r>
        <w:rPr>
          <w:rFonts w:ascii="Calibri" w:eastAsia="Times New Roman" w:hAnsi="Calibri" w:cs="Calibri"/>
          <w:szCs w:val="24"/>
        </w:rPr>
        <w:t xml:space="preserve"> </w:t>
      </w:r>
      <w:r w:rsidR="00130A47">
        <w:rPr>
          <w:rFonts w:ascii="Calibri" w:eastAsia="Times New Roman" w:hAnsi="Calibri" w:cs="Calibri"/>
          <w:szCs w:val="24"/>
        </w:rPr>
        <w:t>uplift</w:t>
      </w:r>
      <w:r>
        <w:rPr>
          <w:rFonts w:ascii="Calibri" w:eastAsia="Times New Roman" w:hAnsi="Calibri" w:cs="Calibri"/>
          <w:szCs w:val="24"/>
        </w:rPr>
        <w:t xml:space="preserve"> in the likelihood of the risk materialising move from 1 to 2</w:t>
      </w:r>
    </w:p>
    <w:p w14:paraId="606061A6" w14:textId="077D3D14" w:rsidR="005E41C0" w:rsidRDefault="005E41C0" w:rsidP="005C64E2">
      <w:pPr>
        <w:rPr>
          <w:rFonts w:ascii="Calibri" w:eastAsia="Times New Roman" w:hAnsi="Calibri" w:cs="Calibri"/>
          <w:szCs w:val="24"/>
        </w:rPr>
      </w:pPr>
      <w:r>
        <w:rPr>
          <w:rFonts w:ascii="Calibri" w:eastAsia="Times New Roman" w:hAnsi="Calibri" w:cs="Calibri"/>
          <w:szCs w:val="24"/>
        </w:rPr>
        <w:t>Risk 586 relating to structural fun</w:t>
      </w:r>
      <w:r w:rsidR="005E78E1">
        <w:rPr>
          <w:rFonts w:ascii="Calibri" w:eastAsia="Times New Roman" w:hAnsi="Calibri" w:cs="Calibri"/>
          <w:szCs w:val="24"/>
        </w:rPr>
        <w:t>d</w:t>
      </w:r>
      <w:r>
        <w:rPr>
          <w:rFonts w:ascii="Calibri" w:eastAsia="Times New Roman" w:hAnsi="Calibri" w:cs="Calibri"/>
          <w:szCs w:val="24"/>
        </w:rPr>
        <w:t>s has been de-escalated as the programme moves into its final phase</w:t>
      </w:r>
      <w:r w:rsidR="00954E57">
        <w:rPr>
          <w:rFonts w:ascii="Calibri" w:eastAsia="Times New Roman" w:hAnsi="Calibri" w:cs="Calibri"/>
          <w:szCs w:val="24"/>
        </w:rPr>
        <w:t>.</w:t>
      </w:r>
    </w:p>
    <w:p w14:paraId="47CA7890" w14:textId="683EB1A6" w:rsidR="005E41C0" w:rsidRDefault="005E41C0" w:rsidP="005C64E2">
      <w:pPr>
        <w:rPr>
          <w:rFonts w:ascii="Calibri" w:eastAsia="Times New Roman" w:hAnsi="Calibri" w:cs="Calibri"/>
          <w:szCs w:val="24"/>
        </w:rPr>
      </w:pPr>
      <w:r>
        <w:rPr>
          <w:rFonts w:ascii="Calibri" w:eastAsia="Times New Roman" w:hAnsi="Calibri" w:cs="Calibri"/>
          <w:szCs w:val="24"/>
        </w:rPr>
        <w:t>Risk 71 relating to AECS has</w:t>
      </w:r>
      <w:r w:rsidR="005E78E1">
        <w:rPr>
          <w:rFonts w:ascii="Calibri" w:eastAsia="Times New Roman" w:hAnsi="Calibri" w:cs="Calibri"/>
          <w:szCs w:val="24"/>
        </w:rPr>
        <w:t xml:space="preserve"> also</w:t>
      </w:r>
      <w:r>
        <w:rPr>
          <w:rFonts w:ascii="Calibri" w:eastAsia="Times New Roman" w:hAnsi="Calibri" w:cs="Calibri"/>
          <w:szCs w:val="24"/>
        </w:rPr>
        <w:t xml:space="preserve"> been de-</w:t>
      </w:r>
      <w:r w:rsidR="00016BC1">
        <w:rPr>
          <w:rFonts w:ascii="Calibri" w:eastAsia="Times New Roman" w:hAnsi="Calibri" w:cs="Calibri"/>
          <w:szCs w:val="24"/>
        </w:rPr>
        <w:t>escalated</w:t>
      </w:r>
      <w:r>
        <w:rPr>
          <w:rFonts w:ascii="Calibri" w:eastAsia="Times New Roman" w:hAnsi="Calibri" w:cs="Calibri"/>
          <w:szCs w:val="24"/>
        </w:rPr>
        <w:t xml:space="preserve"> due to its low likelihood rating and </w:t>
      </w:r>
      <w:r w:rsidR="00954E57">
        <w:rPr>
          <w:rFonts w:ascii="Calibri" w:eastAsia="Times New Roman" w:hAnsi="Calibri" w:cs="Calibri"/>
          <w:szCs w:val="24"/>
        </w:rPr>
        <w:t xml:space="preserve">therefore </w:t>
      </w:r>
      <w:r>
        <w:rPr>
          <w:rFonts w:ascii="Calibri" w:eastAsia="Times New Roman" w:hAnsi="Calibri" w:cs="Calibri"/>
          <w:szCs w:val="24"/>
        </w:rPr>
        <w:t>can be managed at Directorate level</w:t>
      </w:r>
      <w:r w:rsidR="00954E57">
        <w:rPr>
          <w:rFonts w:ascii="Calibri" w:eastAsia="Times New Roman" w:hAnsi="Calibri" w:cs="Calibri"/>
          <w:szCs w:val="24"/>
        </w:rPr>
        <w:t>.</w:t>
      </w:r>
    </w:p>
    <w:p w14:paraId="13136452" w14:textId="385F29A8" w:rsidR="005E41C0" w:rsidRDefault="005E41C0" w:rsidP="005C64E2">
      <w:pPr>
        <w:rPr>
          <w:rFonts w:ascii="Calibri" w:eastAsia="Times New Roman" w:hAnsi="Calibri" w:cs="Calibri"/>
          <w:szCs w:val="24"/>
        </w:rPr>
      </w:pPr>
      <w:r>
        <w:rPr>
          <w:rFonts w:ascii="Calibri" w:eastAsia="Times New Roman" w:hAnsi="Calibri" w:cs="Calibri"/>
          <w:szCs w:val="24"/>
        </w:rPr>
        <w:t xml:space="preserve">Risk 137 which related to staff resource </w:t>
      </w:r>
      <w:r w:rsidR="00016BC1">
        <w:rPr>
          <w:rFonts w:ascii="Calibri" w:eastAsia="Times New Roman" w:hAnsi="Calibri" w:cs="Calibri"/>
          <w:szCs w:val="24"/>
        </w:rPr>
        <w:t>management</w:t>
      </w:r>
      <w:r>
        <w:rPr>
          <w:rFonts w:ascii="Calibri" w:eastAsia="Times New Roman" w:hAnsi="Calibri" w:cs="Calibri"/>
          <w:szCs w:val="24"/>
        </w:rPr>
        <w:t xml:space="preserve"> has been </w:t>
      </w:r>
      <w:r w:rsidR="00607644">
        <w:rPr>
          <w:rFonts w:ascii="Calibri" w:eastAsia="Times New Roman" w:hAnsi="Calibri" w:cs="Calibri"/>
          <w:szCs w:val="24"/>
        </w:rPr>
        <w:t xml:space="preserve">refocused </w:t>
      </w:r>
      <w:r>
        <w:rPr>
          <w:rFonts w:ascii="Calibri" w:eastAsia="Times New Roman" w:hAnsi="Calibri" w:cs="Calibri"/>
          <w:szCs w:val="24"/>
        </w:rPr>
        <w:t xml:space="preserve">and remains on the </w:t>
      </w:r>
      <w:r w:rsidR="00016BC1">
        <w:rPr>
          <w:rFonts w:ascii="Calibri" w:eastAsia="Times New Roman" w:hAnsi="Calibri" w:cs="Calibri"/>
          <w:szCs w:val="24"/>
        </w:rPr>
        <w:t>corporate</w:t>
      </w:r>
      <w:r>
        <w:rPr>
          <w:rFonts w:ascii="Calibri" w:eastAsia="Times New Roman" w:hAnsi="Calibri" w:cs="Calibri"/>
          <w:szCs w:val="24"/>
        </w:rPr>
        <w:t xml:space="preserve"> risk register. It now </w:t>
      </w:r>
      <w:r w:rsidR="00016BC1">
        <w:rPr>
          <w:rFonts w:ascii="Calibri" w:eastAsia="Times New Roman" w:hAnsi="Calibri" w:cs="Calibri"/>
          <w:szCs w:val="24"/>
        </w:rPr>
        <w:t>places</w:t>
      </w:r>
      <w:r>
        <w:rPr>
          <w:rFonts w:ascii="Calibri" w:eastAsia="Times New Roman" w:hAnsi="Calibri" w:cs="Calibri"/>
          <w:szCs w:val="24"/>
        </w:rPr>
        <w:t xml:space="preserve"> emphasis on the </w:t>
      </w:r>
      <w:r w:rsidR="00016BC1">
        <w:rPr>
          <w:rFonts w:ascii="Calibri" w:eastAsia="Times New Roman" w:hAnsi="Calibri" w:cs="Calibri"/>
          <w:szCs w:val="24"/>
        </w:rPr>
        <w:t>organisational</w:t>
      </w:r>
      <w:r>
        <w:rPr>
          <w:rFonts w:ascii="Calibri" w:eastAsia="Times New Roman" w:hAnsi="Calibri" w:cs="Calibri"/>
          <w:szCs w:val="24"/>
        </w:rPr>
        <w:t xml:space="preserve"> risks </w:t>
      </w:r>
      <w:r w:rsidR="00607644">
        <w:rPr>
          <w:rFonts w:ascii="Calibri" w:eastAsia="Times New Roman" w:hAnsi="Calibri" w:cs="Calibri"/>
          <w:szCs w:val="24"/>
        </w:rPr>
        <w:t>related to</w:t>
      </w:r>
      <w:r>
        <w:rPr>
          <w:rFonts w:ascii="Calibri" w:eastAsia="Times New Roman" w:hAnsi="Calibri" w:cs="Calibri"/>
          <w:szCs w:val="24"/>
        </w:rPr>
        <w:t xml:space="preserve"> strategic </w:t>
      </w:r>
      <w:r w:rsidR="007C3B7D">
        <w:rPr>
          <w:rFonts w:ascii="Calibri" w:eastAsia="Times New Roman" w:hAnsi="Calibri" w:cs="Calibri"/>
          <w:szCs w:val="24"/>
        </w:rPr>
        <w:t xml:space="preserve">workforce planning </w:t>
      </w:r>
      <w:r>
        <w:rPr>
          <w:rFonts w:ascii="Calibri" w:eastAsia="Times New Roman" w:hAnsi="Calibri" w:cs="Calibri"/>
          <w:szCs w:val="24"/>
        </w:rPr>
        <w:t xml:space="preserve">and ownership </w:t>
      </w:r>
      <w:r w:rsidR="007C3B7D">
        <w:rPr>
          <w:rFonts w:ascii="Calibri" w:eastAsia="Times New Roman" w:hAnsi="Calibri" w:cs="Calibri"/>
          <w:szCs w:val="24"/>
        </w:rPr>
        <w:t>remains with</w:t>
      </w:r>
      <w:r>
        <w:rPr>
          <w:rFonts w:ascii="Calibri" w:eastAsia="Times New Roman" w:hAnsi="Calibri" w:cs="Calibri"/>
          <w:szCs w:val="24"/>
        </w:rPr>
        <w:t xml:space="preserve"> the Head of POD</w:t>
      </w:r>
      <w:r w:rsidR="00607644">
        <w:rPr>
          <w:rFonts w:ascii="Calibri" w:eastAsia="Times New Roman" w:hAnsi="Calibri" w:cs="Calibri"/>
          <w:szCs w:val="24"/>
        </w:rPr>
        <w:t>. A new risk related to strategic resource prioritisation and management has been created (Risk 755), and is owned by</w:t>
      </w:r>
      <w:r>
        <w:rPr>
          <w:rFonts w:ascii="Calibri" w:eastAsia="Times New Roman" w:hAnsi="Calibri" w:cs="Calibri"/>
          <w:szCs w:val="24"/>
        </w:rPr>
        <w:t xml:space="preserve"> the Head of Finance</w:t>
      </w:r>
    </w:p>
    <w:p w14:paraId="20909160" w14:textId="38011A22" w:rsidR="00890549" w:rsidRDefault="00607644" w:rsidP="005C64E2">
      <w:pPr>
        <w:rPr>
          <w:rFonts w:ascii="Calibri" w:eastAsia="Times New Roman" w:hAnsi="Calibri" w:cs="Calibri"/>
          <w:szCs w:val="24"/>
        </w:rPr>
      </w:pPr>
      <w:r>
        <w:rPr>
          <w:rFonts w:ascii="Calibri" w:eastAsia="Times New Roman" w:hAnsi="Calibri" w:cs="Calibri"/>
          <w:szCs w:val="24"/>
        </w:rPr>
        <w:t>A further t</w:t>
      </w:r>
      <w:r w:rsidR="00890549">
        <w:rPr>
          <w:rFonts w:ascii="Calibri" w:eastAsia="Times New Roman" w:hAnsi="Calibri" w:cs="Calibri"/>
          <w:szCs w:val="24"/>
        </w:rPr>
        <w:t>hree</w:t>
      </w:r>
      <w:r w:rsidR="001606E0">
        <w:rPr>
          <w:rFonts w:ascii="Calibri" w:eastAsia="Times New Roman" w:hAnsi="Calibri" w:cs="Calibri"/>
          <w:szCs w:val="24"/>
        </w:rPr>
        <w:t xml:space="preserve"> </w:t>
      </w:r>
      <w:r w:rsidR="00A54ACF">
        <w:rPr>
          <w:rFonts w:ascii="Calibri" w:eastAsia="Times New Roman" w:hAnsi="Calibri" w:cs="Calibri"/>
          <w:szCs w:val="24"/>
        </w:rPr>
        <w:t>new Risk</w:t>
      </w:r>
      <w:r w:rsidR="001606E0">
        <w:rPr>
          <w:rFonts w:ascii="Calibri" w:eastAsia="Times New Roman" w:hAnsi="Calibri" w:cs="Calibri"/>
          <w:szCs w:val="24"/>
        </w:rPr>
        <w:t>s</w:t>
      </w:r>
      <w:r w:rsidR="00A54ACF">
        <w:rPr>
          <w:rFonts w:ascii="Calibri" w:eastAsia="Times New Roman" w:hAnsi="Calibri" w:cs="Calibri"/>
          <w:szCs w:val="24"/>
        </w:rPr>
        <w:t xml:space="preserve"> ha</w:t>
      </w:r>
      <w:r w:rsidR="001606E0">
        <w:rPr>
          <w:rFonts w:ascii="Calibri" w:eastAsia="Times New Roman" w:hAnsi="Calibri" w:cs="Calibri"/>
          <w:szCs w:val="24"/>
        </w:rPr>
        <w:t>ve</w:t>
      </w:r>
      <w:r w:rsidR="00A54ACF">
        <w:rPr>
          <w:rFonts w:ascii="Calibri" w:eastAsia="Times New Roman" w:hAnsi="Calibri" w:cs="Calibri"/>
          <w:szCs w:val="24"/>
        </w:rPr>
        <w:t xml:space="preserve"> been identified</w:t>
      </w:r>
      <w:r w:rsidR="00705BFD">
        <w:rPr>
          <w:rFonts w:ascii="Calibri" w:eastAsia="Times New Roman" w:hAnsi="Calibri" w:cs="Calibri"/>
          <w:szCs w:val="24"/>
        </w:rPr>
        <w:t xml:space="preserve"> and have been included on the corporate risk register</w:t>
      </w:r>
      <w:r w:rsidR="001606E0">
        <w:rPr>
          <w:rFonts w:ascii="Calibri" w:eastAsia="Times New Roman" w:hAnsi="Calibri" w:cs="Calibri"/>
          <w:szCs w:val="24"/>
        </w:rPr>
        <w:t>.</w:t>
      </w:r>
      <w:r w:rsidR="006B58BC">
        <w:rPr>
          <w:rFonts w:ascii="Calibri" w:eastAsia="Times New Roman" w:hAnsi="Calibri" w:cs="Calibri"/>
          <w:szCs w:val="24"/>
        </w:rPr>
        <w:t xml:space="preserve"> </w:t>
      </w:r>
      <w:r w:rsidR="001606E0">
        <w:rPr>
          <w:rFonts w:ascii="Calibri" w:eastAsia="Times New Roman" w:hAnsi="Calibri" w:cs="Calibri"/>
          <w:szCs w:val="24"/>
        </w:rPr>
        <w:t xml:space="preserve">Firstly, </w:t>
      </w:r>
      <w:r w:rsidR="00890549">
        <w:rPr>
          <w:rFonts w:ascii="Calibri" w:eastAsia="Times New Roman" w:hAnsi="Calibri" w:cs="Calibri"/>
          <w:szCs w:val="24"/>
        </w:rPr>
        <w:t xml:space="preserve">Risk </w:t>
      </w:r>
      <w:r w:rsidR="00890549" w:rsidRPr="001606E0">
        <w:rPr>
          <w:rFonts w:ascii="Calibri" w:eastAsia="Times New Roman" w:hAnsi="Calibri" w:cs="Calibri"/>
          <w:szCs w:val="24"/>
        </w:rPr>
        <w:t>759 - Reputational risk due to statutory Reporter role for new National Park in Galloway proposa</w:t>
      </w:r>
      <w:r w:rsidR="00890549">
        <w:rPr>
          <w:rFonts w:ascii="Calibri" w:eastAsia="Times New Roman" w:hAnsi="Calibri" w:cs="Calibri"/>
          <w:szCs w:val="24"/>
        </w:rPr>
        <w:t>l</w:t>
      </w:r>
      <w:r>
        <w:rPr>
          <w:rFonts w:ascii="Calibri" w:eastAsia="Times New Roman" w:hAnsi="Calibri" w:cs="Calibri"/>
          <w:szCs w:val="24"/>
        </w:rPr>
        <w:t>. This</w:t>
      </w:r>
      <w:r w:rsidR="00890549">
        <w:rPr>
          <w:rFonts w:ascii="Calibri" w:eastAsia="Times New Roman" w:hAnsi="Calibri" w:cs="Calibri"/>
          <w:szCs w:val="24"/>
        </w:rPr>
        <w:t xml:space="preserve"> manages the reputational challenges of discharging our independent reporter role where there are challenges from some quarters about our neutrality and considering the wider impacts on our other work. </w:t>
      </w:r>
    </w:p>
    <w:p w14:paraId="5CADFA31" w14:textId="77777777" w:rsidR="00890549" w:rsidRDefault="001606E0" w:rsidP="005C64E2">
      <w:pPr>
        <w:rPr>
          <w:rFonts w:ascii="Calibri" w:eastAsia="Times New Roman" w:hAnsi="Calibri" w:cs="Calibri"/>
          <w:szCs w:val="24"/>
        </w:rPr>
      </w:pPr>
      <w:r>
        <w:rPr>
          <w:rFonts w:ascii="Calibri" w:eastAsia="Times New Roman" w:hAnsi="Calibri" w:cs="Calibri"/>
          <w:szCs w:val="24"/>
        </w:rPr>
        <w:t xml:space="preserve">Secondly, </w:t>
      </w:r>
      <w:r w:rsidR="00890549">
        <w:rPr>
          <w:rFonts w:ascii="Calibri" w:eastAsia="Times New Roman" w:hAnsi="Calibri" w:cs="Calibri"/>
          <w:szCs w:val="24"/>
        </w:rPr>
        <w:t>Risk 760 in relation to the potential uncertainty created by the interim Chief Executive arrangements. This risk is rated as low given the arrangements now in place with an interim appointment.</w:t>
      </w:r>
    </w:p>
    <w:p w14:paraId="7F1D41CC" w14:textId="5C21826C" w:rsidR="005E41C0" w:rsidRDefault="00890549" w:rsidP="005C64E2">
      <w:pPr>
        <w:rPr>
          <w:rFonts w:ascii="Calibri" w:eastAsia="Times New Roman" w:hAnsi="Calibri" w:cs="Calibri"/>
          <w:szCs w:val="24"/>
        </w:rPr>
      </w:pPr>
      <w:r>
        <w:rPr>
          <w:rFonts w:ascii="Calibri" w:eastAsia="Times New Roman" w:hAnsi="Calibri" w:cs="Calibri"/>
          <w:szCs w:val="24"/>
        </w:rPr>
        <w:t>Finally, Risk 761 relating to future liabilities created by grant funding streams which aims to balance the risk of committing to future years funding streams when NatureScot only receives annual budget awards</w:t>
      </w:r>
    </w:p>
    <w:p w14:paraId="76ED24C5" w14:textId="2972093F" w:rsidR="00A54ACF" w:rsidRPr="008539EE" w:rsidRDefault="00890549" w:rsidP="005C64E2">
      <w:pPr>
        <w:rPr>
          <w:rFonts w:ascii="Calibri" w:eastAsia="Times New Roman" w:hAnsi="Calibri" w:cs="Calibri"/>
          <w:szCs w:val="24"/>
        </w:rPr>
      </w:pPr>
      <w:r>
        <w:rPr>
          <w:rFonts w:ascii="Calibri" w:eastAsia="Times New Roman" w:hAnsi="Calibri" w:cs="Calibri"/>
          <w:szCs w:val="24"/>
        </w:rPr>
        <w:t>One</w:t>
      </w:r>
      <w:r w:rsidR="00A54ACF">
        <w:rPr>
          <w:rFonts w:ascii="Calibri" w:eastAsia="Times New Roman" w:hAnsi="Calibri" w:cs="Calibri"/>
          <w:szCs w:val="24"/>
        </w:rPr>
        <w:t xml:space="preserve"> risk </w:t>
      </w:r>
      <w:r w:rsidR="00607644">
        <w:rPr>
          <w:rFonts w:ascii="Calibri" w:eastAsia="Times New Roman" w:hAnsi="Calibri" w:cs="Calibri"/>
          <w:szCs w:val="24"/>
        </w:rPr>
        <w:t xml:space="preserve">has </w:t>
      </w:r>
      <w:r w:rsidR="00A54ACF">
        <w:rPr>
          <w:rFonts w:ascii="Calibri" w:eastAsia="Times New Roman" w:hAnsi="Calibri" w:cs="Calibri"/>
          <w:szCs w:val="24"/>
        </w:rPr>
        <w:t xml:space="preserve">also been identified and </w:t>
      </w:r>
      <w:r>
        <w:rPr>
          <w:rFonts w:ascii="Calibri" w:eastAsia="Times New Roman" w:hAnsi="Calibri" w:cs="Calibri"/>
          <w:szCs w:val="24"/>
        </w:rPr>
        <w:t>is</w:t>
      </w:r>
      <w:r w:rsidR="00A54ACF">
        <w:rPr>
          <w:rFonts w:ascii="Calibri" w:eastAsia="Times New Roman" w:hAnsi="Calibri" w:cs="Calibri"/>
          <w:szCs w:val="24"/>
        </w:rPr>
        <w:t xml:space="preserve"> about to be finalised</w:t>
      </w:r>
      <w:r w:rsidR="00607644">
        <w:rPr>
          <w:rFonts w:ascii="Calibri" w:eastAsia="Times New Roman" w:hAnsi="Calibri" w:cs="Calibri"/>
          <w:szCs w:val="24"/>
        </w:rPr>
        <w:t>. It</w:t>
      </w:r>
      <w:r>
        <w:rPr>
          <w:rFonts w:ascii="Calibri" w:eastAsia="Times New Roman" w:hAnsi="Calibri" w:cs="Calibri"/>
          <w:szCs w:val="24"/>
        </w:rPr>
        <w:t xml:space="preserve"> relat</w:t>
      </w:r>
      <w:r w:rsidR="00607644">
        <w:rPr>
          <w:rFonts w:ascii="Calibri" w:eastAsia="Times New Roman" w:hAnsi="Calibri" w:cs="Calibri"/>
          <w:szCs w:val="24"/>
        </w:rPr>
        <w:t>es</w:t>
      </w:r>
      <w:r w:rsidR="005E78E1">
        <w:rPr>
          <w:rFonts w:ascii="Calibri" w:eastAsia="Times New Roman" w:hAnsi="Calibri" w:cs="Calibri"/>
          <w:szCs w:val="24"/>
        </w:rPr>
        <w:t xml:space="preserve"> to the increasing exposure to legal challenges that NatureScot is facing and ensuring that adequate controls are in place</w:t>
      </w:r>
      <w:r w:rsidR="00025439">
        <w:rPr>
          <w:rFonts w:ascii="Calibri" w:eastAsia="Times New Roman" w:hAnsi="Calibri" w:cs="Calibri"/>
          <w:szCs w:val="24"/>
        </w:rPr>
        <w:t xml:space="preserve"> to ensure strategic oversight.</w:t>
      </w:r>
    </w:p>
    <w:bookmarkEnd w:id="6"/>
    <w:p w14:paraId="6BEA0C43" w14:textId="04AFED73" w:rsidR="00B00243" w:rsidRDefault="005C64E2" w:rsidP="008D20BE">
      <w:pPr>
        <w:rPr>
          <w:rFonts w:ascii="Calibri" w:eastAsia="Times New Roman" w:hAnsi="Calibri" w:cs="Calibri"/>
          <w:b/>
          <w:szCs w:val="24"/>
        </w:rPr>
      </w:pPr>
      <w:r>
        <w:rPr>
          <w:rFonts w:ascii="Calibri" w:eastAsia="Times New Roman" w:hAnsi="Calibri" w:cs="Calibri"/>
          <w:b/>
          <w:szCs w:val="24"/>
        </w:rPr>
        <w:t xml:space="preserve">The Board </w:t>
      </w:r>
      <w:r w:rsidRPr="00152549">
        <w:rPr>
          <w:rFonts w:ascii="Calibri" w:eastAsia="Times New Roman" w:hAnsi="Calibri" w:cs="Calibri"/>
          <w:b/>
          <w:szCs w:val="24"/>
        </w:rPr>
        <w:t>are requested to note the performance of the corporate risks</w:t>
      </w:r>
      <w:r w:rsidR="00705BFD">
        <w:rPr>
          <w:rFonts w:ascii="Calibri" w:eastAsia="Times New Roman" w:hAnsi="Calibri" w:cs="Calibri"/>
          <w:b/>
          <w:szCs w:val="24"/>
        </w:rPr>
        <w:t xml:space="preserve">, particularly the </w:t>
      </w:r>
      <w:r w:rsidR="00890549">
        <w:rPr>
          <w:rFonts w:ascii="Calibri" w:eastAsia="Times New Roman" w:hAnsi="Calibri" w:cs="Calibri"/>
          <w:b/>
          <w:szCs w:val="24"/>
        </w:rPr>
        <w:t>d</w:t>
      </w:r>
      <w:r w:rsidR="00705BFD">
        <w:rPr>
          <w:rFonts w:ascii="Calibri" w:eastAsia="Times New Roman" w:hAnsi="Calibri" w:cs="Calibri"/>
          <w:b/>
          <w:szCs w:val="24"/>
        </w:rPr>
        <w:t>e</w:t>
      </w:r>
      <w:r w:rsidR="00025439">
        <w:rPr>
          <w:rFonts w:ascii="Calibri" w:eastAsia="Times New Roman" w:hAnsi="Calibri" w:cs="Calibri"/>
          <w:b/>
          <w:szCs w:val="24"/>
        </w:rPr>
        <w:t>-e</w:t>
      </w:r>
      <w:r w:rsidR="00705BFD">
        <w:rPr>
          <w:rFonts w:ascii="Calibri" w:eastAsia="Times New Roman" w:hAnsi="Calibri" w:cs="Calibri"/>
          <w:b/>
          <w:szCs w:val="24"/>
        </w:rPr>
        <w:t xml:space="preserve">scalation of 2 corporate risks, the inclusion of </w:t>
      </w:r>
      <w:r w:rsidR="00607644">
        <w:rPr>
          <w:rFonts w:ascii="Calibri" w:eastAsia="Times New Roman" w:hAnsi="Calibri" w:cs="Calibri"/>
          <w:b/>
          <w:szCs w:val="24"/>
        </w:rPr>
        <w:t xml:space="preserve">4 </w:t>
      </w:r>
      <w:r w:rsidR="00705BFD">
        <w:rPr>
          <w:rFonts w:ascii="Calibri" w:eastAsia="Times New Roman" w:hAnsi="Calibri" w:cs="Calibri"/>
          <w:b/>
          <w:szCs w:val="24"/>
        </w:rPr>
        <w:t>new risks and</w:t>
      </w:r>
      <w:r>
        <w:rPr>
          <w:rFonts w:ascii="Calibri" w:eastAsia="Times New Roman" w:hAnsi="Calibri" w:cs="Calibri"/>
          <w:b/>
          <w:szCs w:val="24"/>
        </w:rPr>
        <w:t xml:space="preserve"> </w:t>
      </w:r>
      <w:r w:rsidR="00705BFD">
        <w:rPr>
          <w:rFonts w:ascii="Calibri" w:eastAsia="Times New Roman" w:hAnsi="Calibri" w:cs="Calibri"/>
          <w:b/>
          <w:szCs w:val="24"/>
        </w:rPr>
        <w:t>that</w:t>
      </w:r>
      <w:r>
        <w:rPr>
          <w:rFonts w:ascii="Calibri" w:eastAsia="Times New Roman" w:hAnsi="Calibri" w:cs="Calibri"/>
          <w:b/>
          <w:szCs w:val="24"/>
        </w:rPr>
        <w:t xml:space="preserve"> </w:t>
      </w:r>
      <w:r w:rsidR="00890549">
        <w:rPr>
          <w:rFonts w:ascii="Calibri" w:eastAsia="Times New Roman" w:hAnsi="Calibri" w:cs="Calibri"/>
          <w:b/>
          <w:szCs w:val="24"/>
        </w:rPr>
        <w:t>1</w:t>
      </w:r>
      <w:r>
        <w:rPr>
          <w:rFonts w:ascii="Calibri" w:eastAsia="Times New Roman" w:hAnsi="Calibri" w:cs="Calibri"/>
          <w:b/>
          <w:szCs w:val="24"/>
        </w:rPr>
        <w:t xml:space="preserve"> </w:t>
      </w:r>
      <w:r w:rsidR="00705BFD">
        <w:rPr>
          <w:rFonts w:ascii="Calibri" w:eastAsia="Times New Roman" w:hAnsi="Calibri" w:cs="Calibri"/>
          <w:b/>
          <w:szCs w:val="24"/>
        </w:rPr>
        <w:t xml:space="preserve">further </w:t>
      </w:r>
      <w:r>
        <w:rPr>
          <w:rFonts w:ascii="Calibri" w:eastAsia="Times New Roman" w:hAnsi="Calibri" w:cs="Calibri"/>
          <w:b/>
          <w:szCs w:val="24"/>
        </w:rPr>
        <w:t xml:space="preserve">new </w:t>
      </w:r>
      <w:r w:rsidR="00890549">
        <w:rPr>
          <w:rFonts w:ascii="Calibri" w:eastAsia="Times New Roman" w:hAnsi="Calibri" w:cs="Calibri"/>
          <w:b/>
          <w:szCs w:val="24"/>
        </w:rPr>
        <w:t>risk is</w:t>
      </w:r>
      <w:r w:rsidR="00705BFD">
        <w:rPr>
          <w:rFonts w:ascii="Calibri" w:eastAsia="Times New Roman" w:hAnsi="Calibri" w:cs="Calibri"/>
          <w:b/>
          <w:szCs w:val="24"/>
        </w:rPr>
        <w:t xml:space="preserve"> under development.</w:t>
      </w:r>
      <w:r>
        <w:rPr>
          <w:rFonts w:ascii="Calibri" w:eastAsia="Times New Roman" w:hAnsi="Calibri" w:cs="Calibri"/>
          <w:b/>
          <w:szCs w:val="24"/>
        </w:rPr>
        <w:t xml:space="preserve"> </w:t>
      </w:r>
    </w:p>
    <w:p w14:paraId="6276293D" w14:textId="74C488E8" w:rsidR="00B00243" w:rsidRPr="00B00243" w:rsidRDefault="00C83C5D" w:rsidP="00B00243">
      <w:pPr>
        <w:pStyle w:val="Heading2"/>
        <w:spacing w:before="0" w:after="120" w:line="240" w:lineRule="auto"/>
        <w:rPr>
          <w:rFonts w:ascii="Calibri" w:hAnsi="Calibri" w:cs="Calibri"/>
          <w:sz w:val="28"/>
          <w:szCs w:val="28"/>
          <w:u w:val="single"/>
        </w:rPr>
      </w:pPr>
      <w:r w:rsidRPr="00B7164A">
        <w:rPr>
          <w:rFonts w:ascii="Calibri" w:hAnsi="Calibri" w:cs="Calibri"/>
          <w:sz w:val="28"/>
          <w:szCs w:val="28"/>
          <w:u w:val="single"/>
        </w:rPr>
        <w:lastRenderedPageBreak/>
        <w:t xml:space="preserve">Audit </w:t>
      </w:r>
    </w:p>
    <w:p w14:paraId="599AF3B8" w14:textId="2141B201" w:rsidR="00B00243" w:rsidRPr="00B00243" w:rsidRDefault="00890C2B" w:rsidP="00B00243">
      <w:r w:rsidRPr="00890C2B">
        <w:t>The Priority 1 implementation rate increased to 100%, the rolling average across the last four quarters has remained at 84%, slightly below the KPI target of 85%. In relation to lower level Priority 2 and 3 recommendations, there is 1 delayed recommendation that relates to the Project Management Office setting up an ELT communications plan.</w:t>
      </w:r>
    </w:p>
    <w:p w14:paraId="5D6E443A" w14:textId="21F9B2CC" w:rsidR="00B00243" w:rsidRDefault="00B00243" w:rsidP="00B00243">
      <w:r>
        <w:t>Implementation Rate</w:t>
      </w:r>
    </w:p>
    <w:p w14:paraId="3C72DDEE" w14:textId="1E5BE41B" w:rsidR="00B00243" w:rsidRDefault="00890C2B" w:rsidP="00B00243">
      <w:r>
        <w:rPr>
          <w:noProof/>
        </w:rPr>
        <w:drawing>
          <wp:inline distT="0" distB="0" distL="0" distR="0" wp14:anchorId="2E3171FC" wp14:editId="00112C0B">
            <wp:extent cx="5534025" cy="2522735"/>
            <wp:effectExtent l="0" t="0" r="0" b="0"/>
            <wp:docPr id="2492359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60593" cy="2534846"/>
                    </a:xfrm>
                    <a:prstGeom prst="rect">
                      <a:avLst/>
                    </a:prstGeom>
                    <a:noFill/>
                  </pic:spPr>
                </pic:pic>
              </a:graphicData>
            </a:graphic>
          </wp:inline>
        </w:drawing>
      </w:r>
    </w:p>
    <w:p w14:paraId="28C40E96" w14:textId="56046D6A" w:rsidR="00B00243" w:rsidRPr="00B00243" w:rsidRDefault="00B00243" w:rsidP="00B00243"/>
    <w:p w14:paraId="3DBFC4E8" w14:textId="7343E589" w:rsidR="002E53FA" w:rsidRDefault="009C5409">
      <w:pPr>
        <w:rPr>
          <w:rFonts w:ascii="Calibri" w:eastAsiaTheme="majorEastAsia" w:hAnsi="Calibri" w:cs="Calibri"/>
          <w:b/>
          <w:noProof/>
          <w:color w:val="007DC3"/>
          <w:sz w:val="28"/>
          <w:szCs w:val="28"/>
        </w:rPr>
      </w:pPr>
      <w:r>
        <w:rPr>
          <w:noProof/>
        </w:rPr>
        <w:drawing>
          <wp:inline distT="0" distB="0" distL="0" distR="0" wp14:anchorId="0EC9BCF2" wp14:editId="02A0DC40">
            <wp:extent cx="5353050" cy="3181350"/>
            <wp:effectExtent l="0" t="0" r="0" b="0"/>
            <wp:docPr id="1153848394" name="Chart 1">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5247928B" w14:textId="32E2962E" w:rsidR="00D61A0E" w:rsidRDefault="00D61A0E">
      <w:pPr>
        <w:rPr>
          <w:rFonts w:ascii="Calibri" w:eastAsiaTheme="majorEastAsia" w:hAnsi="Calibri" w:cs="Calibri"/>
          <w:b/>
          <w:color w:val="007DC3"/>
          <w:sz w:val="28"/>
          <w:szCs w:val="28"/>
        </w:rPr>
        <w:sectPr w:rsidR="00D61A0E" w:rsidSect="006B70EE">
          <w:footerReference w:type="default" r:id="rId53"/>
          <w:pgSz w:w="11906" w:h="16838"/>
          <w:pgMar w:top="993" w:right="1440" w:bottom="1440" w:left="1440" w:header="567" w:footer="708" w:gutter="0"/>
          <w:cols w:space="708"/>
          <w:docGrid w:linePitch="360"/>
        </w:sectPr>
      </w:pPr>
    </w:p>
    <w:p w14:paraId="6829F710" w14:textId="386178A6" w:rsidR="000913D4" w:rsidRDefault="005449FE" w:rsidP="008610EA">
      <w:pPr>
        <w:pStyle w:val="Heading1"/>
        <w:rPr>
          <w:rFonts w:ascii="Calibri" w:eastAsiaTheme="minorHAnsi" w:hAnsi="Calibri" w:cs="Calibri"/>
          <w:color w:val="007DC3"/>
          <w:szCs w:val="22"/>
        </w:rPr>
      </w:pPr>
      <w:r>
        <w:rPr>
          <w:rFonts w:ascii="Calibri" w:eastAsiaTheme="minorHAnsi" w:hAnsi="Calibri" w:cs="Calibri"/>
          <w:color w:val="007DC3"/>
          <w:szCs w:val="22"/>
        </w:rPr>
        <w:lastRenderedPageBreak/>
        <w:t xml:space="preserve">PEOPLE </w:t>
      </w:r>
    </w:p>
    <w:p w14:paraId="7830652E" w14:textId="77777777" w:rsidR="008610EA" w:rsidRPr="004A12AF" w:rsidRDefault="008610EA" w:rsidP="008610EA">
      <w:pPr>
        <w:pStyle w:val="Heading2"/>
        <w:shd w:val="clear" w:color="auto" w:fill="007DC3"/>
        <w:jc w:val="center"/>
        <w:rPr>
          <w:rFonts w:ascii="Calibri" w:hAnsi="Calibri" w:cs="Calibri"/>
          <w:szCs w:val="28"/>
        </w:rPr>
      </w:pPr>
      <w:bookmarkStart w:id="7" w:name="_Hlk187333088"/>
    </w:p>
    <w:tbl>
      <w:tblPr>
        <w:tblStyle w:val="TableGridLight"/>
        <w:tblW w:w="5017" w:type="pct"/>
        <w:tblInd w:w="-5" w:type="dxa"/>
        <w:tblLayout w:type="fixed"/>
        <w:tblLook w:val="04A0" w:firstRow="1" w:lastRow="0" w:firstColumn="1" w:lastColumn="0" w:noHBand="0" w:noVBand="1"/>
      </w:tblPr>
      <w:tblGrid>
        <w:gridCol w:w="1563"/>
        <w:gridCol w:w="785"/>
        <w:gridCol w:w="6313"/>
        <w:gridCol w:w="1010"/>
        <w:gridCol w:w="3796"/>
        <w:gridCol w:w="2026"/>
      </w:tblGrid>
      <w:tr w:rsidR="008610EA" w14:paraId="2A9F761A" w14:textId="77777777" w:rsidTr="008610EA">
        <w:trPr>
          <w:trHeight w:val="143"/>
        </w:trPr>
        <w:tc>
          <w:tcPr>
            <w:tcW w:w="504" w:type="pct"/>
          </w:tcPr>
          <w:p w14:paraId="73A69C21" w14:textId="77777777" w:rsidR="008610EA" w:rsidRPr="001927EC" w:rsidRDefault="008610EA" w:rsidP="0046298B">
            <w:pPr>
              <w:jc w:val="center"/>
              <w:rPr>
                <w:rFonts w:ascii="Calibri" w:hAnsi="Calibri" w:cs="Calibri"/>
                <w:b/>
                <w:bCs/>
              </w:rPr>
            </w:pPr>
            <w:r w:rsidRPr="001927EC">
              <w:rPr>
                <w:rFonts w:ascii="Calibri" w:hAnsi="Calibri" w:cs="Calibri"/>
                <w:b/>
                <w:bCs/>
              </w:rPr>
              <w:t>Measure</w:t>
            </w:r>
          </w:p>
        </w:tc>
        <w:tc>
          <w:tcPr>
            <w:tcW w:w="253" w:type="pct"/>
          </w:tcPr>
          <w:p w14:paraId="59C09918" w14:textId="77777777" w:rsidR="008610EA" w:rsidRPr="001927EC" w:rsidRDefault="008610EA" w:rsidP="0046298B">
            <w:pPr>
              <w:jc w:val="center"/>
              <w:rPr>
                <w:rFonts w:ascii="Calibri" w:hAnsi="Calibri" w:cs="Calibri"/>
                <w:b/>
                <w:bCs/>
              </w:rPr>
            </w:pPr>
            <w:r>
              <w:rPr>
                <w:rFonts w:ascii="Calibri" w:hAnsi="Calibri" w:cs="Calibri"/>
                <w:b/>
                <w:bCs/>
              </w:rPr>
              <w:t>RAG</w:t>
            </w:r>
          </w:p>
        </w:tc>
        <w:tc>
          <w:tcPr>
            <w:tcW w:w="2037" w:type="pct"/>
          </w:tcPr>
          <w:p w14:paraId="4CBE1857" w14:textId="77777777" w:rsidR="008610EA" w:rsidRPr="001927EC" w:rsidRDefault="008610EA" w:rsidP="0046298B">
            <w:pPr>
              <w:jc w:val="center"/>
              <w:rPr>
                <w:rFonts w:ascii="Calibri" w:hAnsi="Calibri" w:cs="Calibri"/>
                <w:b/>
                <w:bCs/>
              </w:rPr>
            </w:pPr>
            <w:r w:rsidRPr="001927EC">
              <w:rPr>
                <w:rFonts w:ascii="Calibri" w:hAnsi="Calibri" w:cs="Calibri"/>
                <w:b/>
                <w:bCs/>
              </w:rPr>
              <w:t>Performance Overview</w:t>
            </w:r>
          </w:p>
        </w:tc>
        <w:tc>
          <w:tcPr>
            <w:tcW w:w="326" w:type="pct"/>
          </w:tcPr>
          <w:p w14:paraId="33B8ADA7" w14:textId="77777777" w:rsidR="008610EA" w:rsidRPr="001927EC" w:rsidRDefault="008610EA" w:rsidP="0046298B">
            <w:pPr>
              <w:jc w:val="center"/>
              <w:rPr>
                <w:rFonts w:ascii="Calibri" w:hAnsi="Calibri" w:cs="Calibri"/>
                <w:b/>
                <w:bCs/>
              </w:rPr>
            </w:pPr>
            <w:r w:rsidRPr="001927EC">
              <w:rPr>
                <w:rFonts w:ascii="Calibri" w:hAnsi="Calibri" w:cs="Calibri"/>
                <w:b/>
                <w:bCs/>
              </w:rPr>
              <w:t>Actual</w:t>
            </w:r>
          </w:p>
        </w:tc>
        <w:tc>
          <w:tcPr>
            <w:tcW w:w="1225" w:type="pct"/>
          </w:tcPr>
          <w:p w14:paraId="4EEAB6A9" w14:textId="77777777" w:rsidR="008610EA" w:rsidRPr="001927EC" w:rsidRDefault="008610EA" w:rsidP="0046298B">
            <w:pPr>
              <w:jc w:val="center"/>
              <w:rPr>
                <w:rFonts w:ascii="Calibri" w:hAnsi="Calibri" w:cs="Calibri"/>
                <w:b/>
                <w:bCs/>
              </w:rPr>
            </w:pPr>
            <w:r w:rsidRPr="001927EC">
              <w:rPr>
                <w:rFonts w:ascii="Calibri" w:hAnsi="Calibri" w:cs="Calibri"/>
                <w:b/>
                <w:bCs/>
              </w:rPr>
              <w:t>Analysis</w:t>
            </w:r>
          </w:p>
        </w:tc>
        <w:tc>
          <w:tcPr>
            <w:tcW w:w="654" w:type="pct"/>
          </w:tcPr>
          <w:p w14:paraId="1D6E46D1" w14:textId="77777777" w:rsidR="008610EA" w:rsidRPr="001927EC" w:rsidRDefault="008610EA" w:rsidP="0046298B">
            <w:pPr>
              <w:jc w:val="center"/>
              <w:rPr>
                <w:rFonts w:ascii="Calibri" w:hAnsi="Calibri" w:cs="Calibri"/>
                <w:b/>
                <w:bCs/>
              </w:rPr>
            </w:pPr>
            <w:r>
              <w:rPr>
                <w:rFonts w:ascii="Calibri" w:hAnsi="Calibri" w:cs="Calibri"/>
                <w:b/>
                <w:bCs/>
              </w:rPr>
              <w:t>Comment</w:t>
            </w:r>
          </w:p>
        </w:tc>
      </w:tr>
      <w:tr w:rsidR="008610EA" w14:paraId="472F5054" w14:textId="77777777" w:rsidTr="008610EA">
        <w:trPr>
          <w:trHeight w:val="143"/>
        </w:trPr>
        <w:tc>
          <w:tcPr>
            <w:tcW w:w="504" w:type="pct"/>
            <w:vMerge w:val="restart"/>
          </w:tcPr>
          <w:p w14:paraId="4282836F" w14:textId="77777777" w:rsidR="008610EA" w:rsidRPr="00517F75" w:rsidRDefault="008610EA" w:rsidP="0046298B">
            <w:r>
              <w:rPr>
                <w:rFonts w:ascii="Calibri" w:hAnsi="Calibri" w:cs="Calibri"/>
                <w:b/>
              </w:rPr>
              <w:t>Health, Safety and Wellbeing</w:t>
            </w:r>
          </w:p>
          <w:p w14:paraId="23F917D0" w14:textId="77777777" w:rsidR="008610EA" w:rsidRPr="00517F75" w:rsidRDefault="008610EA" w:rsidP="0046298B">
            <w:pPr>
              <w:jc w:val="center"/>
            </w:pPr>
          </w:p>
        </w:tc>
        <w:tc>
          <w:tcPr>
            <w:tcW w:w="253" w:type="pct"/>
          </w:tcPr>
          <w:p w14:paraId="26133BEA" w14:textId="77777777" w:rsidR="008610EA" w:rsidRDefault="008610EA" w:rsidP="0046298B">
            <w:pPr>
              <w:rPr>
                <w:noProof/>
              </w:rPr>
            </w:pPr>
            <w:r>
              <w:rPr>
                <w:rFonts w:ascii="Calibri" w:hAnsi="Calibri" w:cs="Calibri"/>
                <w:noProof/>
                <w:color w:val="007DC3"/>
              </w:rPr>
              <mc:AlternateContent>
                <mc:Choice Requires="wps">
                  <w:drawing>
                    <wp:anchor distT="0" distB="0" distL="114300" distR="114300" simplePos="0" relativeHeight="251660288" behindDoc="0" locked="0" layoutInCell="1" allowOverlap="1" wp14:anchorId="3AD34905" wp14:editId="56A518CF">
                      <wp:simplePos x="0" y="0"/>
                      <wp:positionH relativeFrom="column">
                        <wp:posOffset>57785</wp:posOffset>
                      </wp:positionH>
                      <wp:positionV relativeFrom="paragraph">
                        <wp:posOffset>68580</wp:posOffset>
                      </wp:positionV>
                      <wp:extent cx="161925" cy="152400"/>
                      <wp:effectExtent l="0" t="0" r="9525" b="0"/>
                      <wp:wrapNone/>
                      <wp:docPr id="1276765150"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C96A7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4.55pt;margin-top:5.4pt;width:12.7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" fillcolor="#00b050" stroked="f" strokeweight="2pt"/>
                  </w:pict>
                </mc:Fallback>
              </mc:AlternateContent>
            </w:r>
          </w:p>
        </w:tc>
        <w:tc>
          <w:tcPr>
            <w:tcW w:w="2037" w:type="pct"/>
          </w:tcPr>
          <w:p w14:paraId="4AEE4012" w14:textId="77777777" w:rsidR="008610EA" w:rsidRDefault="008610EA" w:rsidP="0046298B">
            <w:r>
              <w:rPr>
                <w:noProof/>
              </w:rPr>
              <w:drawing>
                <wp:inline distT="0" distB="0" distL="0" distR="0" wp14:anchorId="16B5AECB" wp14:editId="2D686F9C">
                  <wp:extent cx="3632835" cy="2205355"/>
                  <wp:effectExtent l="0" t="0" r="5715" b="4445"/>
                  <wp:docPr id="796224223" name="Picture 1"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24223" name="Picture 1" descr="A graph with a line and a line&#10;&#10;Description automatically generated"/>
                          <pic:cNvPicPr/>
                        </pic:nvPicPr>
                        <pic:blipFill>
                          <a:blip r:embed="rId54"/>
                          <a:stretch>
                            <a:fillRect/>
                          </a:stretch>
                        </pic:blipFill>
                        <pic:spPr>
                          <a:xfrm>
                            <a:off x="0" y="0"/>
                            <a:ext cx="3632835" cy="2205355"/>
                          </a:xfrm>
                          <a:prstGeom prst="rect">
                            <a:avLst/>
                          </a:prstGeom>
                        </pic:spPr>
                      </pic:pic>
                    </a:graphicData>
                  </a:graphic>
                </wp:inline>
              </w:drawing>
            </w:r>
          </w:p>
          <w:p w14:paraId="311CD7FE" w14:textId="77777777" w:rsidR="008610EA" w:rsidRDefault="008610EA" w:rsidP="0046298B">
            <w:r>
              <w:rPr>
                <w:rFonts w:ascii="Calibri" w:eastAsia="Times New Roman" w:hAnsi="Calibri" w:cs="Calibri"/>
                <w:lang w:eastAsia="en-GB"/>
              </w:rPr>
              <w:t xml:space="preserve">(This graph shows number of </w:t>
            </w:r>
            <w:proofErr w:type="gramStart"/>
            <w:r>
              <w:rPr>
                <w:rFonts w:ascii="Calibri" w:eastAsia="Times New Roman" w:hAnsi="Calibri" w:cs="Calibri"/>
                <w:lang w:eastAsia="en-GB"/>
              </w:rPr>
              <w:t xml:space="preserve">accidents)   </w:t>
            </w:r>
            <w:proofErr w:type="gramEnd"/>
            <w:r>
              <w:rPr>
                <w:rFonts w:ascii="Calibri" w:eastAsia="Times New Roman" w:hAnsi="Calibri" w:cs="Calibri"/>
                <w:lang w:eastAsia="en-GB"/>
              </w:rPr>
              <w:t xml:space="preserve">     </w:t>
            </w:r>
          </w:p>
        </w:tc>
        <w:tc>
          <w:tcPr>
            <w:tcW w:w="326" w:type="pct"/>
          </w:tcPr>
          <w:p w14:paraId="3A9702DE" w14:textId="77777777" w:rsidR="008610EA" w:rsidRPr="006F69ED" w:rsidRDefault="008610EA" w:rsidP="0046298B">
            <w:pPr>
              <w:rPr>
                <w:rFonts w:ascii="Calibri" w:hAnsi="Calibri" w:cs="Calibri"/>
              </w:rPr>
            </w:pPr>
            <w:r w:rsidRPr="006F69ED">
              <w:rPr>
                <w:rFonts w:ascii="Calibri" w:hAnsi="Calibri" w:cs="Calibri"/>
              </w:rPr>
              <w:t>1</w:t>
            </w:r>
            <w:r>
              <w:rPr>
                <w:rFonts w:ascii="Calibri" w:hAnsi="Calibri" w:cs="Calibri"/>
              </w:rPr>
              <w:t>0</w:t>
            </w:r>
          </w:p>
        </w:tc>
        <w:tc>
          <w:tcPr>
            <w:tcW w:w="1225" w:type="pct"/>
            <w:vMerge w:val="restart"/>
          </w:tcPr>
          <w:p w14:paraId="4E55BF16" w14:textId="4E3A4DD9" w:rsidR="008610EA" w:rsidRPr="006F69ED" w:rsidRDefault="008610EA" w:rsidP="0046298B">
            <w:pPr>
              <w:rPr>
                <w:rFonts w:ascii="Calibri" w:hAnsi="Calibri" w:cs="Calibri"/>
              </w:rPr>
            </w:pPr>
            <w:r w:rsidRPr="006F69ED">
              <w:rPr>
                <w:rFonts w:ascii="Calibri" w:hAnsi="Calibri" w:cs="Calibri"/>
              </w:rPr>
              <w:t>A decrease in accidents has been reported in Q3 from 12 down to 1</w:t>
            </w:r>
            <w:r>
              <w:rPr>
                <w:rFonts w:ascii="Calibri" w:hAnsi="Calibri" w:cs="Calibri"/>
              </w:rPr>
              <w:t>0</w:t>
            </w:r>
            <w:r w:rsidRPr="006F69ED">
              <w:rPr>
                <w:rFonts w:ascii="Calibri" w:hAnsi="Calibri" w:cs="Calibri"/>
              </w:rPr>
              <w:t xml:space="preserve">. An increase in near misses reported from 2 to </w:t>
            </w:r>
            <w:r w:rsidR="00580319">
              <w:rPr>
                <w:rFonts w:ascii="Calibri" w:hAnsi="Calibri" w:cs="Calibri"/>
              </w:rPr>
              <w:t>8, four</w:t>
            </w:r>
            <w:r>
              <w:rPr>
                <w:rFonts w:ascii="Calibri" w:hAnsi="Calibri" w:cs="Calibri"/>
              </w:rPr>
              <w:t xml:space="preserve"> of which were related to the one incident. </w:t>
            </w:r>
            <w:proofErr w:type="spellStart"/>
            <w:r w:rsidRPr="008F6C78">
              <w:rPr>
                <w:rFonts w:ascii="Calibri" w:hAnsi="Calibri" w:cs="Calibri"/>
              </w:rPr>
              <w:t>XmR</w:t>
            </w:r>
            <w:proofErr w:type="spellEnd"/>
            <w:r w:rsidRPr="008F6C78">
              <w:rPr>
                <w:rFonts w:ascii="Calibri" w:hAnsi="Calibri" w:cs="Calibri"/>
              </w:rPr>
              <w:t xml:space="preserve"> charts for Accident and Near-miss reporting in Q3 indicate that our overall reporting level continues to see higher mean lines and broader acceptable bounds of variation</w:t>
            </w:r>
            <w:r>
              <w:rPr>
                <w:rFonts w:ascii="Calibri" w:hAnsi="Calibri" w:cs="Calibri"/>
              </w:rPr>
              <w:t xml:space="preserve">, noting the above. </w:t>
            </w:r>
          </w:p>
          <w:p w14:paraId="4A9090EC" w14:textId="77777777" w:rsidR="008610EA" w:rsidRPr="006F69ED" w:rsidRDefault="008610EA" w:rsidP="0046298B">
            <w:pPr>
              <w:rPr>
                <w:rFonts w:ascii="Calibri" w:hAnsi="Calibri" w:cs="Calibri"/>
                <w:color w:val="FF0000"/>
              </w:rPr>
            </w:pPr>
          </w:p>
          <w:p w14:paraId="27149716" w14:textId="77777777" w:rsidR="008610EA" w:rsidRDefault="008610EA" w:rsidP="0046298B">
            <w:pPr>
              <w:rPr>
                <w:rFonts w:ascii="Calibri" w:hAnsi="Calibri" w:cs="Calibri"/>
              </w:rPr>
            </w:pPr>
            <w:r w:rsidRPr="008F6C78">
              <w:rPr>
                <w:rFonts w:ascii="Calibri" w:hAnsi="Calibri" w:cs="Calibri"/>
              </w:rPr>
              <w:t>"Slip, trip or fall" or “hit by a moving, flying or falling object" were the commonest accident types reported. The incidents due to slip/trip/fall all occurred in outdoor settings. One incident that resulted in the partial overturn of an ATV did not cause any injuries or damage to the vehicle.</w:t>
            </w:r>
          </w:p>
          <w:p w14:paraId="5BF4E94D" w14:textId="77777777" w:rsidR="008610EA" w:rsidRDefault="008610EA" w:rsidP="0046298B">
            <w:pPr>
              <w:rPr>
                <w:rFonts w:ascii="Calibri" w:hAnsi="Calibri" w:cs="Calibri"/>
              </w:rPr>
            </w:pPr>
          </w:p>
          <w:p w14:paraId="5DA725A8" w14:textId="77777777" w:rsidR="008610EA" w:rsidRPr="008F6C78" w:rsidRDefault="008610EA" w:rsidP="0046298B">
            <w:pPr>
              <w:rPr>
                <w:color w:val="FF0000"/>
              </w:rPr>
            </w:pPr>
            <w:r w:rsidRPr="008F6C78">
              <w:rPr>
                <w:rFonts w:ascii="Calibri" w:hAnsi="Calibri" w:cs="Calibri"/>
              </w:rPr>
              <w:t>There are still only a small proportion (28%) of incidents being investigated.</w:t>
            </w:r>
          </w:p>
        </w:tc>
        <w:tc>
          <w:tcPr>
            <w:tcW w:w="654" w:type="pct"/>
            <w:vMerge w:val="restart"/>
          </w:tcPr>
          <w:p w14:paraId="705C9371" w14:textId="77777777" w:rsidR="008610EA" w:rsidRPr="008F6C78" w:rsidRDefault="008610EA" w:rsidP="0046298B">
            <w:pPr>
              <w:rPr>
                <w:rFonts w:ascii="Calibri" w:hAnsi="Calibri" w:cs="Calibri"/>
              </w:rPr>
            </w:pPr>
            <w:r w:rsidRPr="00AF21D4">
              <w:rPr>
                <w:rFonts w:ascii="Calibri" w:hAnsi="Calibri" w:cs="Calibri"/>
              </w:rPr>
              <w:t>Continue to promote the reporting of accidents and near-misses.  Monitor for completion of</w:t>
            </w:r>
            <w:r>
              <w:rPr>
                <w:rFonts w:ascii="Calibri" w:hAnsi="Calibri" w:cs="Calibri"/>
              </w:rPr>
              <w:t xml:space="preserve"> </w:t>
            </w:r>
            <w:r w:rsidRPr="00AF21D4">
              <w:rPr>
                <w:rFonts w:ascii="Calibri" w:hAnsi="Calibri" w:cs="Calibri"/>
              </w:rPr>
              <w:t xml:space="preserve">investigations </w:t>
            </w:r>
            <w:r>
              <w:rPr>
                <w:rFonts w:ascii="Calibri" w:hAnsi="Calibri" w:cs="Calibri"/>
              </w:rPr>
              <w:t xml:space="preserve">into the reported incidents </w:t>
            </w:r>
            <w:r w:rsidRPr="00AF21D4">
              <w:rPr>
                <w:rFonts w:ascii="Calibri" w:hAnsi="Calibri" w:cs="Calibri"/>
              </w:rPr>
              <w:t xml:space="preserve">and follow up to ensure </w:t>
            </w:r>
            <w:r>
              <w:rPr>
                <w:rFonts w:ascii="Calibri" w:hAnsi="Calibri" w:cs="Calibri"/>
              </w:rPr>
              <w:t xml:space="preserve">investigations </w:t>
            </w:r>
            <w:r w:rsidRPr="00AF21D4">
              <w:rPr>
                <w:rFonts w:ascii="Calibri" w:hAnsi="Calibri" w:cs="Calibri"/>
              </w:rPr>
              <w:t>are done</w:t>
            </w:r>
            <w:r w:rsidRPr="008F6C78">
              <w:rPr>
                <w:rFonts w:ascii="Calibri" w:hAnsi="Calibri" w:cs="Calibri"/>
              </w:rPr>
              <w:t>.</w:t>
            </w:r>
          </w:p>
          <w:p w14:paraId="2A914818" w14:textId="77777777" w:rsidR="008610EA" w:rsidRPr="008F6C78" w:rsidRDefault="008610EA" w:rsidP="0046298B">
            <w:pPr>
              <w:rPr>
                <w:rFonts w:ascii="Calibri" w:hAnsi="Calibri" w:cs="Calibri"/>
              </w:rPr>
            </w:pPr>
          </w:p>
          <w:p w14:paraId="228785E1" w14:textId="77777777" w:rsidR="008610EA" w:rsidRPr="008F6C78" w:rsidRDefault="008610EA" w:rsidP="0046298B">
            <w:pPr>
              <w:rPr>
                <w:rFonts w:ascii="Calibri" w:hAnsi="Calibri" w:cs="Calibri"/>
              </w:rPr>
            </w:pPr>
          </w:p>
          <w:p w14:paraId="4427D551" w14:textId="77777777" w:rsidR="008610EA" w:rsidRPr="008F6C78" w:rsidRDefault="008610EA" w:rsidP="0046298B">
            <w:pPr>
              <w:rPr>
                <w:rFonts w:ascii="Calibri" w:hAnsi="Calibri" w:cs="Calibri"/>
              </w:rPr>
            </w:pPr>
          </w:p>
        </w:tc>
      </w:tr>
      <w:tr w:rsidR="008610EA" w14:paraId="40E9B9B3" w14:textId="77777777" w:rsidTr="008610EA">
        <w:trPr>
          <w:trHeight w:val="143"/>
        </w:trPr>
        <w:tc>
          <w:tcPr>
            <w:tcW w:w="504" w:type="pct"/>
            <w:vMerge/>
          </w:tcPr>
          <w:p w14:paraId="7D29806D" w14:textId="77777777" w:rsidR="008610EA" w:rsidRPr="00517F75" w:rsidRDefault="008610EA" w:rsidP="0046298B">
            <w:pPr>
              <w:jc w:val="center"/>
              <w:rPr>
                <w:rFonts w:ascii="Calibri" w:hAnsi="Calibri" w:cs="Calibri"/>
                <w:b/>
                <w:color w:val="808080" w:themeColor="background1" w:themeShade="80"/>
              </w:rPr>
            </w:pPr>
          </w:p>
        </w:tc>
        <w:tc>
          <w:tcPr>
            <w:tcW w:w="253" w:type="pct"/>
          </w:tcPr>
          <w:p w14:paraId="3C30D49A" w14:textId="77777777" w:rsidR="008610EA" w:rsidRDefault="008610EA" w:rsidP="0046298B">
            <w:pPr>
              <w:rPr>
                <w:noProof/>
              </w:rPr>
            </w:pPr>
            <w:r>
              <w:rPr>
                <w:rFonts w:ascii="Calibri" w:hAnsi="Calibri" w:cs="Calibri"/>
                <w:noProof/>
                <w:color w:val="007DC3"/>
              </w:rPr>
              <mc:AlternateContent>
                <mc:Choice Requires="wps">
                  <w:drawing>
                    <wp:anchor distT="0" distB="0" distL="114300" distR="114300" simplePos="0" relativeHeight="251661312" behindDoc="0" locked="0" layoutInCell="1" allowOverlap="1" wp14:anchorId="2A91A511" wp14:editId="30764F13">
                      <wp:simplePos x="0" y="0"/>
                      <wp:positionH relativeFrom="column">
                        <wp:posOffset>67310</wp:posOffset>
                      </wp:positionH>
                      <wp:positionV relativeFrom="paragraph">
                        <wp:posOffset>72390</wp:posOffset>
                      </wp:positionV>
                      <wp:extent cx="161925" cy="152400"/>
                      <wp:effectExtent l="0" t="0" r="9525" b="0"/>
                      <wp:wrapNone/>
                      <wp:docPr id="291098883"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DC20F6" id="Flowchart: Connector 1" o:spid="_x0000_s1026" type="#_x0000_t120" style="position:absolute;margin-left:5.3pt;margin-top:5.7pt;width:12.7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" fillcolor="#00b050" stroked="f" strokeweight="2pt"/>
                  </w:pict>
                </mc:Fallback>
              </mc:AlternateContent>
            </w:r>
          </w:p>
        </w:tc>
        <w:tc>
          <w:tcPr>
            <w:tcW w:w="2037" w:type="pct"/>
          </w:tcPr>
          <w:p w14:paraId="3858ED4A" w14:textId="77777777" w:rsidR="008610EA" w:rsidRDefault="008610EA" w:rsidP="0046298B">
            <w:pPr>
              <w:rPr>
                <w:noProof/>
              </w:rPr>
            </w:pPr>
            <w:r>
              <w:rPr>
                <w:noProof/>
              </w:rPr>
              <w:drawing>
                <wp:inline distT="0" distB="0" distL="0" distR="0" wp14:anchorId="45C453D5" wp14:editId="1A8E74B6">
                  <wp:extent cx="3632835" cy="2090420"/>
                  <wp:effectExtent l="0" t="0" r="5715" b="5080"/>
                  <wp:docPr id="850586301" name="Picture 1"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86301" name="Picture 1" descr="A graph with a line and a line&#10;&#10;Description automatically generated"/>
                          <pic:cNvPicPr/>
                        </pic:nvPicPr>
                        <pic:blipFill>
                          <a:blip r:embed="rId55"/>
                          <a:stretch>
                            <a:fillRect/>
                          </a:stretch>
                        </pic:blipFill>
                        <pic:spPr>
                          <a:xfrm>
                            <a:off x="0" y="0"/>
                            <a:ext cx="3632835" cy="2090420"/>
                          </a:xfrm>
                          <a:prstGeom prst="rect">
                            <a:avLst/>
                          </a:prstGeom>
                        </pic:spPr>
                      </pic:pic>
                    </a:graphicData>
                  </a:graphic>
                </wp:inline>
              </w:drawing>
            </w:r>
          </w:p>
          <w:p w14:paraId="46940573" w14:textId="77777777" w:rsidR="008610EA" w:rsidRDefault="008610EA" w:rsidP="0046298B">
            <w:pPr>
              <w:rPr>
                <w:noProof/>
              </w:rPr>
            </w:pPr>
            <w:r>
              <w:rPr>
                <w:rFonts w:ascii="Calibri" w:eastAsia="Times New Roman" w:hAnsi="Calibri" w:cs="Calibri"/>
                <w:lang w:eastAsia="en-GB"/>
              </w:rPr>
              <w:t>(This graph shows number of near misses)</w:t>
            </w:r>
          </w:p>
        </w:tc>
        <w:tc>
          <w:tcPr>
            <w:tcW w:w="326" w:type="pct"/>
          </w:tcPr>
          <w:p w14:paraId="37A1F740" w14:textId="77777777" w:rsidR="008610EA" w:rsidRPr="008A377F" w:rsidRDefault="008610EA" w:rsidP="0046298B">
            <w:pPr>
              <w:rPr>
                <w:rFonts w:ascii="Calibri" w:hAnsi="Calibri" w:cs="Calibri"/>
              </w:rPr>
            </w:pPr>
            <w:r>
              <w:rPr>
                <w:rFonts w:ascii="Calibri" w:hAnsi="Calibri" w:cs="Calibri"/>
              </w:rPr>
              <w:t>8</w:t>
            </w:r>
          </w:p>
        </w:tc>
        <w:tc>
          <w:tcPr>
            <w:tcW w:w="1225" w:type="pct"/>
            <w:vMerge/>
          </w:tcPr>
          <w:p w14:paraId="5B97305C" w14:textId="77777777" w:rsidR="008610EA" w:rsidRPr="008A377F" w:rsidRDefault="008610EA" w:rsidP="0046298B">
            <w:pPr>
              <w:spacing w:line="276" w:lineRule="auto"/>
              <w:ind w:right="340"/>
              <w:rPr>
                <w:rFonts w:ascii="Calibri" w:hAnsi="Calibri" w:cs="Calibri"/>
              </w:rPr>
            </w:pPr>
          </w:p>
        </w:tc>
        <w:tc>
          <w:tcPr>
            <w:tcW w:w="654" w:type="pct"/>
            <w:vMerge/>
          </w:tcPr>
          <w:p w14:paraId="522718A8" w14:textId="77777777" w:rsidR="008610EA" w:rsidRDefault="008610EA" w:rsidP="0046298B"/>
        </w:tc>
      </w:tr>
      <w:tr w:rsidR="008610EA" w14:paraId="27D5DBB1" w14:textId="77777777" w:rsidTr="008610EA">
        <w:trPr>
          <w:trHeight w:val="4872"/>
        </w:trPr>
        <w:tc>
          <w:tcPr>
            <w:tcW w:w="504" w:type="pct"/>
          </w:tcPr>
          <w:p w14:paraId="6185EB9B" w14:textId="77777777" w:rsidR="008610EA" w:rsidRPr="00256952" w:rsidRDefault="008610EA" w:rsidP="0046298B">
            <w:pPr>
              <w:rPr>
                <w:rFonts w:ascii="Calibri" w:hAnsi="Calibri" w:cs="Calibri"/>
                <w:b/>
                <w:color w:val="808080" w:themeColor="background1" w:themeShade="80"/>
              </w:rPr>
            </w:pPr>
            <w:r>
              <w:rPr>
                <w:rFonts w:ascii="Calibri" w:hAnsi="Calibri" w:cs="Calibri"/>
                <w:b/>
              </w:rPr>
              <w:lastRenderedPageBreak/>
              <w:t xml:space="preserve">Attendance </w:t>
            </w:r>
          </w:p>
        </w:tc>
        <w:tc>
          <w:tcPr>
            <w:tcW w:w="253" w:type="pct"/>
          </w:tcPr>
          <w:p w14:paraId="69AC8281" w14:textId="77777777" w:rsidR="008610EA" w:rsidRDefault="008610EA" w:rsidP="0046298B">
            <w:pPr>
              <w:rPr>
                <w:noProof/>
              </w:rPr>
            </w:pPr>
            <w:r>
              <w:rPr>
                <w:rFonts w:ascii="Calibri" w:hAnsi="Calibri" w:cs="Calibri"/>
                <w:noProof/>
                <w:color w:val="007DC3"/>
              </w:rPr>
              <mc:AlternateContent>
                <mc:Choice Requires="wps">
                  <w:drawing>
                    <wp:anchor distT="0" distB="0" distL="114300" distR="114300" simplePos="0" relativeHeight="251662336" behindDoc="0" locked="0" layoutInCell="1" allowOverlap="1" wp14:anchorId="472AD92F" wp14:editId="51DAC7D9">
                      <wp:simplePos x="0" y="0"/>
                      <wp:positionH relativeFrom="column">
                        <wp:posOffset>48260</wp:posOffset>
                      </wp:positionH>
                      <wp:positionV relativeFrom="paragraph">
                        <wp:posOffset>55245</wp:posOffset>
                      </wp:positionV>
                      <wp:extent cx="161925" cy="152400"/>
                      <wp:effectExtent l="0" t="0" r="9525" b="0"/>
                      <wp:wrapNone/>
                      <wp:docPr id="486179019"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05B43D" id="Flowchart: Connector 1" o:spid="_x0000_s1026" type="#_x0000_t120" style="position:absolute;margin-left:3.8pt;margin-top:4.35pt;width:12.7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" fillcolor="#00b050" stroked="f" strokeweight="2pt"/>
                  </w:pict>
                </mc:Fallback>
              </mc:AlternateContent>
            </w:r>
          </w:p>
          <w:p w14:paraId="1A178FF8" w14:textId="77777777" w:rsidR="008610EA" w:rsidRDefault="008610EA" w:rsidP="0046298B">
            <w:pPr>
              <w:rPr>
                <w:noProof/>
              </w:rPr>
            </w:pPr>
          </w:p>
        </w:tc>
        <w:tc>
          <w:tcPr>
            <w:tcW w:w="2037" w:type="pct"/>
          </w:tcPr>
          <w:p w14:paraId="14FACF4C" w14:textId="77777777" w:rsidR="008610EA" w:rsidRDefault="008610EA" w:rsidP="0046298B">
            <w:pPr>
              <w:rPr>
                <w:noProof/>
              </w:rPr>
            </w:pPr>
            <w:r>
              <w:rPr>
                <w:noProof/>
              </w:rPr>
              <w:drawing>
                <wp:inline distT="0" distB="0" distL="0" distR="0" wp14:anchorId="5131BFA0" wp14:editId="66203711">
                  <wp:extent cx="3632835" cy="1915160"/>
                  <wp:effectExtent l="0" t="0" r="5715" b="8890"/>
                  <wp:docPr id="1121234425" name="Picture 1"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34425" name="Picture 1" descr="A graph with a line and a line&#10;&#10;Description automatically generated"/>
                          <pic:cNvPicPr/>
                        </pic:nvPicPr>
                        <pic:blipFill>
                          <a:blip r:embed="rId56"/>
                          <a:stretch>
                            <a:fillRect/>
                          </a:stretch>
                        </pic:blipFill>
                        <pic:spPr>
                          <a:xfrm>
                            <a:off x="0" y="0"/>
                            <a:ext cx="3632835" cy="1915160"/>
                          </a:xfrm>
                          <a:prstGeom prst="rect">
                            <a:avLst/>
                          </a:prstGeom>
                        </pic:spPr>
                      </pic:pic>
                    </a:graphicData>
                  </a:graphic>
                </wp:inline>
              </w:drawing>
            </w:r>
          </w:p>
          <w:p w14:paraId="74EF64E8" w14:textId="77777777" w:rsidR="008610EA" w:rsidRPr="005166C6" w:rsidRDefault="008610EA" w:rsidP="0046298B">
            <w:pPr>
              <w:rPr>
                <w:rFonts w:ascii="Calibri" w:hAnsi="Calibri" w:cs="Calibri"/>
                <w:noProof/>
              </w:rPr>
            </w:pPr>
            <w:r w:rsidRPr="005166C6">
              <w:rPr>
                <w:rFonts w:ascii="Calibri" w:hAnsi="Calibri" w:cs="Calibri"/>
                <w:noProof/>
              </w:rPr>
              <w:t>(This graph shows the number of sick day taken each quarter per employee from 2020 to date)</w:t>
            </w:r>
          </w:p>
        </w:tc>
        <w:tc>
          <w:tcPr>
            <w:tcW w:w="326" w:type="pct"/>
          </w:tcPr>
          <w:p w14:paraId="1EFF115E" w14:textId="77777777" w:rsidR="008610EA" w:rsidRPr="00256952" w:rsidRDefault="008610EA" w:rsidP="0046298B">
            <w:pPr>
              <w:rPr>
                <w:rFonts w:ascii="Calibri" w:hAnsi="Calibri" w:cs="Calibri"/>
              </w:rPr>
            </w:pPr>
            <w:r>
              <w:rPr>
                <w:rFonts w:ascii="Calibri" w:hAnsi="Calibri" w:cs="Calibri"/>
              </w:rPr>
              <w:t xml:space="preserve">1.71 days </w:t>
            </w:r>
          </w:p>
        </w:tc>
        <w:tc>
          <w:tcPr>
            <w:tcW w:w="1225" w:type="pct"/>
            <w:vAlign w:val="center"/>
          </w:tcPr>
          <w:p w14:paraId="3A4A0B01" w14:textId="7199E1E7" w:rsidR="008610EA" w:rsidRPr="00256952" w:rsidRDefault="009C5409" w:rsidP="0046298B">
            <w:pPr>
              <w:spacing w:after="200"/>
              <w:rPr>
                <w:rFonts w:ascii="Calibri" w:hAnsi="Calibri" w:cs="Calibri"/>
              </w:rPr>
            </w:pPr>
            <w:r>
              <w:rPr>
                <w:rFonts w:ascii="Calibri" w:hAnsi="Calibri" w:cs="Calibri"/>
              </w:rPr>
              <w:t>W</w:t>
            </w:r>
            <w:r w:rsidR="008610EA">
              <w:rPr>
                <w:rFonts w:ascii="Calibri" w:hAnsi="Calibri" w:cs="Calibri"/>
              </w:rPr>
              <w:t>e saw an increase in our sick days per person from 1.43 days to 1.71 days (</w:t>
            </w:r>
            <w:r w:rsidR="008610EA" w:rsidRPr="00256952">
              <w:rPr>
                <w:rFonts w:ascii="Calibri" w:hAnsi="Calibri" w:cs="Calibri"/>
              </w:rPr>
              <w:t>↑0.</w:t>
            </w:r>
            <w:r w:rsidR="008610EA">
              <w:rPr>
                <w:rFonts w:ascii="Calibri" w:hAnsi="Calibri" w:cs="Calibri"/>
              </w:rPr>
              <w:t>28</w:t>
            </w:r>
            <w:r w:rsidR="008610EA" w:rsidRPr="00256952">
              <w:rPr>
                <w:rFonts w:ascii="Calibri" w:hAnsi="Calibri" w:cs="Calibri"/>
              </w:rPr>
              <w:t xml:space="preserve">days). </w:t>
            </w:r>
          </w:p>
          <w:p w14:paraId="4595069F" w14:textId="377C44CB" w:rsidR="008610EA" w:rsidRDefault="008610EA" w:rsidP="0046298B">
            <w:pPr>
              <w:spacing w:after="200"/>
              <w:rPr>
                <w:rFonts w:ascii="Calibri" w:hAnsi="Calibri" w:cs="Calibri"/>
              </w:rPr>
            </w:pPr>
            <w:r>
              <w:rPr>
                <w:rFonts w:ascii="Calibri" w:hAnsi="Calibri" w:cs="Calibri"/>
              </w:rPr>
              <w:t>Mental Health – Personal Stress/Depression and Anxiety absences make up the bulk of lost time and has increased significantly since Q2 from 160.5 days to 302.5 days (</w:t>
            </w:r>
            <w:r w:rsidRPr="00256952">
              <w:rPr>
                <w:rFonts w:ascii="Calibri" w:hAnsi="Calibri" w:cs="Calibri"/>
              </w:rPr>
              <w:t>↑</w:t>
            </w:r>
            <w:r>
              <w:rPr>
                <w:rFonts w:ascii="Calibri" w:hAnsi="Calibri" w:cs="Calibri"/>
              </w:rPr>
              <w:t xml:space="preserve">142days) </w:t>
            </w:r>
          </w:p>
          <w:p w14:paraId="012BD2C3" w14:textId="6EEA97AA" w:rsidR="008610EA" w:rsidRPr="00256952" w:rsidRDefault="008610EA" w:rsidP="0046298B">
            <w:pPr>
              <w:spacing w:after="200"/>
              <w:rPr>
                <w:rFonts w:ascii="Calibri" w:hAnsi="Calibri" w:cs="Calibri"/>
              </w:rPr>
            </w:pPr>
            <w:r w:rsidRPr="00256952">
              <w:rPr>
                <w:rFonts w:ascii="Calibri" w:hAnsi="Calibri" w:cs="Calibri"/>
              </w:rPr>
              <w:t>Short-term absences continue to be the bulk of working time lost. The top reason for short-term sickness</w:t>
            </w:r>
            <w:r>
              <w:rPr>
                <w:rFonts w:ascii="Calibri" w:hAnsi="Calibri" w:cs="Calibri"/>
              </w:rPr>
              <w:t xml:space="preserve"> was Ear, nose, throat, mouth, and eye</w:t>
            </w:r>
            <w:r w:rsidRPr="00256952">
              <w:rPr>
                <w:rFonts w:ascii="Calibri" w:hAnsi="Calibri" w:cs="Calibri"/>
              </w:rPr>
              <w:t xml:space="preserve"> with 2</w:t>
            </w:r>
            <w:r>
              <w:rPr>
                <w:rFonts w:ascii="Calibri" w:hAnsi="Calibri" w:cs="Calibri"/>
              </w:rPr>
              <w:t>29.5</w:t>
            </w:r>
            <w:r w:rsidRPr="00256952">
              <w:rPr>
                <w:rFonts w:ascii="Calibri" w:hAnsi="Calibri" w:cs="Calibri"/>
              </w:rPr>
              <w:t xml:space="preserve"> days lost </w:t>
            </w:r>
            <w:r>
              <w:rPr>
                <w:rFonts w:ascii="Calibri" w:hAnsi="Calibri" w:cs="Calibri"/>
              </w:rPr>
              <w:t>(132 days in Q2,</w:t>
            </w:r>
            <w:r w:rsidRPr="00256952">
              <w:rPr>
                <w:rFonts w:ascii="Calibri" w:hAnsi="Calibri" w:cs="Calibri"/>
              </w:rPr>
              <w:t xml:space="preserve"> ↑ </w:t>
            </w:r>
            <w:r>
              <w:rPr>
                <w:rFonts w:ascii="Calibri" w:hAnsi="Calibri" w:cs="Calibri"/>
              </w:rPr>
              <w:t>97.5</w:t>
            </w:r>
            <w:r w:rsidRPr="00256952">
              <w:rPr>
                <w:rFonts w:ascii="Calibri" w:hAnsi="Calibri" w:cs="Calibri"/>
              </w:rPr>
              <w:t xml:space="preserve"> days).</w:t>
            </w:r>
            <w:r>
              <w:rPr>
                <w:rFonts w:ascii="Calibri" w:hAnsi="Calibri" w:cs="Calibri"/>
              </w:rPr>
              <w:t xml:space="preserve"> </w:t>
            </w:r>
          </w:p>
        </w:tc>
        <w:tc>
          <w:tcPr>
            <w:tcW w:w="654" w:type="pct"/>
          </w:tcPr>
          <w:p w14:paraId="094143E2" w14:textId="77777777" w:rsidR="008610EA" w:rsidRPr="00135430" w:rsidRDefault="008610EA" w:rsidP="0046298B">
            <w:pPr>
              <w:rPr>
                <w:rFonts w:ascii="Calibri" w:hAnsi="Calibri" w:cs="Calibri"/>
              </w:rPr>
            </w:pPr>
            <w:r w:rsidRPr="00135430">
              <w:rPr>
                <w:rFonts w:ascii="Calibri" w:hAnsi="Calibri" w:cs="Calibri"/>
              </w:rPr>
              <w:t xml:space="preserve">The implementation of the </w:t>
            </w:r>
            <w:r>
              <w:rPr>
                <w:rFonts w:ascii="Calibri" w:hAnsi="Calibri" w:cs="Calibri"/>
              </w:rPr>
              <w:t>HSE S</w:t>
            </w:r>
            <w:r w:rsidRPr="00135430">
              <w:rPr>
                <w:rFonts w:ascii="Calibri" w:hAnsi="Calibri" w:cs="Calibri"/>
              </w:rPr>
              <w:t xml:space="preserve">tress </w:t>
            </w:r>
            <w:r>
              <w:rPr>
                <w:rFonts w:ascii="Calibri" w:hAnsi="Calibri" w:cs="Calibri"/>
              </w:rPr>
              <w:t>I</w:t>
            </w:r>
            <w:r w:rsidRPr="00135430">
              <w:rPr>
                <w:rFonts w:ascii="Calibri" w:hAnsi="Calibri" w:cs="Calibri"/>
              </w:rPr>
              <w:t xml:space="preserve">ndicator </w:t>
            </w:r>
            <w:r>
              <w:rPr>
                <w:rFonts w:ascii="Calibri" w:hAnsi="Calibri" w:cs="Calibri"/>
              </w:rPr>
              <w:t>T</w:t>
            </w:r>
            <w:r w:rsidRPr="00135430">
              <w:rPr>
                <w:rFonts w:ascii="Calibri" w:hAnsi="Calibri" w:cs="Calibri"/>
              </w:rPr>
              <w:t>ool in Q4 will strengthen proactive action around stress</w:t>
            </w:r>
            <w:r>
              <w:rPr>
                <w:rFonts w:ascii="Calibri" w:hAnsi="Calibri" w:cs="Calibri"/>
              </w:rPr>
              <w:t>,</w:t>
            </w:r>
            <w:r w:rsidRPr="00135430">
              <w:rPr>
                <w:rFonts w:ascii="Calibri" w:hAnsi="Calibri" w:cs="Calibri"/>
              </w:rPr>
              <w:t xml:space="preserve"> to support employees and managers to identify and manage their stress indicators. </w:t>
            </w:r>
          </w:p>
        </w:tc>
      </w:tr>
      <w:tr w:rsidR="008610EA" w14:paraId="59A2CB9C" w14:textId="77777777" w:rsidTr="008610EA">
        <w:trPr>
          <w:trHeight w:val="737"/>
        </w:trPr>
        <w:tc>
          <w:tcPr>
            <w:tcW w:w="504" w:type="pct"/>
          </w:tcPr>
          <w:p w14:paraId="5259E92F" w14:textId="77777777" w:rsidR="008610EA" w:rsidRPr="0042244B" w:rsidRDefault="008610EA" w:rsidP="0046298B">
            <w:pPr>
              <w:rPr>
                <w:rFonts w:ascii="Calibri" w:hAnsi="Calibri" w:cs="Calibri"/>
                <w:b/>
                <w:color w:val="808080" w:themeColor="background1" w:themeShade="80"/>
              </w:rPr>
            </w:pPr>
            <w:r>
              <w:rPr>
                <w:rFonts w:ascii="Calibri" w:hAnsi="Calibri" w:cs="Calibri"/>
                <w:b/>
              </w:rPr>
              <w:t>Workforce Profile</w:t>
            </w:r>
          </w:p>
        </w:tc>
        <w:tc>
          <w:tcPr>
            <w:tcW w:w="253" w:type="pct"/>
          </w:tcPr>
          <w:p w14:paraId="5E538408" w14:textId="77777777" w:rsidR="008610EA" w:rsidRDefault="008610EA" w:rsidP="0046298B">
            <w:pPr>
              <w:rPr>
                <w:noProof/>
              </w:rPr>
            </w:pPr>
            <w:r>
              <w:rPr>
                <w:rFonts w:ascii="Calibri" w:hAnsi="Calibri" w:cs="Calibri"/>
                <w:noProof/>
                <w:color w:val="007DC3"/>
              </w:rPr>
              <mc:AlternateContent>
                <mc:Choice Requires="wps">
                  <w:drawing>
                    <wp:anchor distT="0" distB="0" distL="114300" distR="114300" simplePos="0" relativeHeight="251663360" behindDoc="0" locked="0" layoutInCell="1" allowOverlap="1" wp14:anchorId="6A01F2E2" wp14:editId="67CFB785">
                      <wp:simplePos x="0" y="0"/>
                      <wp:positionH relativeFrom="column">
                        <wp:posOffset>57785</wp:posOffset>
                      </wp:positionH>
                      <wp:positionV relativeFrom="paragraph">
                        <wp:posOffset>64770</wp:posOffset>
                      </wp:positionV>
                      <wp:extent cx="161925" cy="152400"/>
                      <wp:effectExtent l="0" t="0" r="9525" b="0"/>
                      <wp:wrapNone/>
                      <wp:docPr id="501213351"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8B756C" id="Flowchart: Connector 1" o:spid="_x0000_s1026" type="#_x0000_t120" style="position:absolute;margin-left:4.55pt;margin-top:5.1pt;width:12.7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" fillcolor="#00b050" stroked="f" strokeweight="2pt"/>
                  </w:pict>
                </mc:Fallback>
              </mc:AlternateContent>
            </w:r>
          </w:p>
          <w:p w14:paraId="44FD01DF" w14:textId="77777777" w:rsidR="008610EA" w:rsidRDefault="008610EA" w:rsidP="0046298B">
            <w:pPr>
              <w:rPr>
                <w:noProof/>
              </w:rPr>
            </w:pPr>
          </w:p>
        </w:tc>
        <w:tc>
          <w:tcPr>
            <w:tcW w:w="2037" w:type="pct"/>
          </w:tcPr>
          <w:p w14:paraId="14A5DC05" w14:textId="1209FB0B" w:rsidR="00381DC4" w:rsidRPr="00381DC4" w:rsidRDefault="00381DC4" w:rsidP="00381DC4">
            <w:pPr>
              <w:rPr>
                <w:rFonts w:ascii="Calibri" w:eastAsia="Times New Roman" w:hAnsi="Calibri" w:cs="Calibri"/>
                <w:b/>
                <w:szCs w:val="24"/>
              </w:rPr>
            </w:pPr>
            <w:r w:rsidRPr="00381DC4">
              <w:rPr>
                <w:rFonts w:ascii="Calibri" w:eastAsia="Times New Roman" w:hAnsi="Calibri" w:cs="Calibri"/>
                <w:b/>
                <w:noProof/>
                <w:szCs w:val="24"/>
              </w:rPr>
              <w:drawing>
                <wp:inline distT="0" distB="0" distL="0" distR="0" wp14:anchorId="65DE1A5A" wp14:editId="1454BE01">
                  <wp:extent cx="3871595" cy="2205990"/>
                  <wp:effectExtent l="0" t="0" r="0" b="3810"/>
                  <wp:docPr id="820452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71595" cy="2205990"/>
                          </a:xfrm>
                          <a:prstGeom prst="rect">
                            <a:avLst/>
                          </a:prstGeom>
                          <a:noFill/>
                          <a:ln>
                            <a:noFill/>
                          </a:ln>
                        </pic:spPr>
                      </pic:pic>
                    </a:graphicData>
                  </a:graphic>
                </wp:inline>
              </w:drawing>
            </w:r>
          </w:p>
          <w:p w14:paraId="54F777C3" w14:textId="4750D932" w:rsidR="00381DC4" w:rsidRPr="00C10476" w:rsidRDefault="00381DC4" w:rsidP="00381DC4">
            <w:pPr>
              <w:rPr>
                <w:rFonts w:ascii="Calibri" w:eastAsia="Times New Roman" w:hAnsi="Calibri" w:cs="Calibri"/>
                <w:b/>
                <w:szCs w:val="24"/>
              </w:rPr>
            </w:pPr>
          </w:p>
          <w:p w14:paraId="393D8F1F" w14:textId="291991B4" w:rsidR="008610EA" w:rsidRDefault="008610EA" w:rsidP="0046298B">
            <w:pPr>
              <w:rPr>
                <w:noProof/>
              </w:rPr>
            </w:pPr>
          </w:p>
          <w:p w14:paraId="09A85A34" w14:textId="77777777" w:rsidR="008610EA" w:rsidRPr="00A51C97" w:rsidRDefault="008610EA" w:rsidP="0046298B">
            <w:pPr>
              <w:textAlignment w:val="baseline"/>
              <w:rPr>
                <w:rFonts w:ascii="Calibri" w:eastAsia="Times New Roman" w:hAnsi="Calibri" w:cs="Calibri"/>
                <w:bCs/>
                <w:lang w:eastAsia="en-GB"/>
              </w:rPr>
            </w:pPr>
            <w:r w:rsidRPr="00AC2393">
              <w:rPr>
                <w:rFonts w:ascii="Calibri" w:eastAsia="Times New Roman" w:hAnsi="Calibri" w:cs="Calibri"/>
                <w:bCs/>
                <w:lang w:eastAsia="en-GB"/>
              </w:rPr>
              <w:t>(This graph shows the employee turnover)</w:t>
            </w:r>
          </w:p>
        </w:tc>
        <w:tc>
          <w:tcPr>
            <w:tcW w:w="326" w:type="pct"/>
          </w:tcPr>
          <w:p w14:paraId="1A992A60" w14:textId="77777777" w:rsidR="008610EA" w:rsidRPr="009A671A" w:rsidRDefault="008610EA" w:rsidP="0046298B">
            <w:pPr>
              <w:rPr>
                <w:rFonts w:ascii="Calibri" w:hAnsi="Calibri" w:cs="Calibri"/>
                <w:color w:val="808080" w:themeColor="background1" w:themeShade="80"/>
              </w:rPr>
            </w:pPr>
            <w:r w:rsidRPr="00085B2F">
              <w:rPr>
                <w:rFonts w:ascii="Calibri" w:hAnsi="Calibri" w:cs="Calibri"/>
              </w:rPr>
              <w:t>9%</w:t>
            </w:r>
          </w:p>
        </w:tc>
        <w:tc>
          <w:tcPr>
            <w:tcW w:w="1225" w:type="pct"/>
          </w:tcPr>
          <w:p w14:paraId="46F1D56D" w14:textId="64B6B1D6" w:rsidR="008610EA" w:rsidRDefault="008610EA" w:rsidP="0046298B">
            <w:pPr>
              <w:spacing w:after="200"/>
              <w:rPr>
                <w:rFonts w:ascii="Calibri" w:hAnsi="Calibri" w:cs="Calibri"/>
              </w:rPr>
            </w:pPr>
            <w:r>
              <w:rPr>
                <w:rFonts w:ascii="Calibri" w:hAnsi="Calibri" w:cs="Calibri"/>
              </w:rPr>
              <w:t xml:space="preserve">Annual </w:t>
            </w:r>
            <w:r w:rsidRPr="0042244B">
              <w:rPr>
                <w:rFonts w:ascii="Calibri" w:hAnsi="Calibri" w:cs="Calibri"/>
              </w:rPr>
              <w:t xml:space="preserve">Turnover </w:t>
            </w:r>
            <w:r>
              <w:rPr>
                <w:rFonts w:ascii="Calibri" w:hAnsi="Calibri" w:cs="Calibri"/>
              </w:rPr>
              <w:t>was</w:t>
            </w:r>
            <w:r w:rsidRPr="0042244B">
              <w:rPr>
                <w:rFonts w:ascii="Calibri" w:hAnsi="Calibri" w:cs="Calibri"/>
              </w:rPr>
              <w:t xml:space="preserve"> </w:t>
            </w:r>
            <w:r>
              <w:rPr>
                <w:rFonts w:ascii="Calibri" w:hAnsi="Calibri" w:cs="Calibri"/>
              </w:rPr>
              <w:t>9</w:t>
            </w:r>
            <w:r w:rsidRPr="0042244B">
              <w:rPr>
                <w:rFonts w:ascii="Calibri" w:hAnsi="Calibri" w:cs="Calibri"/>
              </w:rPr>
              <w:t>%</w:t>
            </w:r>
            <w:r>
              <w:rPr>
                <w:rFonts w:ascii="Calibri" w:hAnsi="Calibri" w:cs="Calibri"/>
              </w:rPr>
              <w:t>.</w:t>
            </w:r>
            <w:r w:rsidRPr="0042244B">
              <w:rPr>
                <w:rFonts w:ascii="Calibri" w:hAnsi="Calibri" w:cs="Calibri"/>
              </w:rPr>
              <w:t xml:space="preserve"> </w:t>
            </w:r>
            <w:r>
              <w:rPr>
                <w:rFonts w:ascii="Calibri" w:hAnsi="Calibri" w:cs="Calibri"/>
              </w:rPr>
              <w:t>Our annual turnover by contract type is:</w:t>
            </w:r>
          </w:p>
          <w:p w14:paraId="46958D37" w14:textId="77777777" w:rsidR="008610EA" w:rsidRDefault="008610EA" w:rsidP="0046298B">
            <w:pPr>
              <w:spacing w:after="200"/>
              <w:rPr>
                <w:rFonts w:ascii="Calibri" w:hAnsi="Calibri" w:cs="Calibri"/>
              </w:rPr>
            </w:pPr>
            <w:r>
              <w:rPr>
                <w:rFonts w:ascii="Calibri" w:hAnsi="Calibri" w:cs="Calibri"/>
              </w:rPr>
              <w:t>4% - Fixed Term Employees</w:t>
            </w:r>
          </w:p>
          <w:p w14:paraId="72575B62" w14:textId="77777777" w:rsidR="008610EA" w:rsidRPr="0042244B" w:rsidRDefault="008610EA" w:rsidP="0046298B">
            <w:pPr>
              <w:spacing w:after="200"/>
              <w:rPr>
                <w:rFonts w:ascii="Calibri" w:hAnsi="Calibri" w:cs="Calibri"/>
              </w:rPr>
            </w:pPr>
            <w:r>
              <w:rPr>
                <w:rFonts w:ascii="Calibri" w:hAnsi="Calibri" w:cs="Calibri"/>
              </w:rPr>
              <w:t>5% - Permanent Employees.</w:t>
            </w:r>
          </w:p>
          <w:p w14:paraId="1C59A7BA" w14:textId="77777777" w:rsidR="008610EA" w:rsidRPr="0042244B" w:rsidRDefault="008610EA" w:rsidP="0046298B">
            <w:pPr>
              <w:spacing w:after="200"/>
              <w:rPr>
                <w:rFonts w:ascii="Calibri" w:hAnsi="Calibri" w:cs="Calibri"/>
              </w:rPr>
            </w:pPr>
            <w:r w:rsidRPr="0042244B">
              <w:rPr>
                <w:rFonts w:ascii="Calibri" w:hAnsi="Calibri" w:cs="Calibri"/>
              </w:rPr>
              <w:t xml:space="preserve">There were </w:t>
            </w:r>
            <w:r>
              <w:rPr>
                <w:rFonts w:ascii="Calibri" w:hAnsi="Calibri" w:cs="Calibri"/>
              </w:rPr>
              <w:t>23</w:t>
            </w:r>
            <w:r w:rsidRPr="0042244B">
              <w:rPr>
                <w:rFonts w:ascii="Calibri" w:hAnsi="Calibri" w:cs="Calibri"/>
              </w:rPr>
              <w:t xml:space="preserve"> leavers in Q</w:t>
            </w:r>
            <w:r>
              <w:rPr>
                <w:rFonts w:ascii="Calibri" w:hAnsi="Calibri" w:cs="Calibri"/>
              </w:rPr>
              <w:t>3,</w:t>
            </w:r>
            <w:r w:rsidRPr="0042244B">
              <w:rPr>
                <w:rFonts w:ascii="Calibri" w:hAnsi="Calibri" w:cs="Calibri"/>
              </w:rPr>
              <w:t xml:space="preserve"> of which </w:t>
            </w:r>
            <w:r>
              <w:rPr>
                <w:rFonts w:ascii="Calibri" w:hAnsi="Calibri" w:cs="Calibri"/>
              </w:rPr>
              <w:t>57</w:t>
            </w:r>
            <w:r w:rsidRPr="0042244B">
              <w:rPr>
                <w:rFonts w:ascii="Calibri" w:hAnsi="Calibri" w:cs="Calibri"/>
              </w:rPr>
              <w:t xml:space="preserve">% of </w:t>
            </w:r>
            <w:r>
              <w:rPr>
                <w:rFonts w:ascii="Calibri" w:hAnsi="Calibri" w:cs="Calibri"/>
              </w:rPr>
              <w:t>leavers were leaving because their fixed term contracts were ending, 22% left due to personal reasons, 17% were retirements and 4% left to move to alternative employment.</w:t>
            </w:r>
            <w:r w:rsidRPr="0042244B">
              <w:rPr>
                <w:rFonts w:ascii="Calibri" w:hAnsi="Calibri" w:cs="Calibri"/>
              </w:rPr>
              <w:t xml:space="preserve"> </w:t>
            </w:r>
          </w:p>
          <w:p w14:paraId="36845E6A" w14:textId="77777777" w:rsidR="008610EA" w:rsidRPr="00135430" w:rsidRDefault="008610EA" w:rsidP="0046298B">
            <w:pPr>
              <w:spacing w:after="200"/>
              <w:rPr>
                <w:rFonts w:ascii="Calibri" w:hAnsi="Calibri" w:cs="Calibri"/>
              </w:rPr>
            </w:pPr>
            <w:r w:rsidRPr="00135430">
              <w:rPr>
                <w:rFonts w:ascii="Calibri" w:hAnsi="Calibri" w:cs="Calibri"/>
              </w:rPr>
              <w:lastRenderedPageBreak/>
              <w:t>Turnover since Q3 2023/24 has been consistently between 8-9%.</w:t>
            </w:r>
          </w:p>
        </w:tc>
        <w:tc>
          <w:tcPr>
            <w:tcW w:w="654" w:type="pct"/>
          </w:tcPr>
          <w:p w14:paraId="0F26EC2A" w14:textId="77777777" w:rsidR="008610EA" w:rsidRPr="00135430" w:rsidRDefault="008610EA" w:rsidP="0046298B">
            <w:pPr>
              <w:rPr>
                <w:rFonts w:ascii="Calibri" w:hAnsi="Calibri" w:cs="Calibri"/>
              </w:rPr>
            </w:pPr>
            <w:r>
              <w:rPr>
                <w:rFonts w:ascii="Calibri" w:hAnsi="Calibri" w:cs="Calibri"/>
              </w:rPr>
              <w:lastRenderedPageBreak/>
              <w:t>P&amp;OD will c</w:t>
            </w:r>
            <w:r w:rsidRPr="00135430">
              <w:rPr>
                <w:rFonts w:ascii="Calibri" w:hAnsi="Calibri" w:cs="Calibri"/>
              </w:rPr>
              <w:t xml:space="preserve">ontinue to analyse the </w:t>
            </w:r>
            <w:r>
              <w:rPr>
                <w:rFonts w:ascii="Calibri" w:hAnsi="Calibri" w:cs="Calibri"/>
              </w:rPr>
              <w:t>E</w:t>
            </w:r>
            <w:r w:rsidRPr="00135430">
              <w:rPr>
                <w:rFonts w:ascii="Calibri" w:hAnsi="Calibri" w:cs="Calibri"/>
              </w:rPr>
              <w:t xml:space="preserve">xit </w:t>
            </w:r>
            <w:r>
              <w:rPr>
                <w:rFonts w:ascii="Calibri" w:hAnsi="Calibri" w:cs="Calibri"/>
              </w:rPr>
              <w:t>S</w:t>
            </w:r>
            <w:r w:rsidRPr="00135430">
              <w:rPr>
                <w:rFonts w:ascii="Calibri" w:hAnsi="Calibri" w:cs="Calibri"/>
              </w:rPr>
              <w:t>urvey feedba</w:t>
            </w:r>
            <w:r>
              <w:rPr>
                <w:rFonts w:ascii="Calibri" w:hAnsi="Calibri" w:cs="Calibri"/>
              </w:rPr>
              <w:t>c</w:t>
            </w:r>
            <w:r w:rsidRPr="00135430">
              <w:rPr>
                <w:rFonts w:ascii="Calibri" w:hAnsi="Calibri" w:cs="Calibri"/>
              </w:rPr>
              <w:t>k to identify any trends in relation to leavers.</w:t>
            </w:r>
          </w:p>
          <w:p w14:paraId="633ED10F" w14:textId="77777777" w:rsidR="008610EA" w:rsidRPr="00135430" w:rsidRDefault="008610EA" w:rsidP="0046298B">
            <w:pPr>
              <w:rPr>
                <w:rFonts w:ascii="Calibri" w:hAnsi="Calibri" w:cs="Calibri"/>
              </w:rPr>
            </w:pPr>
          </w:p>
          <w:p w14:paraId="7BE7296D" w14:textId="77777777" w:rsidR="008610EA" w:rsidRPr="0042244B" w:rsidRDefault="008610EA" w:rsidP="0046298B">
            <w:pPr>
              <w:rPr>
                <w:rFonts w:ascii="Calibri" w:hAnsi="Calibri" w:cs="Calibri"/>
              </w:rPr>
            </w:pPr>
          </w:p>
          <w:p w14:paraId="6E2D39E6" w14:textId="77777777" w:rsidR="008610EA" w:rsidRPr="0042244B" w:rsidRDefault="008610EA" w:rsidP="0046298B">
            <w:pPr>
              <w:rPr>
                <w:rFonts w:ascii="Calibri" w:hAnsi="Calibri" w:cs="Calibri"/>
              </w:rPr>
            </w:pPr>
          </w:p>
          <w:p w14:paraId="58131DC5" w14:textId="77777777" w:rsidR="008610EA" w:rsidRPr="0042244B" w:rsidRDefault="008610EA" w:rsidP="0046298B">
            <w:pPr>
              <w:rPr>
                <w:rFonts w:ascii="Calibri" w:hAnsi="Calibri" w:cs="Calibri"/>
              </w:rPr>
            </w:pPr>
          </w:p>
          <w:p w14:paraId="7069FA16" w14:textId="77777777" w:rsidR="008610EA" w:rsidRPr="0042244B" w:rsidRDefault="008610EA" w:rsidP="0046298B">
            <w:pPr>
              <w:rPr>
                <w:rFonts w:ascii="Calibri" w:hAnsi="Calibri" w:cs="Calibri"/>
              </w:rPr>
            </w:pPr>
          </w:p>
          <w:p w14:paraId="2CAC10EF" w14:textId="77777777" w:rsidR="008610EA" w:rsidRPr="0042244B" w:rsidRDefault="008610EA" w:rsidP="0046298B">
            <w:pPr>
              <w:rPr>
                <w:rFonts w:ascii="Calibri" w:hAnsi="Calibri" w:cs="Calibri"/>
              </w:rPr>
            </w:pPr>
          </w:p>
          <w:p w14:paraId="60126CE0" w14:textId="77777777" w:rsidR="008610EA" w:rsidRPr="0042244B" w:rsidRDefault="008610EA" w:rsidP="0046298B">
            <w:pPr>
              <w:rPr>
                <w:rFonts w:ascii="Calibri" w:hAnsi="Calibri" w:cs="Calibri"/>
              </w:rPr>
            </w:pPr>
          </w:p>
          <w:p w14:paraId="3DE7B53A" w14:textId="77777777" w:rsidR="008610EA" w:rsidRPr="0042244B" w:rsidRDefault="008610EA" w:rsidP="0046298B">
            <w:pPr>
              <w:rPr>
                <w:rFonts w:ascii="Calibri" w:hAnsi="Calibri" w:cs="Calibri"/>
              </w:rPr>
            </w:pPr>
          </w:p>
          <w:p w14:paraId="7D204277" w14:textId="77777777" w:rsidR="008610EA" w:rsidRPr="0042244B" w:rsidRDefault="008610EA" w:rsidP="0046298B">
            <w:pPr>
              <w:rPr>
                <w:rFonts w:ascii="Calibri" w:hAnsi="Calibri" w:cs="Calibri"/>
              </w:rPr>
            </w:pPr>
          </w:p>
        </w:tc>
      </w:tr>
      <w:tr w:rsidR="008610EA" w14:paraId="48C85451" w14:textId="77777777" w:rsidTr="008610EA">
        <w:trPr>
          <w:trHeight w:val="677"/>
        </w:trPr>
        <w:tc>
          <w:tcPr>
            <w:tcW w:w="504" w:type="pct"/>
          </w:tcPr>
          <w:p w14:paraId="556A0D97" w14:textId="77777777" w:rsidR="008610EA" w:rsidRPr="009A671A" w:rsidRDefault="008610EA" w:rsidP="0046298B">
            <w:pPr>
              <w:rPr>
                <w:rFonts w:ascii="Calibri" w:hAnsi="Calibri" w:cs="Calibri"/>
                <w:b/>
                <w:color w:val="808080" w:themeColor="background1" w:themeShade="80"/>
              </w:rPr>
            </w:pPr>
            <w:r>
              <w:rPr>
                <w:rFonts w:ascii="Calibri" w:hAnsi="Calibri" w:cs="Calibri"/>
                <w:b/>
              </w:rPr>
              <w:lastRenderedPageBreak/>
              <w:t>Employee Relations</w:t>
            </w:r>
          </w:p>
        </w:tc>
        <w:tc>
          <w:tcPr>
            <w:tcW w:w="253" w:type="pct"/>
          </w:tcPr>
          <w:p w14:paraId="6098459A" w14:textId="77777777" w:rsidR="008610EA" w:rsidRDefault="008610EA" w:rsidP="0046298B">
            <w:pPr>
              <w:rPr>
                <w:noProof/>
              </w:rPr>
            </w:pPr>
            <w:r>
              <w:rPr>
                <w:rFonts w:ascii="Calibri" w:hAnsi="Calibri" w:cs="Calibri"/>
                <w:noProof/>
                <w:color w:val="007DC3"/>
              </w:rPr>
              <mc:AlternateContent>
                <mc:Choice Requires="wps">
                  <w:drawing>
                    <wp:anchor distT="0" distB="0" distL="114300" distR="114300" simplePos="0" relativeHeight="251664384" behindDoc="0" locked="0" layoutInCell="1" allowOverlap="1" wp14:anchorId="0F3CE7B5" wp14:editId="2E91C5B9">
                      <wp:simplePos x="0" y="0"/>
                      <wp:positionH relativeFrom="column">
                        <wp:posOffset>57785</wp:posOffset>
                      </wp:positionH>
                      <wp:positionV relativeFrom="paragraph">
                        <wp:posOffset>91440</wp:posOffset>
                      </wp:positionV>
                      <wp:extent cx="161925" cy="152400"/>
                      <wp:effectExtent l="0" t="0" r="9525" b="0"/>
                      <wp:wrapNone/>
                      <wp:docPr id="757206163"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E2D13B" id="Flowchart: Connector 1" o:spid="_x0000_s1026" type="#_x0000_t120" style="position:absolute;margin-left:4.55pt;margin-top:7.2pt;width:12.7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" fillcolor="#00b050" stroked="f" strokeweight="2pt"/>
                  </w:pict>
                </mc:Fallback>
              </mc:AlternateContent>
            </w:r>
          </w:p>
          <w:p w14:paraId="4CB3066D" w14:textId="77777777" w:rsidR="008610EA" w:rsidRDefault="008610EA" w:rsidP="0046298B">
            <w:pPr>
              <w:rPr>
                <w:noProof/>
              </w:rPr>
            </w:pPr>
          </w:p>
          <w:p w14:paraId="0B0A6981" w14:textId="77777777" w:rsidR="008610EA" w:rsidRDefault="008610EA" w:rsidP="0046298B">
            <w:pPr>
              <w:rPr>
                <w:noProof/>
              </w:rPr>
            </w:pPr>
          </w:p>
          <w:p w14:paraId="297E2E8A" w14:textId="77777777" w:rsidR="008610EA" w:rsidRDefault="008610EA" w:rsidP="0046298B">
            <w:pPr>
              <w:rPr>
                <w:noProof/>
              </w:rPr>
            </w:pPr>
          </w:p>
          <w:p w14:paraId="68CC3235" w14:textId="77777777" w:rsidR="008610EA" w:rsidRDefault="008610EA" w:rsidP="0046298B">
            <w:pPr>
              <w:rPr>
                <w:noProof/>
              </w:rPr>
            </w:pPr>
          </w:p>
          <w:p w14:paraId="7CAEFF6E" w14:textId="77777777" w:rsidR="008610EA" w:rsidRDefault="008610EA" w:rsidP="0046298B">
            <w:pPr>
              <w:rPr>
                <w:noProof/>
              </w:rPr>
            </w:pPr>
          </w:p>
          <w:p w14:paraId="608A198B" w14:textId="77777777" w:rsidR="008610EA" w:rsidRDefault="008610EA" w:rsidP="0046298B">
            <w:pPr>
              <w:rPr>
                <w:noProof/>
              </w:rPr>
            </w:pPr>
          </w:p>
          <w:p w14:paraId="2D02C9A1" w14:textId="77777777" w:rsidR="008610EA" w:rsidRDefault="008610EA" w:rsidP="0046298B">
            <w:pPr>
              <w:rPr>
                <w:noProof/>
              </w:rPr>
            </w:pPr>
          </w:p>
          <w:p w14:paraId="5EFE010D" w14:textId="77777777" w:rsidR="008610EA" w:rsidRDefault="008610EA" w:rsidP="0046298B">
            <w:pPr>
              <w:rPr>
                <w:noProof/>
              </w:rPr>
            </w:pPr>
          </w:p>
          <w:p w14:paraId="517B2836" w14:textId="77777777" w:rsidR="008610EA" w:rsidRDefault="008610EA" w:rsidP="0046298B">
            <w:pPr>
              <w:rPr>
                <w:noProof/>
              </w:rPr>
            </w:pPr>
          </w:p>
          <w:p w14:paraId="7CC28D4F" w14:textId="77777777" w:rsidR="008610EA" w:rsidRDefault="008610EA" w:rsidP="0046298B">
            <w:pPr>
              <w:rPr>
                <w:noProof/>
              </w:rPr>
            </w:pPr>
          </w:p>
          <w:p w14:paraId="4EB40CE7" w14:textId="77777777" w:rsidR="008610EA" w:rsidRDefault="008610EA" w:rsidP="0046298B">
            <w:pPr>
              <w:rPr>
                <w:noProof/>
              </w:rPr>
            </w:pPr>
          </w:p>
          <w:p w14:paraId="6C5FE7D6" w14:textId="77777777" w:rsidR="008610EA" w:rsidRDefault="008610EA" w:rsidP="0046298B">
            <w:pPr>
              <w:rPr>
                <w:noProof/>
              </w:rPr>
            </w:pPr>
          </w:p>
          <w:p w14:paraId="364DE87D" w14:textId="77777777" w:rsidR="008610EA" w:rsidRDefault="008610EA" w:rsidP="0046298B">
            <w:pPr>
              <w:rPr>
                <w:noProof/>
              </w:rPr>
            </w:pPr>
          </w:p>
          <w:p w14:paraId="65DCE50A" w14:textId="77777777" w:rsidR="008610EA" w:rsidRDefault="008610EA" w:rsidP="0046298B">
            <w:pPr>
              <w:rPr>
                <w:noProof/>
              </w:rPr>
            </w:pPr>
          </w:p>
          <w:p w14:paraId="664BA478" w14:textId="77777777" w:rsidR="008610EA" w:rsidRDefault="008610EA" w:rsidP="0046298B">
            <w:pPr>
              <w:rPr>
                <w:noProof/>
              </w:rPr>
            </w:pPr>
          </w:p>
          <w:p w14:paraId="7EF188C0" w14:textId="77777777" w:rsidR="008610EA" w:rsidRDefault="008610EA" w:rsidP="0046298B">
            <w:pPr>
              <w:rPr>
                <w:noProof/>
              </w:rPr>
            </w:pPr>
          </w:p>
          <w:p w14:paraId="131822F1" w14:textId="77777777" w:rsidR="008610EA" w:rsidRDefault="008610EA" w:rsidP="0046298B">
            <w:pPr>
              <w:rPr>
                <w:noProof/>
              </w:rPr>
            </w:pPr>
          </w:p>
          <w:p w14:paraId="20012E53" w14:textId="77777777" w:rsidR="008610EA" w:rsidRDefault="008610EA" w:rsidP="0046298B">
            <w:pPr>
              <w:rPr>
                <w:noProof/>
              </w:rPr>
            </w:pPr>
            <w:r>
              <w:rPr>
                <w:rFonts w:ascii="Calibri" w:hAnsi="Calibri" w:cs="Calibri"/>
                <w:noProof/>
                <w:color w:val="007DC3"/>
              </w:rPr>
              <mc:AlternateContent>
                <mc:Choice Requires="wps">
                  <w:drawing>
                    <wp:anchor distT="0" distB="0" distL="114300" distR="114300" simplePos="0" relativeHeight="251665408" behindDoc="0" locked="0" layoutInCell="1" allowOverlap="1" wp14:anchorId="295B222D" wp14:editId="283AD544">
                      <wp:simplePos x="0" y="0"/>
                      <wp:positionH relativeFrom="column">
                        <wp:posOffset>57785</wp:posOffset>
                      </wp:positionH>
                      <wp:positionV relativeFrom="paragraph">
                        <wp:posOffset>99060</wp:posOffset>
                      </wp:positionV>
                      <wp:extent cx="161925" cy="152400"/>
                      <wp:effectExtent l="0" t="0" r="9525" b="0"/>
                      <wp:wrapNone/>
                      <wp:docPr id="1451033478"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8CF9E5" id="Flowchart: Connector 1" o:spid="_x0000_s1026" type="#_x0000_t120" style="position:absolute;margin-left:4.55pt;margin-top:7.8pt;width:12.7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" fillcolor="#00b050" stroked="f" strokeweight="2pt"/>
                  </w:pict>
                </mc:Fallback>
              </mc:AlternateContent>
            </w:r>
          </w:p>
          <w:p w14:paraId="685AF786" w14:textId="77777777" w:rsidR="008610EA" w:rsidRDefault="008610EA" w:rsidP="0046298B">
            <w:pPr>
              <w:rPr>
                <w:noProof/>
              </w:rPr>
            </w:pPr>
          </w:p>
          <w:p w14:paraId="04D6B390" w14:textId="77777777" w:rsidR="008610EA" w:rsidRDefault="008610EA" w:rsidP="0046298B">
            <w:pPr>
              <w:rPr>
                <w:noProof/>
              </w:rPr>
            </w:pPr>
          </w:p>
        </w:tc>
        <w:tc>
          <w:tcPr>
            <w:tcW w:w="2037" w:type="pct"/>
          </w:tcPr>
          <w:p w14:paraId="3BB353A9" w14:textId="77777777" w:rsidR="008610EA" w:rsidRDefault="008610EA" w:rsidP="0046298B">
            <w:pPr>
              <w:rPr>
                <w:noProof/>
              </w:rPr>
            </w:pPr>
            <w:r>
              <w:rPr>
                <w:noProof/>
              </w:rPr>
              <w:drawing>
                <wp:inline distT="0" distB="0" distL="0" distR="0" wp14:anchorId="74145F07" wp14:editId="3CD1A40B">
                  <wp:extent cx="3632835" cy="2343150"/>
                  <wp:effectExtent l="0" t="0" r="5715" b="0"/>
                  <wp:docPr id="114570812"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70812" name="Picture 1" descr="A graph with numbers and lines&#10;&#10;Description automatically generated"/>
                          <pic:cNvPicPr/>
                        </pic:nvPicPr>
                        <pic:blipFill>
                          <a:blip r:embed="rId58"/>
                          <a:stretch>
                            <a:fillRect/>
                          </a:stretch>
                        </pic:blipFill>
                        <pic:spPr>
                          <a:xfrm>
                            <a:off x="0" y="0"/>
                            <a:ext cx="3632835" cy="2343150"/>
                          </a:xfrm>
                          <a:prstGeom prst="rect">
                            <a:avLst/>
                          </a:prstGeom>
                        </pic:spPr>
                      </pic:pic>
                    </a:graphicData>
                  </a:graphic>
                </wp:inline>
              </w:drawing>
            </w:r>
          </w:p>
          <w:p w14:paraId="699D44A5" w14:textId="77777777" w:rsidR="008610EA" w:rsidRPr="005166C6" w:rsidRDefault="008610EA" w:rsidP="0046298B">
            <w:pPr>
              <w:rPr>
                <w:rFonts w:ascii="Calibri" w:hAnsi="Calibri" w:cs="Calibri"/>
                <w:noProof/>
              </w:rPr>
            </w:pPr>
            <w:r w:rsidRPr="005166C6">
              <w:rPr>
                <w:rFonts w:ascii="Calibri" w:hAnsi="Calibri" w:cs="Calibri"/>
                <w:noProof/>
              </w:rPr>
              <w:t>(This graph shows the number of formal employee relations cases raised)</w:t>
            </w:r>
          </w:p>
          <w:p w14:paraId="515F6E5E" w14:textId="77777777" w:rsidR="008610EA" w:rsidRDefault="008610EA" w:rsidP="0046298B">
            <w:pPr>
              <w:rPr>
                <w:noProof/>
              </w:rPr>
            </w:pPr>
          </w:p>
          <w:p w14:paraId="5519F2B9" w14:textId="77777777" w:rsidR="008610EA" w:rsidRDefault="008610EA" w:rsidP="0046298B">
            <w:pPr>
              <w:rPr>
                <w:rFonts w:ascii="Calibri" w:hAnsi="Calibri" w:cs="Calibri"/>
                <w:noProof/>
              </w:rPr>
            </w:pPr>
            <w:r>
              <w:rPr>
                <w:noProof/>
              </w:rPr>
              <w:drawing>
                <wp:inline distT="0" distB="0" distL="0" distR="0" wp14:anchorId="11088859" wp14:editId="518F1495">
                  <wp:extent cx="3514725" cy="1904365"/>
                  <wp:effectExtent l="0" t="0" r="9525" b="635"/>
                  <wp:docPr id="1622387715"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87715" name="Picture 1" descr="A graph with numbers and lines&#10;&#10;Description automatically generated"/>
                          <pic:cNvPicPr/>
                        </pic:nvPicPr>
                        <pic:blipFill>
                          <a:blip r:embed="rId59"/>
                          <a:stretch>
                            <a:fillRect/>
                          </a:stretch>
                        </pic:blipFill>
                        <pic:spPr>
                          <a:xfrm>
                            <a:off x="0" y="0"/>
                            <a:ext cx="3525516" cy="1910212"/>
                          </a:xfrm>
                          <a:prstGeom prst="rect">
                            <a:avLst/>
                          </a:prstGeom>
                        </pic:spPr>
                      </pic:pic>
                    </a:graphicData>
                  </a:graphic>
                </wp:inline>
              </w:drawing>
            </w:r>
          </w:p>
          <w:p w14:paraId="5F819698" w14:textId="77777777" w:rsidR="008610EA" w:rsidRPr="005166C6" w:rsidRDefault="008610EA" w:rsidP="0046298B">
            <w:pPr>
              <w:rPr>
                <w:rFonts w:ascii="Calibri" w:hAnsi="Calibri" w:cs="Calibri"/>
                <w:noProof/>
              </w:rPr>
            </w:pPr>
            <w:r w:rsidRPr="005166C6">
              <w:rPr>
                <w:rFonts w:ascii="Calibri" w:hAnsi="Calibri" w:cs="Calibri"/>
                <w:noProof/>
              </w:rPr>
              <w:t>(This graph shows the number of informal employee relations cases raised)</w:t>
            </w:r>
          </w:p>
        </w:tc>
        <w:tc>
          <w:tcPr>
            <w:tcW w:w="326" w:type="pct"/>
          </w:tcPr>
          <w:p w14:paraId="097B3AEF" w14:textId="77777777" w:rsidR="008610EA" w:rsidRDefault="008610EA" w:rsidP="0046298B">
            <w:pPr>
              <w:rPr>
                <w:rFonts w:ascii="Calibri" w:hAnsi="Calibri" w:cs="Calibri"/>
              </w:rPr>
            </w:pPr>
            <w:r w:rsidRPr="00085B2F">
              <w:rPr>
                <w:rFonts w:ascii="Calibri" w:hAnsi="Calibri" w:cs="Calibri"/>
              </w:rPr>
              <w:t>2</w:t>
            </w:r>
          </w:p>
          <w:p w14:paraId="5790A403" w14:textId="77777777" w:rsidR="008610EA" w:rsidRDefault="008610EA" w:rsidP="0046298B">
            <w:pPr>
              <w:rPr>
                <w:rFonts w:ascii="Calibri" w:hAnsi="Calibri" w:cs="Calibri"/>
                <w:color w:val="808080" w:themeColor="background1" w:themeShade="80"/>
              </w:rPr>
            </w:pPr>
          </w:p>
          <w:p w14:paraId="62F0E1FA" w14:textId="77777777" w:rsidR="008610EA" w:rsidRDefault="008610EA" w:rsidP="0046298B">
            <w:pPr>
              <w:rPr>
                <w:rFonts w:ascii="Calibri" w:hAnsi="Calibri" w:cs="Calibri"/>
                <w:color w:val="808080" w:themeColor="background1" w:themeShade="80"/>
              </w:rPr>
            </w:pPr>
          </w:p>
          <w:p w14:paraId="4E1A1A52" w14:textId="77777777" w:rsidR="008610EA" w:rsidRDefault="008610EA" w:rsidP="0046298B">
            <w:pPr>
              <w:rPr>
                <w:rFonts w:ascii="Calibri" w:hAnsi="Calibri" w:cs="Calibri"/>
                <w:color w:val="808080" w:themeColor="background1" w:themeShade="80"/>
              </w:rPr>
            </w:pPr>
          </w:p>
          <w:p w14:paraId="5A70A836" w14:textId="77777777" w:rsidR="008610EA" w:rsidRDefault="008610EA" w:rsidP="0046298B">
            <w:pPr>
              <w:rPr>
                <w:rFonts w:ascii="Calibri" w:hAnsi="Calibri" w:cs="Calibri"/>
                <w:color w:val="808080" w:themeColor="background1" w:themeShade="80"/>
              </w:rPr>
            </w:pPr>
          </w:p>
          <w:p w14:paraId="2EF1F317" w14:textId="77777777" w:rsidR="008610EA" w:rsidRDefault="008610EA" w:rsidP="0046298B">
            <w:pPr>
              <w:rPr>
                <w:rFonts w:ascii="Calibri" w:hAnsi="Calibri" w:cs="Calibri"/>
                <w:color w:val="808080" w:themeColor="background1" w:themeShade="80"/>
              </w:rPr>
            </w:pPr>
          </w:p>
          <w:p w14:paraId="13077A2C" w14:textId="77777777" w:rsidR="008610EA" w:rsidRDefault="008610EA" w:rsidP="0046298B">
            <w:pPr>
              <w:rPr>
                <w:rFonts w:ascii="Calibri" w:hAnsi="Calibri" w:cs="Calibri"/>
                <w:color w:val="808080" w:themeColor="background1" w:themeShade="80"/>
              </w:rPr>
            </w:pPr>
          </w:p>
          <w:p w14:paraId="20E6A208" w14:textId="77777777" w:rsidR="008610EA" w:rsidRDefault="008610EA" w:rsidP="0046298B">
            <w:pPr>
              <w:rPr>
                <w:rFonts w:ascii="Calibri" w:hAnsi="Calibri" w:cs="Calibri"/>
                <w:color w:val="808080" w:themeColor="background1" w:themeShade="80"/>
              </w:rPr>
            </w:pPr>
          </w:p>
          <w:p w14:paraId="4AE2E1A6" w14:textId="77777777" w:rsidR="008610EA" w:rsidRDefault="008610EA" w:rsidP="0046298B">
            <w:pPr>
              <w:rPr>
                <w:rFonts w:ascii="Calibri" w:hAnsi="Calibri" w:cs="Calibri"/>
                <w:color w:val="808080" w:themeColor="background1" w:themeShade="80"/>
              </w:rPr>
            </w:pPr>
          </w:p>
          <w:p w14:paraId="7CF787D9" w14:textId="77777777" w:rsidR="008610EA" w:rsidRDefault="008610EA" w:rsidP="0046298B">
            <w:pPr>
              <w:rPr>
                <w:rFonts w:ascii="Calibri" w:hAnsi="Calibri" w:cs="Calibri"/>
                <w:color w:val="808080" w:themeColor="background1" w:themeShade="80"/>
              </w:rPr>
            </w:pPr>
          </w:p>
          <w:p w14:paraId="3F239B46" w14:textId="77777777" w:rsidR="008610EA" w:rsidRDefault="008610EA" w:rsidP="0046298B">
            <w:pPr>
              <w:rPr>
                <w:rFonts w:ascii="Calibri" w:hAnsi="Calibri" w:cs="Calibri"/>
                <w:color w:val="808080" w:themeColor="background1" w:themeShade="80"/>
              </w:rPr>
            </w:pPr>
          </w:p>
          <w:p w14:paraId="5408A79E" w14:textId="77777777" w:rsidR="008610EA" w:rsidRDefault="008610EA" w:rsidP="0046298B">
            <w:pPr>
              <w:rPr>
                <w:rFonts w:ascii="Calibri" w:hAnsi="Calibri" w:cs="Calibri"/>
                <w:color w:val="808080" w:themeColor="background1" w:themeShade="80"/>
              </w:rPr>
            </w:pPr>
          </w:p>
          <w:p w14:paraId="6B133468" w14:textId="77777777" w:rsidR="008610EA" w:rsidRDefault="008610EA" w:rsidP="0046298B">
            <w:pPr>
              <w:rPr>
                <w:rFonts w:ascii="Calibri" w:hAnsi="Calibri" w:cs="Calibri"/>
                <w:color w:val="808080" w:themeColor="background1" w:themeShade="80"/>
              </w:rPr>
            </w:pPr>
          </w:p>
          <w:p w14:paraId="5ACE7C15" w14:textId="77777777" w:rsidR="008610EA" w:rsidRDefault="008610EA" w:rsidP="0046298B">
            <w:pPr>
              <w:rPr>
                <w:rFonts w:ascii="Calibri" w:hAnsi="Calibri" w:cs="Calibri"/>
                <w:color w:val="808080" w:themeColor="background1" w:themeShade="80"/>
              </w:rPr>
            </w:pPr>
          </w:p>
          <w:p w14:paraId="3E7B06AC" w14:textId="77777777" w:rsidR="008610EA" w:rsidRDefault="008610EA" w:rsidP="0046298B">
            <w:pPr>
              <w:rPr>
                <w:rFonts w:ascii="Calibri" w:hAnsi="Calibri" w:cs="Calibri"/>
                <w:color w:val="808080" w:themeColor="background1" w:themeShade="80"/>
              </w:rPr>
            </w:pPr>
          </w:p>
          <w:p w14:paraId="10BBD48C" w14:textId="77777777" w:rsidR="008610EA" w:rsidRDefault="008610EA" w:rsidP="0046298B">
            <w:pPr>
              <w:rPr>
                <w:rFonts w:ascii="Calibri" w:hAnsi="Calibri" w:cs="Calibri"/>
                <w:color w:val="808080" w:themeColor="background1" w:themeShade="80"/>
              </w:rPr>
            </w:pPr>
          </w:p>
          <w:p w14:paraId="10D5AD18" w14:textId="77777777" w:rsidR="008610EA" w:rsidRDefault="008610EA" w:rsidP="0046298B">
            <w:pPr>
              <w:rPr>
                <w:rFonts w:ascii="Calibri" w:hAnsi="Calibri" w:cs="Calibri"/>
                <w:color w:val="808080" w:themeColor="background1" w:themeShade="80"/>
              </w:rPr>
            </w:pPr>
          </w:p>
          <w:p w14:paraId="705E27F7" w14:textId="77777777" w:rsidR="008610EA" w:rsidRDefault="008610EA" w:rsidP="0046298B">
            <w:pPr>
              <w:rPr>
                <w:rFonts w:ascii="Calibri" w:hAnsi="Calibri" w:cs="Calibri"/>
              </w:rPr>
            </w:pPr>
          </w:p>
          <w:p w14:paraId="67301C0C" w14:textId="77777777" w:rsidR="008610EA" w:rsidRPr="009A671A" w:rsidRDefault="008610EA" w:rsidP="0046298B">
            <w:pPr>
              <w:rPr>
                <w:rFonts w:ascii="Calibri" w:hAnsi="Calibri" w:cs="Calibri"/>
                <w:color w:val="808080" w:themeColor="background1" w:themeShade="80"/>
              </w:rPr>
            </w:pPr>
            <w:r w:rsidRPr="00085B2F">
              <w:rPr>
                <w:rFonts w:ascii="Calibri" w:hAnsi="Calibri" w:cs="Calibri"/>
              </w:rPr>
              <w:t>27</w:t>
            </w:r>
          </w:p>
        </w:tc>
        <w:tc>
          <w:tcPr>
            <w:tcW w:w="1225" w:type="pct"/>
          </w:tcPr>
          <w:p w14:paraId="4AD06B9E" w14:textId="77777777" w:rsidR="00580319" w:rsidRPr="009A671A" w:rsidRDefault="00580319" w:rsidP="00580319">
            <w:pPr>
              <w:spacing w:after="200"/>
              <w:rPr>
                <w:rFonts w:ascii="Calibri" w:hAnsi="Calibri" w:cs="Calibri"/>
              </w:rPr>
            </w:pPr>
            <w:r>
              <w:rPr>
                <w:rFonts w:ascii="Calibri" w:hAnsi="Calibri" w:cs="Calibri"/>
              </w:rPr>
              <w:t>There have been a total 5 new casework cases.</w:t>
            </w:r>
          </w:p>
          <w:p w14:paraId="399750AB" w14:textId="77777777" w:rsidR="00580319" w:rsidRDefault="00580319" w:rsidP="0046298B">
            <w:pPr>
              <w:spacing w:after="200"/>
              <w:rPr>
                <w:rFonts w:ascii="Calibri" w:hAnsi="Calibri" w:cs="Calibri"/>
              </w:rPr>
            </w:pPr>
          </w:p>
          <w:p w14:paraId="3BB0F929" w14:textId="21DD15BA" w:rsidR="008610EA" w:rsidRPr="009A671A" w:rsidRDefault="008610EA" w:rsidP="0046298B">
            <w:pPr>
              <w:spacing w:after="200"/>
              <w:rPr>
                <w:rFonts w:ascii="Calibri" w:hAnsi="Calibri" w:cs="Calibri"/>
              </w:rPr>
            </w:pPr>
            <w:r w:rsidRPr="009A671A">
              <w:rPr>
                <w:rFonts w:ascii="Calibri" w:hAnsi="Calibri" w:cs="Calibri"/>
              </w:rPr>
              <w:t xml:space="preserve">Formal casework has </w:t>
            </w:r>
            <w:r>
              <w:rPr>
                <w:rFonts w:ascii="Calibri" w:hAnsi="Calibri" w:cs="Calibri"/>
              </w:rPr>
              <w:t xml:space="preserve">increased from 1 to 2 open cases </w:t>
            </w:r>
            <w:r w:rsidRPr="0042244B">
              <w:rPr>
                <w:rFonts w:ascii="Calibri" w:hAnsi="Calibri" w:cs="Calibri"/>
              </w:rPr>
              <w:t>(</w:t>
            </w:r>
            <w:r w:rsidRPr="00256952">
              <w:rPr>
                <w:rFonts w:ascii="Calibri" w:hAnsi="Calibri" w:cs="Calibri"/>
              </w:rPr>
              <w:t>↑</w:t>
            </w:r>
            <w:r>
              <w:rPr>
                <w:rFonts w:ascii="Calibri" w:hAnsi="Calibri" w:cs="Calibri"/>
              </w:rPr>
              <w:t>1</w:t>
            </w:r>
            <w:r w:rsidRPr="0042244B">
              <w:rPr>
                <w:rFonts w:ascii="Calibri" w:hAnsi="Calibri" w:cs="Calibri"/>
              </w:rPr>
              <w:t xml:space="preserve"> </w:t>
            </w:r>
            <w:r>
              <w:rPr>
                <w:rFonts w:ascii="Calibri" w:hAnsi="Calibri" w:cs="Calibri"/>
              </w:rPr>
              <w:t>cases). These include a disciplinary investigation.</w:t>
            </w:r>
            <w:r w:rsidRPr="009A671A">
              <w:rPr>
                <w:rFonts w:ascii="Calibri" w:hAnsi="Calibri" w:cs="Calibri"/>
              </w:rPr>
              <w:t xml:space="preserve"> </w:t>
            </w:r>
          </w:p>
          <w:p w14:paraId="0F537CF4" w14:textId="77777777" w:rsidR="008610EA" w:rsidRDefault="008610EA" w:rsidP="0046298B">
            <w:pPr>
              <w:spacing w:after="200"/>
              <w:rPr>
                <w:rFonts w:ascii="Calibri" w:hAnsi="Calibri" w:cs="Calibri"/>
              </w:rPr>
            </w:pPr>
          </w:p>
          <w:p w14:paraId="10ED5511" w14:textId="77777777" w:rsidR="008610EA" w:rsidRDefault="008610EA" w:rsidP="0046298B">
            <w:pPr>
              <w:spacing w:after="200"/>
              <w:rPr>
                <w:rFonts w:ascii="Calibri" w:hAnsi="Calibri" w:cs="Calibri"/>
              </w:rPr>
            </w:pPr>
          </w:p>
          <w:p w14:paraId="7BE51808" w14:textId="77777777" w:rsidR="008610EA" w:rsidRDefault="008610EA" w:rsidP="0046298B">
            <w:pPr>
              <w:spacing w:after="200"/>
              <w:rPr>
                <w:rFonts w:ascii="Calibri" w:hAnsi="Calibri" w:cs="Calibri"/>
              </w:rPr>
            </w:pPr>
          </w:p>
          <w:p w14:paraId="1ED7E737" w14:textId="77777777" w:rsidR="008610EA" w:rsidRDefault="008610EA" w:rsidP="0046298B">
            <w:pPr>
              <w:spacing w:after="200"/>
              <w:rPr>
                <w:rFonts w:ascii="Calibri" w:hAnsi="Calibri" w:cs="Calibri"/>
              </w:rPr>
            </w:pPr>
          </w:p>
          <w:p w14:paraId="5BCDE9A4" w14:textId="77777777" w:rsidR="008610EA" w:rsidRDefault="008610EA" w:rsidP="0046298B">
            <w:pPr>
              <w:spacing w:after="200"/>
              <w:rPr>
                <w:rFonts w:ascii="Calibri" w:hAnsi="Calibri" w:cs="Calibri"/>
              </w:rPr>
            </w:pPr>
          </w:p>
          <w:p w14:paraId="05892F6B" w14:textId="77777777" w:rsidR="008610EA" w:rsidRDefault="008610EA" w:rsidP="0046298B">
            <w:pPr>
              <w:spacing w:after="200"/>
              <w:rPr>
                <w:rFonts w:ascii="Calibri" w:hAnsi="Calibri" w:cs="Calibri"/>
              </w:rPr>
            </w:pPr>
          </w:p>
          <w:p w14:paraId="36CC6E29" w14:textId="1C12E9D4" w:rsidR="008610EA" w:rsidRDefault="008610EA" w:rsidP="0046298B">
            <w:pPr>
              <w:spacing w:after="200"/>
              <w:rPr>
                <w:rFonts w:ascii="Calibri" w:hAnsi="Calibri" w:cs="Calibri"/>
              </w:rPr>
            </w:pPr>
            <w:r w:rsidRPr="009A671A">
              <w:rPr>
                <w:rFonts w:ascii="Calibri" w:hAnsi="Calibri" w:cs="Calibri"/>
              </w:rPr>
              <w:t>Informal casework has</w:t>
            </w:r>
            <w:r>
              <w:rPr>
                <w:rFonts w:ascii="Calibri" w:hAnsi="Calibri" w:cs="Calibri"/>
              </w:rPr>
              <w:t xml:space="preserve"> increased from 23 to 27 open cases in Q3.</w:t>
            </w:r>
          </w:p>
          <w:p w14:paraId="4919BADB" w14:textId="77777777" w:rsidR="008610EA" w:rsidRPr="009A671A" w:rsidRDefault="008610EA" w:rsidP="0046298B">
            <w:pPr>
              <w:spacing w:after="200"/>
              <w:rPr>
                <w:rFonts w:ascii="Calibri" w:hAnsi="Calibri" w:cs="Calibri"/>
              </w:rPr>
            </w:pPr>
            <w:r w:rsidRPr="009A671A">
              <w:rPr>
                <w:rFonts w:ascii="Calibri" w:hAnsi="Calibri" w:cs="Calibri"/>
              </w:rPr>
              <w:t xml:space="preserve">Most Informal cases relate to short- and long-term absences and </w:t>
            </w:r>
            <w:r>
              <w:rPr>
                <w:rFonts w:ascii="Calibri" w:hAnsi="Calibri" w:cs="Calibri"/>
              </w:rPr>
              <w:t>health and wellbeing</w:t>
            </w:r>
            <w:r w:rsidRPr="009A671A">
              <w:rPr>
                <w:rFonts w:ascii="Calibri" w:hAnsi="Calibri" w:cs="Calibri"/>
              </w:rPr>
              <w:t>.</w:t>
            </w:r>
          </w:p>
        </w:tc>
        <w:tc>
          <w:tcPr>
            <w:tcW w:w="654" w:type="pct"/>
          </w:tcPr>
          <w:p w14:paraId="7B224077" w14:textId="77777777" w:rsidR="008610EA" w:rsidRPr="00D3645E" w:rsidRDefault="008610EA" w:rsidP="0046298B">
            <w:pPr>
              <w:rPr>
                <w:rFonts w:ascii="Calibri" w:hAnsi="Calibri" w:cs="Calibri"/>
              </w:rPr>
            </w:pPr>
            <w:r w:rsidRPr="00D3645E">
              <w:rPr>
                <w:rFonts w:ascii="Calibri" w:hAnsi="Calibri" w:cs="Calibri"/>
              </w:rPr>
              <w:t>Given the low level of casework, we are shifting our focus for measurement to the duration of casework (end to end), and subject matter. This will allow us to continue to be proactive around resolution</w:t>
            </w:r>
            <w:r>
              <w:rPr>
                <w:rFonts w:ascii="Calibri" w:hAnsi="Calibri" w:cs="Calibri"/>
              </w:rPr>
              <w:t>. We will start this reporting from Q4.</w:t>
            </w:r>
          </w:p>
          <w:p w14:paraId="6C101E6C" w14:textId="77777777" w:rsidR="008610EA" w:rsidRPr="00D3645E" w:rsidRDefault="008610EA" w:rsidP="0046298B">
            <w:pPr>
              <w:rPr>
                <w:rFonts w:ascii="Calibri" w:hAnsi="Calibri" w:cs="Calibri"/>
              </w:rPr>
            </w:pPr>
          </w:p>
          <w:p w14:paraId="416C058D" w14:textId="77777777" w:rsidR="008610EA" w:rsidRPr="00D3645E" w:rsidRDefault="008610EA" w:rsidP="0046298B">
            <w:pPr>
              <w:rPr>
                <w:rFonts w:ascii="Calibri" w:hAnsi="Calibri" w:cs="Calibri"/>
              </w:rPr>
            </w:pPr>
          </w:p>
          <w:p w14:paraId="681DD6D9" w14:textId="77777777" w:rsidR="008610EA" w:rsidRPr="00D3645E" w:rsidRDefault="008610EA" w:rsidP="0046298B">
            <w:pPr>
              <w:rPr>
                <w:rFonts w:ascii="Calibri" w:hAnsi="Calibri" w:cs="Calibri"/>
              </w:rPr>
            </w:pPr>
          </w:p>
          <w:p w14:paraId="5BC840DC" w14:textId="77777777" w:rsidR="008610EA" w:rsidRPr="00D3645E" w:rsidRDefault="008610EA" w:rsidP="0046298B">
            <w:pPr>
              <w:rPr>
                <w:rFonts w:ascii="Calibri" w:hAnsi="Calibri" w:cs="Calibri"/>
              </w:rPr>
            </w:pPr>
          </w:p>
          <w:p w14:paraId="2C6D25B1" w14:textId="77777777" w:rsidR="008610EA" w:rsidRPr="00D3645E" w:rsidRDefault="008610EA" w:rsidP="0046298B">
            <w:pPr>
              <w:rPr>
                <w:rFonts w:ascii="Calibri" w:hAnsi="Calibri" w:cs="Calibri"/>
              </w:rPr>
            </w:pPr>
          </w:p>
          <w:p w14:paraId="724BD51C" w14:textId="77777777" w:rsidR="008610EA" w:rsidRPr="00D3645E" w:rsidRDefault="008610EA" w:rsidP="0046298B">
            <w:pPr>
              <w:rPr>
                <w:rFonts w:ascii="Calibri" w:hAnsi="Calibri" w:cs="Calibri"/>
              </w:rPr>
            </w:pPr>
          </w:p>
          <w:p w14:paraId="623B7CE5" w14:textId="77777777" w:rsidR="008610EA" w:rsidRPr="00D3645E" w:rsidRDefault="008610EA" w:rsidP="0046298B">
            <w:pPr>
              <w:rPr>
                <w:rFonts w:ascii="Calibri" w:hAnsi="Calibri" w:cs="Calibri"/>
              </w:rPr>
            </w:pPr>
          </w:p>
          <w:p w14:paraId="1F33426C" w14:textId="77777777" w:rsidR="008610EA" w:rsidRPr="00D3645E" w:rsidRDefault="008610EA" w:rsidP="0046298B">
            <w:pPr>
              <w:rPr>
                <w:rFonts w:ascii="Calibri" w:hAnsi="Calibri" w:cs="Calibri"/>
              </w:rPr>
            </w:pPr>
          </w:p>
          <w:p w14:paraId="0C87EBED" w14:textId="77777777" w:rsidR="008610EA" w:rsidRPr="00D3645E" w:rsidRDefault="008610EA" w:rsidP="0046298B">
            <w:pPr>
              <w:rPr>
                <w:rFonts w:ascii="Calibri" w:hAnsi="Calibri" w:cs="Calibri"/>
              </w:rPr>
            </w:pPr>
          </w:p>
          <w:p w14:paraId="55728989" w14:textId="77777777" w:rsidR="008610EA" w:rsidRPr="00D3645E" w:rsidRDefault="008610EA" w:rsidP="0046298B">
            <w:pPr>
              <w:rPr>
                <w:rFonts w:ascii="Calibri" w:hAnsi="Calibri" w:cs="Calibri"/>
              </w:rPr>
            </w:pPr>
          </w:p>
          <w:p w14:paraId="26132D94" w14:textId="77777777" w:rsidR="008610EA" w:rsidRPr="00D3645E" w:rsidRDefault="008610EA" w:rsidP="0046298B">
            <w:pPr>
              <w:rPr>
                <w:rFonts w:ascii="Calibri" w:hAnsi="Calibri" w:cs="Calibri"/>
              </w:rPr>
            </w:pPr>
          </w:p>
        </w:tc>
      </w:tr>
      <w:tr w:rsidR="008610EA" w14:paraId="4D6782B8" w14:textId="77777777" w:rsidTr="008610EA">
        <w:trPr>
          <w:trHeight w:val="696"/>
        </w:trPr>
        <w:tc>
          <w:tcPr>
            <w:tcW w:w="504" w:type="pct"/>
          </w:tcPr>
          <w:p w14:paraId="48578131" w14:textId="1D5971CE" w:rsidR="008610EA" w:rsidRPr="009A671A" w:rsidRDefault="00914E87" w:rsidP="0046298B">
            <w:pPr>
              <w:rPr>
                <w:rFonts w:ascii="Calibri" w:hAnsi="Calibri" w:cs="Calibri"/>
                <w:b/>
                <w:color w:val="808080" w:themeColor="background1" w:themeShade="80"/>
              </w:rPr>
            </w:pPr>
            <w:r>
              <w:rPr>
                <w:rFonts w:ascii="Calibri" w:hAnsi="Calibri" w:cs="Calibri"/>
                <w:b/>
              </w:rPr>
              <w:lastRenderedPageBreak/>
              <w:t>Workforce Trends</w:t>
            </w:r>
          </w:p>
        </w:tc>
        <w:tc>
          <w:tcPr>
            <w:tcW w:w="253" w:type="pct"/>
          </w:tcPr>
          <w:p w14:paraId="6003FF81" w14:textId="77777777" w:rsidR="008610EA" w:rsidRDefault="008610EA" w:rsidP="0046298B">
            <w:pPr>
              <w:rPr>
                <w:noProof/>
              </w:rPr>
            </w:pPr>
            <w:r>
              <w:rPr>
                <w:rFonts w:ascii="Calibri" w:hAnsi="Calibri" w:cs="Calibri"/>
                <w:noProof/>
                <w:color w:val="007DC3"/>
              </w:rPr>
              <mc:AlternateContent>
                <mc:Choice Requires="wps">
                  <w:drawing>
                    <wp:anchor distT="0" distB="0" distL="114300" distR="114300" simplePos="0" relativeHeight="251666432" behindDoc="0" locked="0" layoutInCell="1" allowOverlap="1" wp14:anchorId="767EF372" wp14:editId="7F4E4383">
                      <wp:simplePos x="0" y="0"/>
                      <wp:positionH relativeFrom="column">
                        <wp:posOffset>57785</wp:posOffset>
                      </wp:positionH>
                      <wp:positionV relativeFrom="paragraph">
                        <wp:posOffset>69850</wp:posOffset>
                      </wp:positionV>
                      <wp:extent cx="161925" cy="152400"/>
                      <wp:effectExtent l="0" t="0" r="9525" b="0"/>
                      <wp:wrapNone/>
                      <wp:docPr id="1070180513"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5B2359" id="Flowchart: Connector 1" o:spid="_x0000_s1026" type="#_x0000_t120" style="position:absolute;margin-left:4.55pt;margin-top:5.5pt;width:12.7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" fillcolor="#ffc000" stroked="f" strokeweight="2pt"/>
                  </w:pict>
                </mc:Fallback>
              </mc:AlternateContent>
            </w:r>
          </w:p>
        </w:tc>
        <w:tc>
          <w:tcPr>
            <w:tcW w:w="2037" w:type="pct"/>
          </w:tcPr>
          <w:p w14:paraId="146DD560" w14:textId="77777777" w:rsidR="008610EA" w:rsidRDefault="008610EA" w:rsidP="0046298B">
            <w:pPr>
              <w:rPr>
                <w:noProof/>
              </w:rPr>
            </w:pPr>
            <w:r>
              <w:rPr>
                <w:noProof/>
              </w:rPr>
              <w:drawing>
                <wp:inline distT="0" distB="0" distL="0" distR="0" wp14:anchorId="7880F664" wp14:editId="637ACAAB">
                  <wp:extent cx="3589655" cy="2390775"/>
                  <wp:effectExtent l="0" t="0" r="0" b="9525"/>
                  <wp:docPr id="255487512" name="Picture 5"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87512" name="Picture 5" descr="A graph with lines and numbers&#10;&#10;Description automatically generated"/>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13646" cy="2406753"/>
                          </a:xfrm>
                          <a:prstGeom prst="rect">
                            <a:avLst/>
                          </a:prstGeom>
                          <a:noFill/>
                        </pic:spPr>
                      </pic:pic>
                    </a:graphicData>
                  </a:graphic>
                </wp:inline>
              </w:drawing>
            </w:r>
          </w:p>
          <w:p w14:paraId="549F91B9" w14:textId="77777777" w:rsidR="008610EA" w:rsidRPr="00285605" w:rsidRDefault="008610EA" w:rsidP="0046298B">
            <w:pPr>
              <w:textAlignment w:val="baseline"/>
              <w:rPr>
                <w:rFonts w:ascii="Calibri" w:eastAsia="Times New Roman" w:hAnsi="Calibri" w:cs="Calibri"/>
                <w:bCs/>
                <w:lang w:eastAsia="en-GB"/>
              </w:rPr>
            </w:pPr>
            <w:r w:rsidRPr="00285605">
              <w:rPr>
                <w:rFonts w:ascii="Calibri" w:eastAsia="Times New Roman" w:hAnsi="Calibri" w:cs="Calibri"/>
                <w:bCs/>
                <w:lang w:eastAsia="en-GB"/>
              </w:rPr>
              <w:t>(This graph shows the trend of the organisations headcount and FTE to date)</w:t>
            </w:r>
          </w:p>
          <w:p w14:paraId="08A65BD9" w14:textId="77777777" w:rsidR="008610EA" w:rsidRDefault="008610EA" w:rsidP="0046298B">
            <w:pPr>
              <w:rPr>
                <w:noProof/>
              </w:rPr>
            </w:pPr>
          </w:p>
        </w:tc>
        <w:tc>
          <w:tcPr>
            <w:tcW w:w="326" w:type="pct"/>
          </w:tcPr>
          <w:p w14:paraId="711E4E0C" w14:textId="77777777" w:rsidR="008610EA" w:rsidRPr="009A671A" w:rsidRDefault="008610EA" w:rsidP="0046298B">
            <w:pPr>
              <w:rPr>
                <w:rFonts w:ascii="Calibri" w:hAnsi="Calibri" w:cs="Calibri"/>
                <w:b/>
                <w:bCs/>
                <w:color w:val="808080" w:themeColor="background1" w:themeShade="80"/>
              </w:rPr>
            </w:pPr>
            <w:r w:rsidRPr="00620D52">
              <w:rPr>
                <w:rFonts w:ascii="Calibri" w:hAnsi="Calibri" w:cs="Calibri"/>
                <w:b/>
                <w:bCs/>
              </w:rPr>
              <w:t>824 and 764</w:t>
            </w:r>
          </w:p>
        </w:tc>
        <w:tc>
          <w:tcPr>
            <w:tcW w:w="1225" w:type="pct"/>
          </w:tcPr>
          <w:p w14:paraId="32A527BC" w14:textId="6BE3FD38" w:rsidR="008610EA" w:rsidRPr="00135430" w:rsidRDefault="008610EA" w:rsidP="0046298B">
            <w:pPr>
              <w:spacing w:after="200"/>
              <w:rPr>
                <w:rFonts w:ascii="Calibri" w:hAnsi="Calibri" w:cs="Calibri"/>
              </w:rPr>
            </w:pPr>
            <w:r w:rsidRPr="00135430">
              <w:rPr>
                <w:rFonts w:ascii="Calibri" w:hAnsi="Calibri" w:cs="Calibri"/>
              </w:rPr>
              <w:t xml:space="preserve">Headcount is 824 (↓6) and FTE is 764 (↓3). </w:t>
            </w:r>
            <w:r>
              <w:rPr>
                <w:rFonts w:ascii="Calibri" w:hAnsi="Calibri" w:cs="Calibri"/>
              </w:rPr>
              <w:t xml:space="preserve">Following recruitment in </w:t>
            </w:r>
            <w:r w:rsidRPr="00135430">
              <w:rPr>
                <w:rFonts w:ascii="Calibri" w:hAnsi="Calibri" w:cs="Calibri"/>
              </w:rPr>
              <w:t xml:space="preserve">Q1 </w:t>
            </w:r>
            <w:r>
              <w:rPr>
                <w:rFonts w:ascii="Calibri" w:hAnsi="Calibri" w:cs="Calibri"/>
              </w:rPr>
              <w:t>there were</w:t>
            </w:r>
            <w:r w:rsidRPr="00135430">
              <w:rPr>
                <w:rFonts w:ascii="Calibri" w:hAnsi="Calibri" w:cs="Calibri"/>
              </w:rPr>
              <w:t xml:space="preserve"> 20 new starts in Q3. </w:t>
            </w:r>
          </w:p>
          <w:p w14:paraId="04F21711" w14:textId="24763F76" w:rsidR="008610EA" w:rsidRPr="00135430" w:rsidRDefault="008610EA" w:rsidP="0046298B">
            <w:pPr>
              <w:spacing w:after="200"/>
              <w:rPr>
                <w:rFonts w:ascii="Calibri" w:hAnsi="Calibri" w:cs="Calibri"/>
              </w:rPr>
            </w:pPr>
            <w:r w:rsidRPr="00135430">
              <w:rPr>
                <w:rFonts w:ascii="Calibri" w:hAnsi="Calibri" w:cs="Calibri"/>
              </w:rPr>
              <w:t xml:space="preserve">15 of our new starts are on fixed term contracts, while 5 are on permanent contracts. </w:t>
            </w:r>
          </w:p>
          <w:p w14:paraId="566B8A64" w14:textId="2DD429D7" w:rsidR="008610EA" w:rsidRPr="00135430" w:rsidRDefault="008610EA" w:rsidP="0046298B">
            <w:pPr>
              <w:spacing w:after="200"/>
              <w:rPr>
                <w:rFonts w:ascii="Calibri" w:hAnsi="Calibri" w:cs="Calibri"/>
                <w:color w:val="808080" w:themeColor="background1" w:themeShade="80"/>
                <w:sz w:val="18"/>
                <w:szCs w:val="18"/>
              </w:rPr>
            </w:pPr>
            <w:r w:rsidRPr="00135430">
              <w:rPr>
                <w:rFonts w:ascii="Calibri" w:hAnsi="Calibri" w:cs="Calibri"/>
              </w:rPr>
              <w:t xml:space="preserve">Our forecast is that our headcount will reduce given the review of fixed term contracts, with </w:t>
            </w:r>
            <w:r>
              <w:rPr>
                <w:rFonts w:ascii="Calibri" w:hAnsi="Calibri" w:cs="Calibri"/>
              </w:rPr>
              <w:t>6</w:t>
            </w:r>
            <w:r w:rsidRPr="00135430">
              <w:rPr>
                <w:rFonts w:ascii="Calibri" w:hAnsi="Calibri" w:cs="Calibri"/>
              </w:rPr>
              <w:t xml:space="preserve"> employees with fixed term appointments due to end at the end of Q4 </w:t>
            </w:r>
            <w:r>
              <w:rPr>
                <w:rFonts w:ascii="Calibri" w:hAnsi="Calibri" w:cs="Calibri"/>
              </w:rPr>
              <w:t>and a further 12 throughout 2025</w:t>
            </w:r>
            <w:r w:rsidR="00580319">
              <w:rPr>
                <w:rFonts w:ascii="Calibri" w:hAnsi="Calibri" w:cs="Calibri"/>
              </w:rPr>
              <w:t>.T</w:t>
            </w:r>
            <w:r>
              <w:rPr>
                <w:rFonts w:ascii="Calibri" w:hAnsi="Calibri" w:cs="Calibri"/>
              </w:rPr>
              <w:t>here will also be a total of 15 permanent employees reverting to their substantive post in 2025/2026.</w:t>
            </w:r>
          </w:p>
        </w:tc>
        <w:tc>
          <w:tcPr>
            <w:tcW w:w="654" w:type="pct"/>
          </w:tcPr>
          <w:p w14:paraId="76A90667" w14:textId="77777777" w:rsidR="008610EA" w:rsidRPr="00D50216" w:rsidRDefault="008610EA" w:rsidP="0046298B">
            <w:pPr>
              <w:rPr>
                <w:rFonts w:ascii="Calibri" w:hAnsi="Calibri" w:cs="Calibri"/>
              </w:rPr>
            </w:pPr>
            <w:r w:rsidRPr="00D50216">
              <w:rPr>
                <w:rFonts w:ascii="Calibri" w:hAnsi="Calibri" w:cs="Calibri"/>
              </w:rPr>
              <w:t>A current review of all fixed term appointments will support the proactive management of headcount. Triggers are still to be built in to ascertain future liability and encourage informed decision making</w:t>
            </w:r>
            <w:r>
              <w:rPr>
                <w:rFonts w:ascii="Calibri" w:hAnsi="Calibri" w:cs="Calibri"/>
              </w:rPr>
              <w:t xml:space="preserve"> as we move through the 2025/26 cohort</w:t>
            </w:r>
            <w:r w:rsidRPr="00D50216">
              <w:rPr>
                <w:rFonts w:ascii="Calibri" w:hAnsi="Calibri" w:cs="Calibri"/>
              </w:rPr>
              <w:t xml:space="preserve">. </w:t>
            </w:r>
          </w:p>
        </w:tc>
      </w:tr>
      <w:tr w:rsidR="008610EA" w14:paraId="3513FAAE" w14:textId="77777777" w:rsidTr="008610EA">
        <w:trPr>
          <w:trHeight w:val="1757"/>
        </w:trPr>
        <w:tc>
          <w:tcPr>
            <w:tcW w:w="504" w:type="pct"/>
          </w:tcPr>
          <w:p w14:paraId="170EBCDD" w14:textId="77777777" w:rsidR="008610EA" w:rsidRPr="009A671A" w:rsidRDefault="008610EA" w:rsidP="0046298B">
            <w:pPr>
              <w:rPr>
                <w:rFonts w:ascii="Calibri" w:hAnsi="Calibri" w:cs="Calibri"/>
                <w:b/>
              </w:rPr>
            </w:pPr>
            <w:r>
              <w:rPr>
                <w:rFonts w:ascii="Calibri" w:hAnsi="Calibri" w:cs="Calibri"/>
                <w:b/>
              </w:rPr>
              <w:t>Retirement Profile</w:t>
            </w:r>
          </w:p>
        </w:tc>
        <w:tc>
          <w:tcPr>
            <w:tcW w:w="253" w:type="pct"/>
          </w:tcPr>
          <w:p w14:paraId="2B7032F8" w14:textId="77777777" w:rsidR="008610EA" w:rsidRDefault="008610EA" w:rsidP="0046298B">
            <w:pPr>
              <w:rPr>
                <w:noProof/>
              </w:rPr>
            </w:pPr>
            <w:r>
              <w:rPr>
                <w:rFonts w:ascii="Calibri" w:hAnsi="Calibri" w:cs="Calibri"/>
                <w:noProof/>
                <w:color w:val="007DC3"/>
              </w:rPr>
              <mc:AlternateContent>
                <mc:Choice Requires="wps">
                  <w:drawing>
                    <wp:anchor distT="0" distB="0" distL="114300" distR="114300" simplePos="0" relativeHeight="251667456" behindDoc="0" locked="0" layoutInCell="1" allowOverlap="1" wp14:anchorId="787066B4" wp14:editId="0B20F2D7">
                      <wp:simplePos x="0" y="0"/>
                      <wp:positionH relativeFrom="column">
                        <wp:posOffset>48260</wp:posOffset>
                      </wp:positionH>
                      <wp:positionV relativeFrom="paragraph">
                        <wp:posOffset>47625</wp:posOffset>
                      </wp:positionV>
                      <wp:extent cx="161925" cy="152400"/>
                      <wp:effectExtent l="0" t="0" r="9525" b="0"/>
                      <wp:wrapNone/>
                      <wp:docPr id="1465585030"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02ADD6" id="Flowchart: Connector 1" o:spid="_x0000_s1026" type="#_x0000_t120" style="position:absolute;margin-left:3.8pt;margin-top:3.75pt;width:12.7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" fillcolor="#00b050" stroked="f" strokeweight="2pt"/>
                  </w:pict>
                </mc:Fallback>
              </mc:AlternateContent>
            </w:r>
          </w:p>
        </w:tc>
        <w:tc>
          <w:tcPr>
            <w:tcW w:w="2037" w:type="pct"/>
          </w:tcPr>
          <w:p w14:paraId="0A600EEB" w14:textId="77777777" w:rsidR="008610EA" w:rsidRDefault="008610EA" w:rsidP="0046298B">
            <w:pPr>
              <w:rPr>
                <w:noProof/>
              </w:rPr>
            </w:pPr>
            <w:r>
              <w:rPr>
                <w:noProof/>
              </w:rPr>
              <w:drawing>
                <wp:inline distT="0" distB="0" distL="0" distR="0" wp14:anchorId="0A10E7DE" wp14:editId="4A3A40CE">
                  <wp:extent cx="3333750" cy="2318560"/>
                  <wp:effectExtent l="0" t="0" r="0" b="5715"/>
                  <wp:docPr id="152564304" name="Picture 1" descr="A graph of numbers and a number of retire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4304" name="Picture 1" descr="A graph of numbers and a number of retirements&#10;&#10;Description automatically generated"/>
                          <pic:cNvPicPr/>
                        </pic:nvPicPr>
                        <pic:blipFill>
                          <a:blip r:embed="rId61"/>
                          <a:stretch>
                            <a:fillRect/>
                          </a:stretch>
                        </pic:blipFill>
                        <pic:spPr>
                          <a:xfrm>
                            <a:off x="0" y="0"/>
                            <a:ext cx="3344030" cy="2325710"/>
                          </a:xfrm>
                          <a:prstGeom prst="rect">
                            <a:avLst/>
                          </a:prstGeom>
                        </pic:spPr>
                      </pic:pic>
                    </a:graphicData>
                  </a:graphic>
                </wp:inline>
              </w:drawing>
            </w:r>
          </w:p>
          <w:p w14:paraId="2228F10A" w14:textId="77777777" w:rsidR="008610EA" w:rsidRDefault="008610EA" w:rsidP="0046298B">
            <w:pPr>
              <w:rPr>
                <w:noProof/>
              </w:rPr>
            </w:pPr>
            <w:r w:rsidRPr="001723A7">
              <w:rPr>
                <w:rFonts w:ascii="Calibri" w:eastAsia="Times New Roman" w:hAnsi="Calibri" w:cs="Calibri"/>
                <w:bCs/>
                <w:lang w:eastAsia="en-GB"/>
              </w:rPr>
              <w:t xml:space="preserve"> (This graph shows </w:t>
            </w:r>
            <w:r>
              <w:rPr>
                <w:rFonts w:ascii="Calibri" w:eastAsia="Times New Roman" w:hAnsi="Calibri" w:cs="Calibri"/>
                <w:bCs/>
                <w:lang w:eastAsia="en-GB"/>
              </w:rPr>
              <w:t>number of retirees and our forecasted retirements) – *</w:t>
            </w:r>
          </w:p>
        </w:tc>
        <w:tc>
          <w:tcPr>
            <w:tcW w:w="326" w:type="pct"/>
          </w:tcPr>
          <w:p w14:paraId="17B3D1CB" w14:textId="77777777" w:rsidR="008610EA" w:rsidRPr="009A671A" w:rsidRDefault="008610EA" w:rsidP="0046298B">
            <w:pPr>
              <w:rPr>
                <w:rFonts w:ascii="Calibri" w:hAnsi="Calibri" w:cs="Calibri"/>
                <w:b/>
                <w:bCs/>
              </w:rPr>
            </w:pPr>
          </w:p>
        </w:tc>
        <w:tc>
          <w:tcPr>
            <w:tcW w:w="1225" w:type="pct"/>
          </w:tcPr>
          <w:p w14:paraId="68842552" w14:textId="160B6CA8" w:rsidR="008610EA" w:rsidRPr="00135430" w:rsidRDefault="008610EA" w:rsidP="0046298B">
            <w:pPr>
              <w:textAlignment w:val="baseline"/>
              <w:rPr>
                <w:rFonts w:ascii="Calibri" w:eastAsia="Times New Roman" w:hAnsi="Calibri" w:cs="Calibri"/>
                <w:bCs/>
                <w:lang w:eastAsia="en-GB"/>
              </w:rPr>
            </w:pPr>
            <w:r w:rsidRPr="00135430">
              <w:rPr>
                <w:rFonts w:ascii="Calibri" w:eastAsia="Times New Roman" w:hAnsi="Calibri" w:cs="Calibri"/>
                <w:bCs/>
                <w:shd w:val="clear" w:color="auto" w:fill="FFFFFF" w:themeFill="background1"/>
                <w:lang w:eastAsia="en-GB"/>
              </w:rPr>
              <w:t>185 employees are aged 57+</w:t>
            </w:r>
            <w:r w:rsidRPr="00135430">
              <w:rPr>
                <w:rFonts w:ascii="Calibri" w:eastAsia="Times New Roman" w:hAnsi="Calibri" w:cs="Calibri"/>
                <w:bCs/>
                <w:lang w:eastAsia="en-GB"/>
              </w:rPr>
              <w:t xml:space="preserve"> (22% of headcount). This is predicted to rise to 205 </w:t>
            </w:r>
            <w:r w:rsidR="009C5409">
              <w:rPr>
                <w:rFonts w:ascii="Calibri" w:eastAsia="Times New Roman" w:hAnsi="Calibri" w:cs="Calibri"/>
                <w:bCs/>
                <w:lang w:eastAsia="en-GB"/>
              </w:rPr>
              <w:t xml:space="preserve">by </w:t>
            </w:r>
            <w:r w:rsidRPr="00135430">
              <w:rPr>
                <w:rFonts w:ascii="Calibri" w:eastAsia="Times New Roman" w:hAnsi="Calibri" w:cs="Calibri"/>
                <w:bCs/>
                <w:lang w:eastAsia="en-GB"/>
              </w:rPr>
              <w:t xml:space="preserve">Q3 2025/26. </w:t>
            </w:r>
          </w:p>
          <w:p w14:paraId="3098AD0E" w14:textId="77777777" w:rsidR="008610EA" w:rsidRPr="00135430" w:rsidRDefault="008610EA" w:rsidP="0046298B">
            <w:pPr>
              <w:textAlignment w:val="baseline"/>
              <w:rPr>
                <w:rFonts w:ascii="Times New Roman" w:eastAsia="Times New Roman" w:hAnsi="Times New Roman" w:cs="Times New Roman"/>
                <w:bCs/>
                <w:lang w:eastAsia="en-GB"/>
              </w:rPr>
            </w:pPr>
          </w:p>
          <w:p w14:paraId="6C33CBFF" w14:textId="4F542DD1" w:rsidR="008610EA" w:rsidRPr="00135430" w:rsidRDefault="008610EA" w:rsidP="0046298B">
            <w:pPr>
              <w:textAlignment w:val="baseline"/>
              <w:rPr>
                <w:rFonts w:ascii="Calibri" w:eastAsia="Times New Roman" w:hAnsi="Calibri" w:cs="Calibri"/>
                <w:bCs/>
                <w:lang w:eastAsia="en-GB"/>
              </w:rPr>
            </w:pPr>
            <w:r w:rsidRPr="00135430">
              <w:rPr>
                <w:rFonts w:ascii="Calibri" w:eastAsia="Times New Roman" w:hAnsi="Calibri" w:cs="Calibri"/>
                <w:bCs/>
                <w:lang w:eastAsia="en-GB"/>
              </w:rPr>
              <w:t xml:space="preserve">4 employees retired (17% of Q3 leavers). Year to date there have been a total of 19 retirements. </w:t>
            </w:r>
          </w:p>
          <w:p w14:paraId="1A25F4A5" w14:textId="77777777" w:rsidR="008610EA" w:rsidRPr="00135430" w:rsidRDefault="008610EA" w:rsidP="0046298B">
            <w:pPr>
              <w:textAlignment w:val="baseline"/>
              <w:rPr>
                <w:rFonts w:ascii="Calibri" w:eastAsia="Times New Roman" w:hAnsi="Calibri" w:cs="Calibri"/>
                <w:bCs/>
                <w:lang w:eastAsia="en-GB"/>
              </w:rPr>
            </w:pPr>
          </w:p>
          <w:p w14:paraId="3D270CEC" w14:textId="6B6E7B06" w:rsidR="008610EA" w:rsidRPr="00135430" w:rsidRDefault="008610EA" w:rsidP="0046298B">
            <w:pPr>
              <w:textAlignment w:val="baseline"/>
              <w:rPr>
                <w:rFonts w:ascii="Times New Roman" w:eastAsia="Times New Roman" w:hAnsi="Times New Roman" w:cs="Times New Roman"/>
                <w:bCs/>
                <w:lang w:eastAsia="en-GB"/>
              </w:rPr>
            </w:pPr>
            <w:r w:rsidRPr="00135430">
              <w:rPr>
                <w:rFonts w:ascii="Calibri" w:eastAsia="Times New Roman" w:hAnsi="Calibri" w:cs="Calibri"/>
                <w:bCs/>
                <w:lang w:eastAsia="en-GB"/>
              </w:rPr>
              <w:t>The average retirement age is 6</w:t>
            </w:r>
            <w:r>
              <w:rPr>
                <w:rFonts w:ascii="Calibri" w:eastAsia="Times New Roman" w:hAnsi="Calibri" w:cs="Calibri"/>
                <w:bCs/>
                <w:lang w:eastAsia="en-GB"/>
              </w:rPr>
              <w:t>4</w:t>
            </w:r>
            <w:r w:rsidRPr="00135430">
              <w:rPr>
                <w:rFonts w:ascii="Calibri" w:eastAsia="Times New Roman" w:hAnsi="Calibri" w:cs="Calibri"/>
                <w:bCs/>
                <w:lang w:eastAsia="en-GB"/>
              </w:rPr>
              <w:t xml:space="preserve">. </w:t>
            </w:r>
          </w:p>
          <w:p w14:paraId="1E278F4E" w14:textId="77777777" w:rsidR="008610EA" w:rsidRPr="005F3AF8" w:rsidRDefault="008610EA" w:rsidP="0046298B">
            <w:pPr>
              <w:textAlignment w:val="baseline"/>
              <w:rPr>
                <w:rFonts w:ascii="Calibri" w:eastAsia="Times New Roman" w:hAnsi="Calibri" w:cs="Calibri"/>
                <w:bCs/>
                <w:i/>
                <w:iCs/>
                <w:lang w:eastAsia="en-GB"/>
              </w:rPr>
            </w:pPr>
          </w:p>
          <w:p w14:paraId="6EB16771" w14:textId="77777777" w:rsidR="008610EA" w:rsidRDefault="008610EA" w:rsidP="0046298B">
            <w:pPr>
              <w:textAlignment w:val="baseline"/>
              <w:rPr>
                <w:rFonts w:ascii="Calibri" w:hAnsi="Calibri" w:cs="Calibri"/>
              </w:rPr>
            </w:pPr>
            <w:r>
              <w:rPr>
                <w:rFonts w:ascii="Calibri" w:hAnsi="Calibri" w:cs="Calibri"/>
                <w:i/>
                <w:iCs/>
              </w:rPr>
              <w:t>*(</w:t>
            </w:r>
            <w:r w:rsidRPr="005F3AF8">
              <w:rPr>
                <w:rFonts w:ascii="Calibri" w:hAnsi="Calibri" w:cs="Calibri"/>
                <w:i/>
                <w:iCs/>
              </w:rPr>
              <w:t>Please note the forecast figures have been rounded up which impact the graph levels.</w:t>
            </w:r>
            <w:r>
              <w:rPr>
                <w:rFonts w:ascii="Calibri" w:hAnsi="Calibri" w:cs="Calibri"/>
                <w:i/>
                <w:iCs/>
              </w:rPr>
              <w:t>)</w:t>
            </w:r>
          </w:p>
        </w:tc>
        <w:tc>
          <w:tcPr>
            <w:tcW w:w="654" w:type="pct"/>
          </w:tcPr>
          <w:p w14:paraId="26DA5E87" w14:textId="77777777" w:rsidR="008610EA" w:rsidRPr="00135430" w:rsidRDefault="008610EA" w:rsidP="0046298B">
            <w:pPr>
              <w:textAlignment w:val="baseline"/>
              <w:rPr>
                <w:rFonts w:ascii="Calibri" w:eastAsia="Times New Roman" w:hAnsi="Calibri" w:cs="Calibri"/>
                <w:bCs/>
                <w:lang w:eastAsia="en-GB"/>
              </w:rPr>
            </w:pPr>
            <w:r w:rsidRPr="00135430">
              <w:rPr>
                <w:rFonts w:ascii="Calibri" w:eastAsia="Times New Roman" w:hAnsi="Calibri" w:cs="Calibri"/>
                <w:bCs/>
                <w:lang w:eastAsia="en-GB"/>
              </w:rPr>
              <w:t xml:space="preserve">P&amp;OD expect the number of retirements in 2024/25 to exceed the forecast </w:t>
            </w:r>
            <w:r>
              <w:rPr>
                <w:rFonts w:ascii="Calibri" w:eastAsia="Times New Roman" w:hAnsi="Calibri" w:cs="Calibri"/>
                <w:bCs/>
                <w:lang w:eastAsia="en-GB"/>
              </w:rPr>
              <w:t>(</w:t>
            </w:r>
            <w:r w:rsidRPr="00135430">
              <w:rPr>
                <w:rFonts w:ascii="Calibri" w:eastAsia="Times New Roman" w:hAnsi="Calibri" w:cs="Calibri"/>
                <w:bCs/>
                <w:lang w:eastAsia="en-GB"/>
              </w:rPr>
              <w:t>20).</w:t>
            </w:r>
          </w:p>
          <w:p w14:paraId="226919EA" w14:textId="77777777" w:rsidR="008610EA" w:rsidRPr="00A51C97" w:rsidRDefault="008610EA" w:rsidP="0046298B">
            <w:pPr>
              <w:textAlignment w:val="baseline"/>
              <w:rPr>
                <w:rFonts w:ascii="Times New Roman" w:eastAsia="Times New Roman" w:hAnsi="Times New Roman" w:cs="Times New Roman"/>
                <w:bCs/>
                <w:lang w:eastAsia="en-GB"/>
              </w:rPr>
            </w:pPr>
          </w:p>
        </w:tc>
      </w:tr>
    </w:tbl>
    <w:p w14:paraId="5A84A26D" w14:textId="77777777" w:rsidR="008610EA" w:rsidRDefault="008610EA" w:rsidP="008610EA">
      <w:pPr>
        <w:pStyle w:val="Heading1"/>
        <w:rPr>
          <w:rFonts w:ascii="Calibri" w:eastAsiaTheme="minorHAnsi" w:hAnsi="Calibri" w:cs="Calibri"/>
          <w:color w:val="007DC3"/>
          <w:szCs w:val="22"/>
        </w:rPr>
      </w:pPr>
      <w:r>
        <w:rPr>
          <w:rFonts w:ascii="Calibri" w:eastAsiaTheme="minorHAnsi" w:hAnsi="Calibri" w:cs="Calibri"/>
          <w:color w:val="007DC3"/>
          <w:szCs w:val="22"/>
        </w:rPr>
        <w:lastRenderedPageBreak/>
        <w:t>PEOPLE – HEADLINES</w:t>
      </w:r>
    </w:p>
    <w:tbl>
      <w:tblPr>
        <w:tblStyle w:val="TableGrid"/>
        <w:tblW w:w="0" w:type="auto"/>
        <w:tblLook w:val="04A0" w:firstRow="1" w:lastRow="0" w:firstColumn="1" w:lastColumn="0" w:noHBand="0" w:noVBand="1"/>
      </w:tblPr>
      <w:tblGrid>
        <w:gridCol w:w="3047"/>
        <w:gridCol w:w="10901"/>
      </w:tblGrid>
      <w:tr w:rsidR="008610EA" w:rsidRPr="00C851BB" w14:paraId="2BB1245B" w14:textId="77777777" w:rsidTr="0046298B">
        <w:tc>
          <w:tcPr>
            <w:tcW w:w="3047" w:type="dxa"/>
            <w:shd w:val="clear" w:color="auto" w:fill="F2F2F2" w:themeFill="background1" w:themeFillShade="F2"/>
          </w:tcPr>
          <w:p w14:paraId="2D5818CC" w14:textId="77777777" w:rsidR="008610EA" w:rsidRDefault="008610EA" w:rsidP="0046298B">
            <w:pPr>
              <w:rPr>
                <w:rFonts w:ascii="Calibri" w:hAnsi="Calibri" w:cs="Calibri"/>
                <w:b/>
                <w:bCs/>
              </w:rPr>
            </w:pPr>
            <w:r>
              <w:rPr>
                <w:rFonts w:ascii="Calibri" w:hAnsi="Calibri" w:cs="Calibri"/>
                <w:b/>
                <w:bCs/>
              </w:rPr>
              <w:t>Employee Engagement</w:t>
            </w:r>
          </w:p>
        </w:tc>
        <w:tc>
          <w:tcPr>
            <w:tcW w:w="10901" w:type="dxa"/>
            <w:shd w:val="clear" w:color="auto" w:fill="F2F2F2" w:themeFill="background1" w:themeFillShade="F2"/>
          </w:tcPr>
          <w:p w14:paraId="27BC24D9" w14:textId="16240EFC" w:rsidR="008610EA" w:rsidRDefault="008610EA" w:rsidP="008610EA">
            <w:pPr>
              <w:pStyle w:val="ListParagraph"/>
              <w:numPr>
                <w:ilvl w:val="0"/>
                <w:numId w:val="15"/>
              </w:numPr>
              <w:textAlignment w:val="baseline"/>
              <w:rPr>
                <w:rFonts w:ascii="Calibri" w:eastAsia="Times New Roman" w:hAnsi="Calibri" w:cs="Calibri"/>
                <w:bCs/>
                <w:lang w:eastAsia="en-GB"/>
              </w:rPr>
            </w:pPr>
            <w:r>
              <w:rPr>
                <w:rFonts w:ascii="Calibri" w:eastAsia="Times New Roman" w:hAnsi="Calibri" w:cs="Calibri"/>
                <w:bCs/>
                <w:lang w:eastAsia="en-GB"/>
              </w:rPr>
              <w:t>Maxi Survey launched in December and close</w:t>
            </w:r>
            <w:r w:rsidR="00580319">
              <w:rPr>
                <w:rFonts w:ascii="Calibri" w:eastAsia="Times New Roman" w:hAnsi="Calibri" w:cs="Calibri"/>
                <w:bCs/>
                <w:lang w:eastAsia="en-GB"/>
              </w:rPr>
              <w:t>d</w:t>
            </w:r>
            <w:r>
              <w:rPr>
                <w:rFonts w:ascii="Calibri" w:eastAsia="Times New Roman" w:hAnsi="Calibri" w:cs="Calibri"/>
                <w:bCs/>
                <w:lang w:eastAsia="en-GB"/>
              </w:rPr>
              <w:t xml:space="preserve"> on 20</w:t>
            </w:r>
            <w:r w:rsidRPr="008610EA">
              <w:rPr>
                <w:rFonts w:ascii="Calibri" w:eastAsia="Times New Roman" w:hAnsi="Calibri" w:cs="Calibri"/>
                <w:bCs/>
                <w:lang w:eastAsia="en-GB"/>
              </w:rPr>
              <w:t>th</w:t>
            </w:r>
            <w:r>
              <w:rPr>
                <w:rFonts w:ascii="Calibri" w:eastAsia="Times New Roman" w:hAnsi="Calibri" w:cs="Calibri"/>
                <w:bCs/>
                <w:lang w:eastAsia="en-GB"/>
              </w:rPr>
              <w:t xml:space="preserve"> January</w:t>
            </w:r>
          </w:p>
          <w:p w14:paraId="6ECAEA1E" w14:textId="77777777" w:rsidR="008610EA" w:rsidRDefault="008610EA" w:rsidP="008610EA">
            <w:pPr>
              <w:pStyle w:val="ListParagraph"/>
              <w:numPr>
                <w:ilvl w:val="0"/>
                <w:numId w:val="15"/>
              </w:numPr>
              <w:textAlignment w:val="baseline"/>
              <w:rPr>
                <w:rFonts w:ascii="Calibri" w:eastAsia="Times New Roman" w:hAnsi="Calibri" w:cs="Calibri"/>
                <w:bCs/>
                <w:lang w:eastAsia="en-GB"/>
              </w:rPr>
            </w:pPr>
            <w:r>
              <w:rPr>
                <w:rFonts w:ascii="Calibri" w:eastAsia="Times New Roman" w:hAnsi="Calibri" w:cs="Calibri"/>
                <w:bCs/>
                <w:lang w:eastAsia="en-GB"/>
              </w:rPr>
              <w:t xml:space="preserve">The response rate to date (08 January 2025) on the Maxi Survey is 51% </w:t>
            </w:r>
          </w:p>
          <w:p w14:paraId="77DE7165" w14:textId="232A9944" w:rsidR="00CF7EC8" w:rsidRPr="00CF7EC8" w:rsidRDefault="00CF7EC8" w:rsidP="00CF7EC8">
            <w:pPr>
              <w:pStyle w:val="ListParagraph"/>
              <w:numPr>
                <w:ilvl w:val="0"/>
                <w:numId w:val="15"/>
              </w:numPr>
              <w:textAlignment w:val="baseline"/>
              <w:rPr>
                <w:rFonts w:ascii="Calibri" w:eastAsia="Times New Roman" w:hAnsi="Calibri" w:cs="Calibri"/>
                <w:bCs/>
                <w:lang w:eastAsia="en-GB"/>
              </w:rPr>
            </w:pPr>
            <w:r w:rsidRPr="00CF7EC8">
              <w:rPr>
                <w:rFonts w:ascii="Calibri" w:eastAsia="Times New Roman" w:hAnsi="Calibri" w:cs="Calibri"/>
                <w:bCs/>
                <w:lang w:eastAsia="en-GB"/>
              </w:rPr>
              <w:t xml:space="preserve">We excluded the employee engagement section in the </w:t>
            </w:r>
            <w:r>
              <w:rPr>
                <w:rFonts w:ascii="Calibri" w:eastAsia="Times New Roman" w:hAnsi="Calibri" w:cs="Calibri"/>
                <w:bCs/>
                <w:lang w:eastAsia="en-GB"/>
              </w:rPr>
              <w:t>main performance scorecard</w:t>
            </w:r>
            <w:r w:rsidRPr="00CF7EC8">
              <w:rPr>
                <w:rFonts w:ascii="Calibri" w:eastAsia="Times New Roman" w:hAnsi="Calibri" w:cs="Calibri"/>
                <w:bCs/>
                <w:lang w:eastAsia="en-GB"/>
              </w:rPr>
              <w:t xml:space="preserve"> because the pulse survey results will not be available until after </w:t>
            </w:r>
            <w:r>
              <w:rPr>
                <w:rFonts w:ascii="Calibri" w:eastAsia="Times New Roman" w:hAnsi="Calibri" w:cs="Calibri"/>
                <w:bCs/>
                <w:lang w:eastAsia="en-GB"/>
              </w:rPr>
              <w:t>the survey</w:t>
            </w:r>
            <w:r w:rsidRPr="00CF7EC8">
              <w:rPr>
                <w:rFonts w:ascii="Calibri" w:eastAsia="Times New Roman" w:hAnsi="Calibri" w:cs="Calibri"/>
                <w:bCs/>
                <w:lang w:eastAsia="en-GB"/>
              </w:rPr>
              <w:t xml:space="preserve"> closes on 20 January</w:t>
            </w:r>
            <w:r>
              <w:rPr>
                <w:rFonts w:ascii="Calibri" w:eastAsia="Times New Roman" w:hAnsi="Calibri" w:cs="Calibri"/>
                <w:bCs/>
                <w:lang w:eastAsia="en-GB"/>
              </w:rPr>
              <w:t>.</w:t>
            </w:r>
          </w:p>
        </w:tc>
      </w:tr>
      <w:tr w:rsidR="008610EA" w:rsidRPr="00C851BB" w14:paraId="1B540FCA" w14:textId="77777777" w:rsidTr="0046298B">
        <w:tc>
          <w:tcPr>
            <w:tcW w:w="3047" w:type="dxa"/>
            <w:shd w:val="clear" w:color="auto" w:fill="F2F2F2" w:themeFill="background1" w:themeFillShade="F2"/>
          </w:tcPr>
          <w:p w14:paraId="45CC89DB" w14:textId="77777777" w:rsidR="008610EA" w:rsidRPr="00A65753" w:rsidRDefault="008610EA" w:rsidP="0046298B">
            <w:pPr>
              <w:rPr>
                <w:rFonts w:ascii="Calibri" w:hAnsi="Calibri" w:cs="Calibri"/>
                <w:b/>
                <w:bCs/>
              </w:rPr>
            </w:pPr>
            <w:r>
              <w:rPr>
                <w:rFonts w:ascii="Calibri" w:hAnsi="Calibri" w:cs="Calibri"/>
                <w:b/>
                <w:bCs/>
              </w:rPr>
              <w:t>Employee Benefits</w:t>
            </w:r>
          </w:p>
        </w:tc>
        <w:tc>
          <w:tcPr>
            <w:tcW w:w="10901" w:type="dxa"/>
            <w:shd w:val="clear" w:color="auto" w:fill="F2F2F2" w:themeFill="background1" w:themeFillShade="F2"/>
          </w:tcPr>
          <w:p w14:paraId="52D16562" w14:textId="77777777" w:rsidR="008610EA" w:rsidRPr="008610EA" w:rsidRDefault="008610EA" w:rsidP="008610EA">
            <w:pPr>
              <w:pStyle w:val="ListParagraph"/>
              <w:numPr>
                <w:ilvl w:val="0"/>
                <w:numId w:val="15"/>
              </w:numPr>
              <w:textAlignment w:val="baseline"/>
              <w:rPr>
                <w:rFonts w:ascii="Calibri" w:eastAsia="Times New Roman" w:hAnsi="Calibri" w:cs="Calibri"/>
                <w:bCs/>
                <w:lang w:eastAsia="en-GB"/>
              </w:rPr>
            </w:pPr>
            <w:r>
              <w:rPr>
                <w:rFonts w:ascii="Calibri" w:eastAsia="Times New Roman" w:hAnsi="Calibri" w:cs="Calibri"/>
                <w:bCs/>
                <w:lang w:eastAsia="en-GB"/>
              </w:rPr>
              <w:t>Following the change to the new EAP provider i</w:t>
            </w:r>
            <w:r w:rsidRPr="00C851BB">
              <w:rPr>
                <w:rFonts w:ascii="Calibri" w:eastAsia="Times New Roman" w:hAnsi="Calibri" w:cs="Calibri"/>
                <w:bCs/>
                <w:lang w:eastAsia="en-GB"/>
              </w:rPr>
              <w:t xml:space="preserve">n August, </w:t>
            </w:r>
            <w:r>
              <w:rPr>
                <w:rFonts w:ascii="Calibri" w:eastAsia="Times New Roman" w:hAnsi="Calibri" w:cs="Calibri"/>
                <w:bCs/>
                <w:lang w:eastAsia="en-GB"/>
              </w:rPr>
              <w:t>we have seen continued growth in the number of colleagues</w:t>
            </w:r>
            <w:r w:rsidRPr="00C851BB">
              <w:rPr>
                <w:rFonts w:ascii="Calibri" w:eastAsia="Times New Roman" w:hAnsi="Calibri" w:cs="Calibri"/>
                <w:bCs/>
                <w:lang w:eastAsia="en-GB"/>
              </w:rPr>
              <w:t xml:space="preserve"> signed up to the Spectrum </w:t>
            </w:r>
            <w:r>
              <w:rPr>
                <w:rFonts w:ascii="Calibri" w:eastAsia="Times New Roman" w:hAnsi="Calibri" w:cs="Calibri"/>
                <w:bCs/>
                <w:lang w:eastAsia="en-GB"/>
              </w:rPr>
              <w:t>web</w:t>
            </w:r>
            <w:r w:rsidRPr="00C851BB">
              <w:rPr>
                <w:rFonts w:ascii="Calibri" w:eastAsia="Times New Roman" w:hAnsi="Calibri" w:cs="Calibri"/>
                <w:bCs/>
                <w:lang w:eastAsia="en-GB"/>
              </w:rPr>
              <w:t>site</w:t>
            </w:r>
            <w:r>
              <w:rPr>
                <w:rFonts w:ascii="Calibri" w:eastAsia="Times New Roman" w:hAnsi="Calibri" w:cs="Calibri"/>
                <w:bCs/>
                <w:lang w:eastAsia="en-GB"/>
              </w:rPr>
              <w:t>. We now have</w:t>
            </w:r>
            <w:r w:rsidRPr="00C851BB">
              <w:rPr>
                <w:rFonts w:ascii="Calibri" w:eastAsia="Times New Roman" w:hAnsi="Calibri" w:cs="Calibri"/>
                <w:bCs/>
                <w:lang w:eastAsia="en-GB"/>
              </w:rPr>
              <w:t xml:space="preserve"> </w:t>
            </w:r>
            <w:r>
              <w:rPr>
                <w:rFonts w:ascii="Calibri" w:eastAsia="Times New Roman" w:hAnsi="Calibri" w:cs="Calibri"/>
                <w:bCs/>
                <w:lang w:eastAsia="en-GB"/>
              </w:rPr>
              <w:t>31.88</w:t>
            </w:r>
            <w:r w:rsidRPr="00C851BB">
              <w:rPr>
                <w:rFonts w:ascii="Calibri" w:eastAsia="Times New Roman" w:hAnsi="Calibri" w:cs="Calibri"/>
                <w:bCs/>
                <w:lang w:eastAsia="en-GB"/>
              </w:rPr>
              <w:t xml:space="preserve">% </w:t>
            </w:r>
            <w:r w:rsidRPr="008610EA">
              <w:rPr>
                <w:rFonts w:ascii="Calibri" w:eastAsia="Times New Roman" w:hAnsi="Calibri" w:cs="Calibri"/>
                <w:bCs/>
                <w:lang w:eastAsia="en-GB"/>
              </w:rPr>
              <w:t xml:space="preserve">(↑11.88%) </w:t>
            </w:r>
            <w:r w:rsidRPr="00C851BB">
              <w:rPr>
                <w:rFonts w:ascii="Calibri" w:eastAsia="Times New Roman" w:hAnsi="Calibri" w:cs="Calibri"/>
                <w:bCs/>
                <w:lang w:eastAsia="en-GB"/>
              </w:rPr>
              <w:t>of</w:t>
            </w:r>
            <w:r>
              <w:rPr>
                <w:rFonts w:ascii="Calibri" w:eastAsia="Times New Roman" w:hAnsi="Calibri" w:cs="Calibri"/>
                <w:bCs/>
                <w:lang w:eastAsia="en-GB"/>
              </w:rPr>
              <w:t xml:space="preserve"> employees signed up for the service</w:t>
            </w:r>
            <w:r w:rsidRPr="00C851BB">
              <w:rPr>
                <w:rFonts w:ascii="Calibri" w:eastAsia="Times New Roman" w:hAnsi="Calibri" w:cs="Calibri"/>
                <w:bCs/>
                <w:lang w:eastAsia="en-GB"/>
              </w:rPr>
              <w:t xml:space="preserve">, with a total of </w:t>
            </w:r>
            <w:r>
              <w:rPr>
                <w:rFonts w:ascii="Calibri" w:eastAsia="Times New Roman" w:hAnsi="Calibri" w:cs="Calibri"/>
                <w:bCs/>
                <w:lang w:eastAsia="en-GB"/>
              </w:rPr>
              <w:t>878</w:t>
            </w:r>
            <w:r w:rsidRPr="00C851BB">
              <w:rPr>
                <w:rFonts w:ascii="Calibri" w:eastAsia="Times New Roman" w:hAnsi="Calibri" w:cs="Calibri"/>
                <w:bCs/>
                <w:lang w:eastAsia="en-GB"/>
              </w:rPr>
              <w:t xml:space="preserve"> visits to the web page</w:t>
            </w:r>
            <w:r>
              <w:rPr>
                <w:rFonts w:ascii="Calibri" w:eastAsia="Times New Roman" w:hAnsi="Calibri" w:cs="Calibri"/>
                <w:bCs/>
                <w:lang w:eastAsia="en-GB"/>
              </w:rPr>
              <w:t xml:space="preserve"> </w:t>
            </w:r>
            <w:r w:rsidRPr="008610EA">
              <w:rPr>
                <w:rFonts w:ascii="Calibri" w:eastAsia="Times New Roman" w:hAnsi="Calibri" w:cs="Calibri"/>
                <w:bCs/>
                <w:lang w:eastAsia="en-GB"/>
              </w:rPr>
              <w:t>(↑499 from Q2)</w:t>
            </w:r>
            <w:r w:rsidRPr="00C851BB">
              <w:rPr>
                <w:rFonts w:ascii="Calibri" w:eastAsia="Times New Roman" w:hAnsi="Calibri" w:cs="Calibri"/>
                <w:bCs/>
                <w:lang w:eastAsia="en-GB"/>
              </w:rPr>
              <w:t xml:space="preserve">. </w:t>
            </w:r>
          </w:p>
          <w:p w14:paraId="462B3DBD" w14:textId="49CC30BE" w:rsidR="008610EA" w:rsidRPr="008610EA" w:rsidRDefault="008610EA" w:rsidP="008610EA">
            <w:pPr>
              <w:pStyle w:val="ListParagraph"/>
              <w:numPr>
                <w:ilvl w:val="0"/>
                <w:numId w:val="15"/>
              </w:numPr>
              <w:textAlignment w:val="baseline"/>
              <w:rPr>
                <w:rFonts w:ascii="Calibri" w:eastAsia="Times New Roman" w:hAnsi="Calibri" w:cs="Calibri"/>
                <w:bCs/>
                <w:lang w:eastAsia="en-GB"/>
              </w:rPr>
            </w:pPr>
            <w:r w:rsidRPr="00C851BB">
              <w:rPr>
                <w:rFonts w:ascii="Calibri" w:eastAsia="Times New Roman" w:hAnsi="Calibri" w:cs="Calibri"/>
                <w:bCs/>
                <w:lang w:eastAsia="en-GB"/>
              </w:rPr>
              <w:t>Most of those views w</w:t>
            </w:r>
            <w:r w:rsidR="009C5409">
              <w:rPr>
                <w:rFonts w:ascii="Calibri" w:eastAsia="Times New Roman" w:hAnsi="Calibri" w:cs="Calibri"/>
                <w:bCs/>
                <w:lang w:eastAsia="en-GB"/>
              </w:rPr>
              <w:t>ere</w:t>
            </w:r>
            <w:r w:rsidRPr="00C851BB">
              <w:rPr>
                <w:rFonts w:ascii="Calibri" w:eastAsia="Times New Roman" w:hAnsi="Calibri" w:cs="Calibri"/>
                <w:bCs/>
                <w:lang w:eastAsia="en-GB"/>
              </w:rPr>
              <w:t xml:space="preserve"> to the digital gym followed by the wellbeing content. </w:t>
            </w:r>
          </w:p>
          <w:p w14:paraId="03EC4D09" w14:textId="127B5F15" w:rsidR="008610EA" w:rsidRPr="00273051" w:rsidRDefault="00CF7EC8" w:rsidP="008610EA">
            <w:pPr>
              <w:pStyle w:val="ListParagraph"/>
              <w:numPr>
                <w:ilvl w:val="0"/>
                <w:numId w:val="15"/>
              </w:numPr>
              <w:textAlignment w:val="baseline"/>
              <w:rPr>
                <w:rFonts w:ascii="Calibri" w:hAnsi="Calibri" w:cs="Calibri"/>
              </w:rPr>
            </w:pPr>
            <w:r>
              <w:rPr>
                <w:rFonts w:ascii="Calibri" w:eastAsia="Times New Roman" w:hAnsi="Calibri" w:cs="Calibri"/>
                <w:bCs/>
                <w:lang w:eastAsia="en-GB"/>
              </w:rPr>
              <w:t>7.38</w:t>
            </w:r>
            <w:r w:rsidRPr="00C851BB">
              <w:rPr>
                <w:rFonts w:ascii="Calibri" w:eastAsia="Times New Roman" w:hAnsi="Calibri" w:cs="Calibri"/>
                <w:bCs/>
                <w:lang w:eastAsia="en-GB"/>
              </w:rPr>
              <w:t xml:space="preserve">% </w:t>
            </w:r>
            <w:r>
              <w:rPr>
                <w:rFonts w:ascii="Calibri" w:eastAsia="Times New Roman" w:hAnsi="Calibri" w:cs="Calibri"/>
                <w:bCs/>
                <w:lang w:eastAsia="en-GB"/>
              </w:rPr>
              <w:t>of employees have</w:t>
            </w:r>
            <w:r w:rsidRPr="00C851BB">
              <w:rPr>
                <w:rFonts w:ascii="Calibri" w:eastAsia="Times New Roman" w:hAnsi="Calibri" w:cs="Calibri"/>
                <w:bCs/>
                <w:lang w:eastAsia="en-GB"/>
              </w:rPr>
              <w:t xml:space="preserve"> contacted the EAP helpline</w:t>
            </w:r>
            <w:r w:rsidR="00576D85">
              <w:rPr>
                <w:rFonts w:ascii="Calibri" w:eastAsia="Times New Roman" w:hAnsi="Calibri" w:cs="Calibri"/>
                <w:bCs/>
                <w:lang w:eastAsia="en-GB"/>
              </w:rPr>
              <w:t xml:space="preserve"> and</w:t>
            </w:r>
            <w:r>
              <w:rPr>
                <w:rFonts w:ascii="Calibri" w:eastAsia="Times New Roman" w:hAnsi="Calibri" w:cs="Calibri"/>
                <w:bCs/>
                <w:lang w:eastAsia="en-GB"/>
              </w:rPr>
              <w:t xml:space="preserve"> </w:t>
            </w:r>
            <w:r w:rsidR="00576D85">
              <w:rPr>
                <w:rFonts w:ascii="Calibri" w:eastAsia="Times New Roman" w:hAnsi="Calibri" w:cs="Calibri"/>
                <w:bCs/>
                <w:lang w:eastAsia="en-GB"/>
              </w:rPr>
              <w:t>of those that contacted the EAP helpline</w:t>
            </w:r>
            <w:r w:rsidR="00841ED2">
              <w:rPr>
                <w:rFonts w:ascii="Calibri" w:eastAsia="Times New Roman" w:hAnsi="Calibri" w:cs="Calibri"/>
                <w:bCs/>
                <w:lang w:eastAsia="en-GB"/>
              </w:rPr>
              <w:t>,</w:t>
            </w:r>
            <w:r w:rsidR="00576D85">
              <w:rPr>
                <w:rFonts w:ascii="Calibri" w:eastAsia="Times New Roman" w:hAnsi="Calibri" w:cs="Calibri"/>
                <w:bCs/>
                <w:lang w:eastAsia="en-GB"/>
              </w:rPr>
              <w:t xml:space="preserve"> </w:t>
            </w:r>
            <w:r>
              <w:rPr>
                <w:rFonts w:ascii="Calibri" w:eastAsia="Times New Roman" w:hAnsi="Calibri" w:cs="Calibri"/>
                <w:bCs/>
                <w:lang w:eastAsia="en-GB"/>
              </w:rPr>
              <w:t>3.4% have been partners</w:t>
            </w:r>
            <w:r w:rsidRPr="00C851BB">
              <w:rPr>
                <w:rFonts w:ascii="Calibri" w:eastAsia="Times New Roman" w:hAnsi="Calibri" w:cs="Calibri"/>
                <w:bCs/>
                <w:lang w:eastAsia="en-GB"/>
              </w:rPr>
              <w:t>.</w:t>
            </w:r>
          </w:p>
        </w:tc>
      </w:tr>
      <w:tr w:rsidR="008610EA" w:rsidRPr="00A65753" w14:paraId="773B5907" w14:textId="77777777" w:rsidTr="0046298B">
        <w:tc>
          <w:tcPr>
            <w:tcW w:w="3047" w:type="dxa"/>
            <w:shd w:val="clear" w:color="auto" w:fill="F2F2F2" w:themeFill="background1" w:themeFillShade="F2"/>
          </w:tcPr>
          <w:p w14:paraId="02EE70BC" w14:textId="77777777" w:rsidR="008610EA" w:rsidRDefault="008610EA" w:rsidP="0046298B">
            <w:pPr>
              <w:rPr>
                <w:rFonts w:ascii="Calibri" w:hAnsi="Calibri" w:cs="Calibri"/>
                <w:b/>
                <w:bCs/>
              </w:rPr>
            </w:pPr>
            <w:r>
              <w:rPr>
                <w:rFonts w:ascii="Calibri" w:hAnsi="Calibri" w:cs="Calibri"/>
                <w:b/>
                <w:bCs/>
              </w:rPr>
              <w:t xml:space="preserve">Employer of Choice </w:t>
            </w:r>
          </w:p>
          <w:p w14:paraId="10678031" w14:textId="77777777" w:rsidR="008610EA" w:rsidRPr="00A65753" w:rsidRDefault="008610EA" w:rsidP="0046298B">
            <w:pPr>
              <w:rPr>
                <w:rFonts w:ascii="Calibri" w:hAnsi="Calibri" w:cs="Calibri"/>
                <w:b/>
                <w:bCs/>
              </w:rPr>
            </w:pPr>
          </w:p>
        </w:tc>
        <w:tc>
          <w:tcPr>
            <w:tcW w:w="10901" w:type="dxa"/>
            <w:shd w:val="clear" w:color="auto" w:fill="F2F2F2" w:themeFill="background1" w:themeFillShade="F2"/>
          </w:tcPr>
          <w:p w14:paraId="6DAD8B80" w14:textId="3976D49F" w:rsidR="008610EA" w:rsidRPr="00C851BB" w:rsidRDefault="008610EA" w:rsidP="008610EA">
            <w:pPr>
              <w:pStyle w:val="ListParagraph"/>
              <w:numPr>
                <w:ilvl w:val="0"/>
                <w:numId w:val="15"/>
              </w:numPr>
              <w:textAlignment w:val="baseline"/>
              <w:rPr>
                <w:rFonts w:ascii="Times New Roman" w:eastAsia="Times New Roman" w:hAnsi="Times New Roman" w:cs="Times New Roman"/>
                <w:bCs/>
                <w:lang w:eastAsia="en-GB"/>
              </w:rPr>
            </w:pPr>
            <w:r>
              <w:rPr>
                <w:rFonts w:ascii="Calibri" w:eastAsia="Times New Roman" w:hAnsi="Calibri" w:cs="Calibri"/>
                <w:bCs/>
                <w:lang w:eastAsia="en-GB"/>
              </w:rPr>
              <w:t>48</w:t>
            </w:r>
            <w:r w:rsidRPr="00C851BB">
              <w:rPr>
                <w:rFonts w:ascii="Calibri" w:eastAsia="Times New Roman" w:hAnsi="Calibri" w:cs="Calibri"/>
                <w:bCs/>
                <w:lang w:eastAsia="en-GB"/>
              </w:rPr>
              <w:t>% return rate for exit questionnaires (1</w:t>
            </w:r>
            <w:r>
              <w:rPr>
                <w:rFonts w:ascii="Calibri" w:eastAsia="Times New Roman" w:hAnsi="Calibri" w:cs="Calibri"/>
                <w:bCs/>
                <w:lang w:eastAsia="en-GB"/>
              </w:rPr>
              <w:t>1</w:t>
            </w:r>
            <w:r w:rsidRPr="00C851BB">
              <w:rPr>
                <w:rFonts w:ascii="Calibri" w:eastAsia="Times New Roman" w:hAnsi="Calibri" w:cs="Calibri"/>
                <w:bCs/>
                <w:lang w:eastAsia="en-GB"/>
              </w:rPr>
              <w:t xml:space="preserve"> in total), (Q</w:t>
            </w:r>
            <w:r>
              <w:rPr>
                <w:rFonts w:ascii="Calibri" w:eastAsia="Times New Roman" w:hAnsi="Calibri" w:cs="Calibri"/>
                <w:bCs/>
                <w:lang w:eastAsia="en-GB"/>
              </w:rPr>
              <w:t>2</w:t>
            </w:r>
            <w:r w:rsidRPr="00C851BB">
              <w:rPr>
                <w:rFonts w:ascii="Calibri" w:eastAsia="Times New Roman" w:hAnsi="Calibri" w:cs="Calibri"/>
                <w:bCs/>
                <w:lang w:eastAsia="en-GB"/>
              </w:rPr>
              <w:t xml:space="preserve">; </w:t>
            </w:r>
            <w:r>
              <w:rPr>
                <w:rFonts w:ascii="Calibri" w:eastAsia="Times New Roman" w:hAnsi="Calibri" w:cs="Calibri"/>
                <w:bCs/>
                <w:lang w:eastAsia="en-GB"/>
              </w:rPr>
              <w:t>61</w:t>
            </w:r>
            <w:r w:rsidRPr="00C851BB">
              <w:rPr>
                <w:rFonts w:ascii="Calibri" w:eastAsia="Times New Roman" w:hAnsi="Calibri" w:cs="Calibri"/>
                <w:bCs/>
                <w:lang w:eastAsia="en-GB"/>
              </w:rPr>
              <w:t>%).</w:t>
            </w:r>
          </w:p>
          <w:p w14:paraId="35CDAB15" w14:textId="77777777" w:rsidR="008610EA" w:rsidRPr="009E5EDC" w:rsidRDefault="008610EA" w:rsidP="008610EA">
            <w:pPr>
              <w:pStyle w:val="ListParagraph"/>
              <w:numPr>
                <w:ilvl w:val="0"/>
                <w:numId w:val="15"/>
              </w:numPr>
              <w:textAlignment w:val="baseline"/>
              <w:rPr>
                <w:rFonts w:ascii="Times New Roman" w:eastAsia="Times New Roman" w:hAnsi="Times New Roman" w:cs="Times New Roman"/>
                <w:bCs/>
                <w:lang w:eastAsia="en-GB"/>
              </w:rPr>
            </w:pPr>
            <w:r w:rsidRPr="009E5EDC">
              <w:rPr>
                <w:rFonts w:ascii="Calibri" w:eastAsia="Times New Roman" w:hAnsi="Calibri" w:cs="Calibri"/>
                <w:bCs/>
                <w:lang w:eastAsia="en-GB"/>
              </w:rPr>
              <w:t xml:space="preserve">The average return rate in 2024/25 to date is 64%, </w:t>
            </w:r>
            <w:r>
              <w:rPr>
                <w:rFonts w:ascii="Calibri" w:eastAsia="Times New Roman" w:hAnsi="Calibri" w:cs="Calibri"/>
                <w:bCs/>
                <w:lang w:eastAsia="en-GB"/>
              </w:rPr>
              <w:t>n</w:t>
            </w:r>
            <w:r w:rsidRPr="009E5EDC">
              <w:rPr>
                <w:rFonts w:ascii="Calibri" w:eastAsia="Times New Roman" w:hAnsi="Calibri" w:cs="Calibri"/>
                <w:bCs/>
                <w:lang w:eastAsia="en-GB"/>
              </w:rPr>
              <w:t>o significant issues highlighted.</w:t>
            </w:r>
          </w:p>
          <w:p w14:paraId="2E290897" w14:textId="6935055B" w:rsidR="008610EA" w:rsidRPr="00053BF0" w:rsidRDefault="008610EA" w:rsidP="008610EA">
            <w:pPr>
              <w:pStyle w:val="ListParagraph"/>
              <w:numPr>
                <w:ilvl w:val="0"/>
                <w:numId w:val="15"/>
              </w:numPr>
              <w:textAlignment w:val="baseline"/>
              <w:rPr>
                <w:rFonts w:ascii="Calibri" w:hAnsi="Calibri" w:cs="Calibri"/>
              </w:rPr>
            </w:pPr>
            <w:r>
              <w:rPr>
                <w:rFonts w:ascii="Calibri" w:eastAsia="Times New Roman" w:hAnsi="Calibri" w:cs="Calibri"/>
                <w:bCs/>
                <w:lang w:eastAsia="en-GB"/>
              </w:rPr>
              <w:t xml:space="preserve">Since going live with the supplementary questions, the main reason </w:t>
            </w:r>
            <w:r w:rsidR="00580319">
              <w:rPr>
                <w:rFonts w:ascii="Calibri" w:eastAsia="Times New Roman" w:hAnsi="Calibri" w:cs="Calibri"/>
                <w:bCs/>
                <w:lang w:eastAsia="en-GB"/>
              </w:rPr>
              <w:t>that</w:t>
            </w:r>
            <w:r>
              <w:rPr>
                <w:rFonts w:ascii="Calibri" w:eastAsia="Times New Roman" w:hAnsi="Calibri" w:cs="Calibri"/>
                <w:bCs/>
                <w:lang w:eastAsia="en-GB"/>
              </w:rPr>
              <w:t xml:space="preserve"> prompted leavers to look for alternative employment was fixed term contract, and they remained employed in the public sector.</w:t>
            </w:r>
          </w:p>
        </w:tc>
      </w:tr>
      <w:bookmarkEnd w:id="7"/>
    </w:tbl>
    <w:p w14:paraId="42A20FF5" w14:textId="03AA398F" w:rsidR="006B3BD2" w:rsidRDefault="006B3BD2" w:rsidP="000913D4"/>
    <w:p w14:paraId="0A37F0AD" w14:textId="256EE859" w:rsidR="00DB33C5" w:rsidRDefault="00DB33C5">
      <w:r>
        <w:br w:type="page"/>
      </w:r>
    </w:p>
    <w:p w14:paraId="4C8FF12D" w14:textId="2EB21F9B" w:rsidR="006B3BD2" w:rsidRDefault="006B3BD2">
      <w:r>
        <w:lastRenderedPageBreak/>
        <w:t>Annex A – Corporate Risk Register (High Risks)</w:t>
      </w:r>
    </w:p>
    <w:tbl>
      <w:tblPr>
        <w:tblStyle w:val="TableGrid"/>
        <w:tblpPr w:leftFromText="180" w:rightFromText="180" w:vertAnchor="text" w:horzAnchor="margin" w:tblpY="-842"/>
        <w:tblW w:w="15735" w:type="dxa"/>
        <w:tblLook w:val="04A0" w:firstRow="1" w:lastRow="0" w:firstColumn="1" w:lastColumn="0" w:noHBand="0" w:noVBand="1"/>
      </w:tblPr>
      <w:tblGrid>
        <w:gridCol w:w="1548"/>
        <w:gridCol w:w="2438"/>
        <w:gridCol w:w="4730"/>
        <w:gridCol w:w="943"/>
        <w:gridCol w:w="844"/>
        <w:gridCol w:w="841"/>
        <w:gridCol w:w="4391"/>
      </w:tblGrid>
      <w:tr w:rsidR="006B3BD2" w:rsidRPr="006E4026" w14:paraId="24E2AB76" w14:textId="77777777" w:rsidTr="006B3BD2">
        <w:trPr>
          <w:tblHeader/>
        </w:trPr>
        <w:tc>
          <w:tcPr>
            <w:tcW w:w="1548" w:type="dxa"/>
            <w:shd w:val="clear" w:color="auto" w:fill="244061"/>
          </w:tcPr>
          <w:p w14:paraId="15BCFA50" w14:textId="77777777" w:rsidR="006B3BD2" w:rsidRPr="006E4026" w:rsidRDefault="006B3BD2" w:rsidP="006B3BD2">
            <w:pPr>
              <w:rPr>
                <w:rFonts w:cstheme="minorHAnsi"/>
                <w:sz w:val="22"/>
                <w:szCs w:val="20"/>
              </w:rPr>
            </w:pPr>
            <w:r w:rsidRPr="006E4026">
              <w:rPr>
                <w:rFonts w:ascii="Calibri" w:hAnsi="Calibri" w:cs="Calibri"/>
                <w:b/>
                <w:bCs/>
                <w:color w:val="FFFFFF"/>
                <w:sz w:val="22"/>
                <w:szCs w:val="20"/>
              </w:rPr>
              <w:lastRenderedPageBreak/>
              <w:t>Risk Title</w:t>
            </w:r>
          </w:p>
        </w:tc>
        <w:tc>
          <w:tcPr>
            <w:tcW w:w="2438" w:type="dxa"/>
            <w:shd w:val="clear" w:color="auto" w:fill="244061"/>
          </w:tcPr>
          <w:p w14:paraId="0DDB7EB8" w14:textId="77777777" w:rsidR="006B3BD2" w:rsidRPr="006E4026" w:rsidRDefault="006B3BD2" w:rsidP="006B3BD2">
            <w:pPr>
              <w:rPr>
                <w:rFonts w:cstheme="minorHAnsi"/>
                <w:sz w:val="22"/>
                <w:szCs w:val="20"/>
              </w:rPr>
            </w:pPr>
            <w:r w:rsidRPr="006E4026">
              <w:rPr>
                <w:rFonts w:ascii="Calibri" w:hAnsi="Calibri" w:cs="Calibri"/>
                <w:b/>
                <w:bCs/>
                <w:color w:val="FFFFFF"/>
                <w:sz w:val="22"/>
                <w:szCs w:val="20"/>
              </w:rPr>
              <w:t>DESCRIPTION</w:t>
            </w:r>
          </w:p>
        </w:tc>
        <w:tc>
          <w:tcPr>
            <w:tcW w:w="4730" w:type="dxa"/>
            <w:shd w:val="clear" w:color="auto" w:fill="244061"/>
          </w:tcPr>
          <w:p w14:paraId="38992067" w14:textId="77777777" w:rsidR="006B3BD2" w:rsidRPr="006E4026" w:rsidRDefault="006B3BD2" w:rsidP="006B3BD2">
            <w:pPr>
              <w:rPr>
                <w:rFonts w:cstheme="minorHAnsi"/>
                <w:sz w:val="22"/>
                <w:szCs w:val="20"/>
              </w:rPr>
            </w:pPr>
            <w:r w:rsidRPr="006E4026">
              <w:rPr>
                <w:rFonts w:ascii="Calibri" w:hAnsi="Calibri" w:cs="Calibri"/>
                <w:b/>
                <w:bCs/>
                <w:color w:val="FFFFFF"/>
                <w:sz w:val="22"/>
                <w:szCs w:val="20"/>
              </w:rPr>
              <w:t>CONTROLS</w:t>
            </w:r>
          </w:p>
        </w:tc>
        <w:tc>
          <w:tcPr>
            <w:tcW w:w="943" w:type="dxa"/>
            <w:shd w:val="clear" w:color="auto" w:fill="244061"/>
          </w:tcPr>
          <w:p w14:paraId="657CD4CD" w14:textId="77777777" w:rsidR="006B3BD2" w:rsidRPr="006E4026" w:rsidRDefault="006B3BD2" w:rsidP="006B3BD2">
            <w:pPr>
              <w:rPr>
                <w:rFonts w:cstheme="minorHAnsi"/>
                <w:sz w:val="22"/>
                <w:szCs w:val="20"/>
              </w:rPr>
            </w:pPr>
            <w:r w:rsidRPr="006E4026">
              <w:rPr>
                <w:rFonts w:ascii="Calibri" w:hAnsi="Calibri" w:cs="Calibri"/>
                <w:b/>
                <w:bCs/>
                <w:color w:val="FFFFFF"/>
                <w:sz w:val="22"/>
                <w:szCs w:val="20"/>
              </w:rPr>
              <w:t>IMPACT</w:t>
            </w:r>
          </w:p>
        </w:tc>
        <w:tc>
          <w:tcPr>
            <w:tcW w:w="844" w:type="dxa"/>
            <w:shd w:val="clear" w:color="auto" w:fill="244061"/>
          </w:tcPr>
          <w:p w14:paraId="00FC9DF5" w14:textId="77777777" w:rsidR="006B3BD2" w:rsidRPr="006E4026" w:rsidRDefault="006B3BD2" w:rsidP="006B3BD2">
            <w:pPr>
              <w:rPr>
                <w:rFonts w:cstheme="minorHAnsi"/>
                <w:sz w:val="22"/>
                <w:szCs w:val="20"/>
              </w:rPr>
            </w:pPr>
            <w:r w:rsidRPr="006E4026">
              <w:rPr>
                <w:rFonts w:ascii="Calibri" w:hAnsi="Calibri" w:cs="Calibri"/>
                <w:b/>
                <w:bCs/>
                <w:color w:val="FFFFFF"/>
                <w:sz w:val="22"/>
                <w:szCs w:val="20"/>
              </w:rPr>
              <w:t>LIKLE-HOOD</w:t>
            </w:r>
          </w:p>
        </w:tc>
        <w:tc>
          <w:tcPr>
            <w:tcW w:w="841" w:type="dxa"/>
            <w:shd w:val="clear" w:color="auto" w:fill="244061"/>
          </w:tcPr>
          <w:p w14:paraId="76447F8A" w14:textId="77777777" w:rsidR="006B3BD2" w:rsidRPr="006E4026" w:rsidRDefault="006B3BD2" w:rsidP="006B3BD2">
            <w:pPr>
              <w:rPr>
                <w:rFonts w:cstheme="minorHAnsi"/>
                <w:sz w:val="22"/>
                <w:szCs w:val="20"/>
              </w:rPr>
            </w:pPr>
            <w:r w:rsidRPr="006E4026">
              <w:rPr>
                <w:rFonts w:ascii="Calibri" w:hAnsi="Calibri" w:cs="Calibri"/>
                <w:b/>
                <w:bCs/>
                <w:color w:val="FFFFFF"/>
                <w:sz w:val="22"/>
                <w:szCs w:val="20"/>
              </w:rPr>
              <w:t>RISK LEVEL</w:t>
            </w:r>
          </w:p>
        </w:tc>
        <w:tc>
          <w:tcPr>
            <w:tcW w:w="4391" w:type="dxa"/>
            <w:shd w:val="clear" w:color="auto" w:fill="244061"/>
          </w:tcPr>
          <w:p w14:paraId="3CDDD289" w14:textId="77777777" w:rsidR="006B3BD2" w:rsidRPr="006E4026" w:rsidRDefault="006B3BD2" w:rsidP="006B3BD2">
            <w:pPr>
              <w:rPr>
                <w:rFonts w:cstheme="minorHAnsi"/>
                <w:sz w:val="22"/>
                <w:szCs w:val="20"/>
              </w:rPr>
            </w:pPr>
            <w:r w:rsidRPr="006E4026">
              <w:rPr>
                <w:rFonts w:ascii="Calibri" w:hAnsi="Calibri" w:cs="Calibri"/>
                <w:b/>
                <w:bCs/>
                <w:color w:val="FFFFFF"/>
                <w:sz w:val="22"/>
                <w:szCs w:val="20"/>
              </w:rPr>
              <w:t>Comment</w:t>
            </w:r>
          </w:p>
        </w:tc>
      </w:tr>
      <w:tr w:rsidR="006B3BD2" w:rsidRPr="006E4026" w14:paraId="243559AA" w14:textId="77777777" w:rsidTr="006B3BD2">
        <w:tc>
          <w:tcPr>
            <w:tcW w:w="1548" w:type="dxa"/>
          </w:tcPr>
          <w:p w14:paraId="26D8919B" w14:textId="77777777" w:rsidR="006B3BD2" w:rsidRPr="006E4026" w:rsidRDefault="006B3BD2" w:rsidP="006B3BD2">
            <w:pPr>
              <w:rPr>
                <w:rFonts w:cstheme="minorHAnsi"/>
                <w:sz w:val="22"/>
                <w:szCs w:val="20"/>
              </w:rPr>
            </w:pPr>
            <w:r w:rsidRPr="006E4026">
              <w:rPr>
                <w:rFonts w:ascii="Calibri" w:hAnsi="Calibri" w:cs="Calibri"/>
                <w:bCs/>
                <w:sz w:val="22"/>
                <w:szCs w:val="20"/>
              </w:rPr>
              <w:t>47 - Computer Virus/Malware</w:t>
            </w:r>
          </w:p>
        </w:tc>
        <w:tc>
          <w:tcPr>
            <w:tcW w:w="2438" w:type="dxa"/>
          </w:tcPr>
          <w:p w14:paraId="5D56A293" w14:textId="4329189A" w:rsidR="006B3BD2" w:rsidRDefault="006B3BD2" w:rsidP="006B3BD2">
            <w:pPr>
              <w:rPr>
                <w:rFonts w:ascii="Calibri" w:hAnsi="Calibri" w:cs="Calibri"/>
                <w:sz w:val="22"/>
              </w:rPr>
            </w:pPr>
            <w:r>
              <w:rPr>
                <w:rFonts w:ascii="Calibri" w:hAnsi="Calibri" w:cs="Calibri"/>
                <w:sz w:val="22"/>
              </w:rPr>
              <w:t>As a result of inadequate protection, or inappropriate system use, including accidental activation of email links by that lead to malware downloads, there is a risk that NatureScot systems becoming infected with a malware or virus agent, resulting in NatureScot systems and data become unavailable, encrypted or corrupted, significant system downtime and huge operational impacts.</w:t>
            </w:r>
          </w:p>
          <w:p w14:paraId="5FA7D53D" w14:textId="77777777" w:rsidR="006B3BD2" w:rsidRPr="006E4026" w:rsidRDefault="006B3BD2" w:rsidP="006B3BD2">
            <w:pPr>
              <w:rPr>
                <w:rFonts w:cstheme="minorHAnsi"/>
                <w:sz w:val="22"/>
                <w:szCs w:val="20"/>
              </w:rPr>
            </w:pPr>
          </w:p>
        </w:tc>
        <w:tc>
          <w:tcPr>
            <w:tcW w:w="4730" w:type="dxa"/>
          </w:tcPr>
          <w:p w14:paraId="058416B7" w14:textId="6C9249E0" w:rsidR="006B3BD2" w:rsidRPr="006B3BD2" w:rsidRDefault="006B3BD2" w:rsidP="006B3BD2">
            <w:pPr>
              <w:rPr>
                <w:rFonts w:ascii="Calibri" w:hAnsi="Calibri" w:cs="Calibri"/>
                <w:color w:val="000000"/>
                <w:sz w:val="22"/>
              </w:rPr>
            </w:pPr>
            <w:r>
              <w:rPr>
                <w:rFonts w:ascii="Calibri" w:hAnsi="Calibri" w:cs="Calibri"/>
                <w:color w:val="000000"/>
                <w:sz w:val="22"/>
              </w:rPr>
              <w:t xml:space="preserve">*All file servers are protected by Sophos </w:t>
            </w:r>
            <w:proofErr w:type="spellStart"/>
            <w:r>
              <w:rPr>
                <w:rFonts w:ascii="Calibri" w:hAnsi="Calibri" w:cs="Calibri"/>
                <w:color w:val="000000"/>
                <w:sz w:val="22"/>
              </w:rPr>
              <w:t>anti virus</w:t>
            </w:r>
            <w:proofErr w:type="spellEnd"/>
            <w:r>
              <w:rPr>
                <w:rFonts w:ascii="Calibri" w:hAnsi="Calibri" w:cs="Calibri"/>
                <w:color w:val="000000"/>
                <w:sz w:val="22"/>
              </w:rPr>
              <w:t xml:space="preserve"> protection. Upgrades are performed automatically and can also be applied in an ad-hoc manner</w:t>
            </w:r>
            <w:r>
              <w:rPr>
                <w:rFonts w:ascii="Calibri" w:hAnsi="Calibri" w:cs="Calibri"/>
                <w:color w:val="000000"/>
                <w:sz w:val="22"/>
              </w:rPr>
              <w:br/>
              <w:t xml:space="preserve">*All PCs are protected by Sophos </w:t>
            </w:r>
            <w:proofErr w:type="spellStart"/>
            <w:r>
              <w:rPr>
                <w:rFonts w:ascii="Calibri" w:hAnsi="Calibri" w:cs="Calibri"/>
                <w:color w:val="000000"/>
                <w:sz w:val="22"/>
              </w:rPr>
              <w:t>anti virus</w:t>
            </w:r>
            <w:proofErr w:type="spellEnd"/>
            <w:r>
              <w:rPr>
                <w:rFonts w:ascii="Calibri" w:hAnsi="Calibri" w:cs="Calibri"/>
                <w:color w:val="000000"/>
                <w:sz w:val="22"/>
              </w:rPr>
              <w:t xml:space="preserve"> protection. Upgrades are received on a live basis but can be applied ad-hoc</w:t>
            </w:r>
            <w:r>
              <w:rPr>
                <w:rFonts w:ascii="Calibri" w:hAnsi="Calibri" w:cs="Calibri"/>
                <w:color w:val="000000"/>
                <w:sz w:val="22"/>
              </w:rPr>
              <w:br/>
              <w:t xml:space="preserve">*All incoming emails are scanned for viruses. </w:t>
            </w:r>
            <w:r>
              <w:rPr>
                <w:rFonts w:ascii="Calibri" w:hAnsi="Calibri" w:cs="Calibri"/>
                <w:color w:val="000000"/>
                <w:sz w:val="22"/>
              </w:rPr>
              <w:br/>
              <w:t>*</w:t>
            </w:r>
            <w:proofErr w:type="gramStart"/>
            <w:r>
              <w:rPr>
                <w:rFonts w:ascii="Calibri" w:hAnsi="Calibri" w:cs="Calibri"/>
                <w:color w:val="000000"/>
                <w:sz w:val="22"/>
              </w:rPr>
              <w:t>All internet access,</w:t>
            </w:r>
            <w:proofErr w:type="gramEnd"/>
            <w:r>
              <w:rPr>
                <w:rFonts w:ascii="Calibri" w:hAnsi="Calibri" w:cs="Calibri"/>
                <w:color w:val="000000"/>
                <w:sz w:val="22"/>
              </w:rPr>
              <w:t xml:space="preserve"> are scanned for viruses via Zscaler service.        </w:t>
            </w:r>
            <w:r>
              <w:rPr>
                <w:rFonts w:ascii="Calibri" w:hAnsi="Calibri" w:cs="Calibri"/>
                <w:color w:val="000000"/>
                <w:sz w:val="22"/>
              </w:rPr>
              <w:br/>
              <w:t>*Raise staff awareness of potential risks relating to email links and infected documents through regular communications.</w:t>
            </w:r>
            <w:r>
              <w:rPr>
                <w:rFonts w:ascii="Calibri" w:hAnsi="Calibri" w:cs="Calibri"/>
                <w:color w:val="000000"/>
                <w:sz w:val="22"/>
              </w:rPr>
              <w:br/>
              <w:t xml:space="preserve">*Control/restriction of USB devices </w:t>
            </w:r>
            <w:r>
              <w:rPr>
                <w:rFonts w:ascii="Calibri" w:hAnsi="Calibri" w:cs="Calibri"/>
                <w:color w:val="000000"/>
                <w:sz w:val="22"/>
              </w:rPr>
              <w:br/>
              <w:t>*Awareness raising with staff via Blogs and update articles</w:t>
            </w:r>
            <w:r>
              <w:rPr>
                <w:rFonts w:ascii="Calibri" w:hAnsi="Calibri" w:cs="Calibri"/>
                <w:color w:val="000000"/>
                <w:sz w:val="22"/>
              </w:rPr>
              <w:br/>
              <w:t>*Incident Management Group in place</w:t>
            </w:r>
            <w:r>
              <w:rPr>
                <w:rFonts w:ascii="Calibri" w:hAnsi="Calibri" w:cs="Calibri"/>
                <w:color w:val="000000"/>
                <w:sz w:val="22"/>
              </w:rPr>
              <w:br/>
              <w:t xml:space="preserve">*Corporate data backed up to cloud </w:t>
            </w:r>
            <w:r>
              <w:rPr>
                <w:rFonts w:ascii="Calibri" w:hAnsi="Calibri" w:cs="Calibri"/>
                <w:color w:val="000000"/>
                <w:sz w:val="22"/>
              </w:rPr>
              <w:br/>
              <w:t>*</w:t>
            </w:r>
            <w:proofErr w:type="spellStart"/>
            <w:r>
              <w:rPr>
                <w:rFonts w:ascii="Calibri" w:hAnsi="Calibri" w:cs="Calibri"/>
                <w:color w:val="000000"/>
                <w:sz w:val="22"/>
              </w:rPr>
              <w:t>Zfilter</w:t>
            </w:r>
            <w:proofErr w:type="spellEnd"/>
            <w:r>
              <w:rPr>
                <w:rFonts w:ascii="Calibri" w:hAnsi="Calibri" w:cs="Calibri"/>
                <w:color w:val="000000"/>
                <w:sz w:val="22"/>
              </w:rPr>
              <w:t xml:space="preserve"> showing us user behaviour and stopping internet threats</w:t>
            </w:r>
            <w:r>
              <w:rPr>
                <w:rFonts w:ascii="Calibri" w:hAnsi="Calibri" w:cs="Calibri"/>
                <w:color w:val="000000"/>
                <w:sz w:val="22"/>
              </w:rPr>
              <w:br/>
              <w:t>* regular meetings of TDS/ICS to check on patching levels and compliance issues.</w:t>
            </w:r>
            <w:r>
              <w:rPr>
                <w:rFonts w:ascii="Calibri" w:hAnsi="Calibri" w:cs="Calibri"/>
                <w:color w:val="000000"/>
                <w:sz w:val="22"/>
              </w:rPr>
              <w:br/>
              <w:t xml:space="preserve">* Change control process implemented with minimum of three user sign off.  </w:t>
            </w:r>
          </w:p>
        </w:tc>
        <w:tc>
          <w:tcPr>
            <w:tcW w:w="943" w:type="dxa"/>
          </w:tcPr>
          <w:p w14:paraId="37682ED1" w14:textId="77777777" w:rsidR="006B3BD2" w:rsidRPr="006E4026" w:rsidRDefault="006B3BD2" w:rsidP="006B3BD2">
            <w:pPr>
              <w:rPr>
                <w:rFonts w:cstheme="minorHAnsi"/>
                <w:sz w:val="22"/>
                <w:szCs w:val="20"/>
              </w:rPr>
            </w:pPr>
            <w:r w:rsidRPr="006E4026">
              <w:rPr>
                <w:rFonts w:ascii="Calibri" w:hAnsi="Calibri" w:cs="Calibri"/>
                <w:color w:val="000000"/>
                <w:sz w:val="22"/>
                <w:szCs w:val="20"/>
              </w:rPr>
              <w:t>4</w:t>
            </w:r>
          </w:p>
        </w:tc>
        <w:tc>
          <w:tcPr>
            <w:tcW w:w="844" w:type="dxa"/>
          </w:tcPr>
          <w:p w14:paraId="32D8E013" w14:textId="77777777" w:rsidR="006B3BD2" w:rsidRPr="006E4026" w:rsidRDefault="006B3BD2" w:rsidP="006B3BD2">
            <w:pPr>
              <w:rPr>
                <w:rFonts w:cstheme="minorHAnsi"/>
                <w:sz w:val="22"/>
                <w:szCs w:val="20"/>
              </w:rPr>
            </w:pPr>
            <w:r w:rsidRPr="006E4026">
              <w:rPr>
                <w:rFonts w:ascii="Calibri" w:hAnsi="Calibri" w:cs="Calibri"/>
                <w:color w:val="000000"/>
                <w:sz w:val="22"/>
                <w:szCs w:val="20"/>
              </w:rPr>
              <w:t>3</w:t>
            </w:r>
          </w:p>
        </w:tc>
        <w:tc>
          <w:tcPr>
            <w:tcW w:w="841" w:type="dxa"/>
          </w:tcPr>
          <w:p w14:paraId="451912D1" w14:textId="77777777" w:rsidR="006B3BD2" w:rsidRPr="006E4026" w:rsidRDefault="006B3BD2" w:rsidP="006B3BD2">
            <w:pPr>
              <w:rPr>
                <w:rFonts w:cstheme="minorHAnsi"/>
                <w:sz w:val="22"/>
                <w:szCs w:val="20"/>
              </w:rPr>
            </w:pPr>
            <w:r w:rsidRPr="006E4026">
              <w:rPr>
                <w:rFonts w:ascii="Calibri" w:hAnsi="Calibri" w:cs="Calibri"/>
                <w:b/>
                <w:bCs/>
                <w:color w:val="000000"/>
                <w:sz w:val="22"/>
                <w:szCs w:val="20"/>
              </w:rPr>
              <w:t>High</w:t>
            </w:r>
          </w:p>
        </w:tc>
        <w:tc>
          <w:tcPr>
            <w:tcW w:w="4391" w:type="dxa"/>
          </w:tcPr>
          <w:p w14:paraId="2E5992FE" w14:textId="77777777" w:rsidR="006B3BD2" w:rsidRDefault="006B3BD2" w:rsidP="006B3BD2">
            <w:pPr>
              <w:rPr>
                <w:rFonts w:ascii="Calibri" w:hAnsi="Calibri" w:cs="Calibri"/>
                <w:color w:val="000000"/>
                <w:sz w:val="22"/>
              </w:rPr>
            </w:pPr>
            <w:r>
              <w:rPr>
                <w:rFonts w:ascii="Calibri" w:hAnsi="Calibri" w:cs="Calibri"/>
                <w:color w:val="000000"/>
                <w:sz w:val="22"/>
              </w:rPr>
              <w:t xml:space="preserve">Compliance for Mandatory cyber security training is high (still in </w:t>
            </w:r>
            <w:proofErr w:type="spellStart"/>
            <w:r>
              <w:rPr>
                <w:rFonts w:ascii="Calibri" w:hAnsi="Calibri" w:cs="Calibri"/>
                <w:color w:val="000000"/>
                <w:sz w:val="22"/>
              </w:rPr>
              <w:t>mid 90</w:t>
            </w:r>
            <w:proofErr w:type="spellEnd"/>
            <w:r>
              <w:rPr>
                <w:rFonts w:ascii="Calibri" w:hAnsi="Calibri" w:cs="Calibri"/>
                <w:color w:val="000000"/>
                <w:sz w:val="22"/>
              </w:rPr>
              <w:t xml:space="preserve">% completion for all staff).  The SIEM has been working well and giving us external eyes/support on our core infrastructure and services. This is hugely important has we head up to festive season.  We are looking at measures around restricting access to NetExtender over festive period, shutting the service down over weekends and public holidays, to reduce our threat surface. As for cyber threat levels, it's likely at the highest level it's ever been, with global instability and UK weapons being used against Russia, we really are at a significant turning point in threat levels. </w:t>
            </w:r>
            <w:proofErr w:type="gramStart"/>
            <w:r>
              <w:rPr>
                <w:rFonts w:ascii="Calibri" w:hAnsi="Calibri" w:cs="Calibri"/>
                <w:color w:val="000000"/>
                <w:sz w:val="22"/>
              </w:rPr>
              <w:t>Overall</w:t>
            </w:r>
            <w:proofErr w:type="gramEnd"/>
            <w:r>
              <w:rPr>
                <w:rFonts w:ascii="Calibri" w:hAnsi="Calibri" w:cs="Calibri"/>
                <w:color w:val="000000"/>
                <w:sz w:val="22"/>
              </w:rPr>
              <w:t xml:space="preserve"> our controls are appropriate, but against a background of </w:t>
            </w:r>
            <w:proofErr w:type="spellStart"/>
            <w:r>
              <w:rPr>
                <w:rFonts w:ascii="Calibri" w:hAnsi="Calibri" w:cs="Calibri"/>
                <w:color w:val="000000"/>
                <w:sz w:val="22"/>
              </w:rPr>
              <w:t>accelarating</w:t>
            </w:r>
            <w:proofErr w:type="spellEnd"/>
            <w:r>
              <w:rPr>
                <w:rFonts w:ascii="Calibri" w:hAnsi="Calibri" w:cs="Calibri"/>
                <w:color w:val="000000"/>
                <w:sz w:val="22"/>
              </w:rPr>
              <w:t xml:space="preserve"> escalation of risk.</w:t>
            </w:r>
          </w:p>
          <w:p w14:paraId="3962F3F2" w14:textId="77777777" w:rsidR="006B3BD2" w:rsidRPr="006E4026" w:rsidRDefault="006B3BD2" w:rsidP="006B3BD2">
            <w:pPr>
              <w:rPr>
                <w:rFonts w:cstheme="minorHAnsi"/>
                <w:sz w:val="22"/>
                <w:szCs w:val="20"/>
              </w:rPr>
            </w:pPr>
          </w:p>
        </w:tc>
      </w:tr>
      <w:tr w:rsidR="006B3BD2" w:rsidRPr="006E4026" w14:paraId="4D7B9EFE" w14:textId="77777777" w:rsidTr="006B3BD2">
        <w:tc>
          <w:tcPr>
            <w:tcW w:w="1548" w:type="dxa"/>
          </w:tcPr>
          <w:p w14:paraId="2DBDA4ED" w14:textId="77777777" w:rsidR="006B3BD2" w:rsidRDefault="006B3BD2" w:rsidP="006B3BD2">
            <w:pPr>
              <w:rPr>
                <w:rFonts w:ascii="Calibri" w:hAnsi="Calibri" w:cs="Calibri"/>
                <w:bCs/>
                <w:szCs w:val="20"/>
              </w:rPr>
            </w:pPr>
            <w:r>
              <w:rPr>
                <w:rFonts w:ascii="Calibri" w:hAnsi="Calibri" w:cs="Calibri"/>
                <w:bCs/>
                <w:szCs w:val="20"/>
              </w:rPr>
              <w:t xml:space="preserve">393 - </w:t>
            </w:r>
          </w:p>
          <w:p w14:paraId="5F6CED97" w14:textId="77777777" w:rsidR="006B3BD2" w:rsidRPr="006E4026" w:rsidRDefault="006B3BD2" w:rsidP="006B3BD2">
            <w:pPr>
              <w:rPr>
                <w:rFonts w:ascii="Calibri" w:hAnsi="Calibri" w:cs="Calibri"/>
                <w:bCs/>
                <w:sz w:val="22"/>
                <w:szCs w:val="20"/>
              </w:rPr>
            </w:pPr>
            <w:r>
              <w:rPr>
                <w:rFonts w:ascii="Calibri" w:hAnsi="Calibri" w:cs="Calibri"/>
                <w:color w:val="000000"/>
                <w:sz w:val="22"/>
              </w:rPr>
              <w:t>Future Funding of NatureScot</w:t>
            </w:r>
          </w:p>
        </w:tc>
        <w:tc>
          <w:tcPr>
            <w:tcW w:w="2438" w:type="dxa"/>
          </w:tcPr>
          <w:p w14:paraId="70E39D5C" w14:textId="77777777" w:rsidR="006B3BD2" w:rsidRDefault="006B3BD2" w:rsidP="006B3BD2">
            <w:pPr>
              <w:rPr>
                <w:rFonts w:ascii="Calibri" w:hAnsi="Calibri" w:cs="Calibri"/>
                <w:sz w:val="22"/>
              </w:rPr>
            </w:pPr>
            <w:r>
              <w:rPr>
                <w:rFonts w:ascii="Calibri" w:hAnsi="Calibri" w:cs="Calibri"/>
                <w:color w:val="000000"/>
                <w:sz w:val="22"/>
              </w:rPr>
              <w:t xml:space="preserve">As a result of on-going reductions in public expenditure or new cost pressures there is a risk our grant-in-aid settlement may not match statutory and fixed costs as well as corporate plan priorities. Unless other funding sources are secured this could result </w:t>
            </w:r>
            <w:r>
              <w:rPr>
                <w:rFonts w:ascii="Calibri" w:hAnsi="Calibri" w:cs="Calibri"/>
                <w:color w:val="000000"/>
                <w:sz w:val="22"/>
              </w:rPr>
              <w:lastRenderedPageBreak/>
              <w:t>in an inability to adequately resource delivery of agreed priorities, leading to failed outcomes and reputational damage.</w:t>
            </w:r>
          </w:p>
        </w:tc>
        <w:tc>
          <w:tcPr>
            <w:tcW w:w="4730" w:type="dxa"/>
          </w:tcPr>
          <w:p w14:paraId="6718B4A7" w14:textId="77777777" w:rsidR="006B3BD2" w:rsidRDefault="006B3BD2" w:rsidP="006B3BD2">
            <w:pPr>
              <w:rPr>
                <w:rFonts w:ascii="Calibri" w:hAnsi="Calibri" w:cs="Calibri"/>
                <w:sz w:val="22"/>
              </w:rPr>
            </w:pPr>
            <w:r>
              <w:rPr>
                <w:rFonts w:ascii="Calibri" w:hAnsi="Calibri" w:cs="Calibri"/>
                <w:color w:val="000000"/>
                <w:sz w:val="22"/>
              </w:rPr>
              <w:lastRenderedPageBreak/>
              <w:t xml:space="preserve">* Ensure that our priorities are aligned with published Programmes for Government and ministerial portfolio priorities, specifically those aligned to the Programme for Government and Bute House Agreement </w:t>
            </w:r>
            <w:r>
              <w:rPr>
                <w:rFonts w:ascii="Calibri" w:hAnsi="Calibri" w:cs="Calibri"/>
                <w:color w:val="000000"/>
                <w:sz w:val="22"/>
              </w:rPr>
              <w:br/>
              <w:t xml:space="preserve">* Provide realistic and evidenced assessment of the impact of possible cuts in our grant-in-aid budget through the annual Spending Review process. </w:t>
            </w:r>
            <w:r>
              <w:rPr>
                <w:rFonts w:ascii="Calibri" w:hAnsi="Calibri" w:cs="Calibri"/>
                <w:color w:val="000000"/>
                <w:sz w:val="22"/>
              </w:rPr>
              <w:br/>
              <w:t xml:space="preserve">* Develop and put forward proposals, through the annual Spending Review process and other avenues with Scottish Government, for delivering </w:t>
            </w:r>
            <w:r>
              <w:rPr>
                <w:rFonts w:ascii="Calibri" w:hAnsi="Calibri" w:cs="Calibri"/>
                <w:color w:val="000000"/>
                <w:sz w:val="22"/>
              </w:rPr>
              <w:lastRenderedPageBreak/>
              <w:t xml:space="preserve">more and better outcomes for nature and people through wider Scottish Government funding. </w:t>
            </w:r>
            <w:r>
              <w:rPr>
                <w:rFonts w:ascii="Calibri" w:hAnsi="Calibri" w:cs="Calibri"/>
                <w:color w:val="000000"/>
                <w:sz w:val="22"/>
              </w:rPr>
              <w:br/>
              <w:t xml:space="preserve">*Reduce expenditure in some business areas through budget setting processes aligned to business planning cycle. </w:t>
            </w:r>
            <w:r>
              <w:rPr>
                <w:rFonts w:ascii="Calibri" w:hAnsi="Calibri" w:cs="Calibri"/>
                <w:color w:val="000000"/>
                <w:sz w:val="22"/>
              </w:rPr>
              <w:br/>
              <w:t xml:space="preserve">* Identify efficiencies and savings in our current spending and ways of working to maximise the resources available for front line delivery. </w:t>
            </w:r>
            <w:r>
              <w:rPr>
                <w:rFonts w:ascii="Calibri" w:hAnsi="Calibri" w:cs="Calibri"/>
                <w:color w:val="000000"/>
                <w:sz w:val="22"/>
              </w:rPr>
              <w:br/>
              <w:t xml:space="preserve">* Have an effective communications strategy in place which promotes the added value of our work. </w:t>
            </w:r>
            <w:r>
              <w:rPr>
                <w:rFonts w:ascii="Calibri" w:hAnsi="Calibri" w:cs="Calibri"/>
                <w:color w:val="000000"/>
                <w:sz w:val="22"/>
              </w:rPr>
              <w:br/>
              <w:t xml:space="preserve">* Identify and implement opportunities to generate income from the services we provide. </w:t>
            </w:r>
            <w:r>
              <w:rPr>
                <w:rFonts w:ascii="Calibri" w:hAnsi="Calibri" w:cs="Calibri"/>
                <w:color w:val="000000"/>
                <w:sz w:val="22"/>
              </w:rPr>
              <w:br/>
              <w:t xml:space="preserve">* Identify and implement opportunities for external funding of NatureScot-led work through the business planning process (including at Outcome and Activity levels) and at the project development stage for significant scale projects. </w:t>
            </w:r>
            <w:r>
              <w:rPr>
                <w:rFonts w:ascii="Calibri" w:hAnsi="Calibri" w:cs="Calibri"/>
                <w:color w:val="000000"/>
                <w:sz w:val="22"/>
              </w:rPr>
              <w:br/>
              <w:t xml:space="preserve">* Develop proposals for new, preventative projects that can help deliver a wider set of SG </w:t>
            </w:r>
            <w:proofErr w:type="gramStart"/>
            <w:r>
              <w:rPr>
                <w:rFonts w:ascii="Calibri" w:hAnsi="Calibri" w:cs="Calibri"/>
                <w:color w:val="000000"/>
                <w:sz w:val="22"/>
              </w:rPr>
              <w:t>priorities, and</w:t>
            </w:r>
            <w:proofErr w:type="gramEnd"/>
            <w:r>
              <w:rPr>
                <w:rFonts w:ascii="Calibri" w:hAnsi="Calibri" w:cs="Calibri"/>
                <w:color w:val="000000"/>
                <w:sz w:val="22"/>
              </w:rPr>
              <w:t xml:space="preserve"> build awareness and support of these. </w:t>
            </w:r>
            <w:r>
              <w:rPr>
                <w:rFonts w:ascii="Calibri" w:hAnsi="Calibri" w:cs="Calibri"/>
                <w:color w:val="000000"/>
                <w:sz w:val="22"/>
              </w:rPr>
              <w:br/>
              <w:t>* Develop and refresh a short, medium and longer term financial plan based on potential financial scenarios.</w:t>
            </w:r>
          </w:p>
        </w:tc>
        <w:tc>
          <w:tcPr>
            <w:tcW w:w="943" w:type="dxa"/>
          </w:tcPr>
          <w:p w14:paraId="39D7499A" w14:textId="77777777" w:rsidR="006B3BD2" w:rsidRPr="006E4026" w:rsidRDefault="006B3BD2" w:rsidP="006B3BD2">
            <w:pPr>
              <w:rPr>
                <w:rFonts w:ascii="Calibri" w:hAnsi="Calibri" w:cs="Calibri"/>
                <w:color w:val="000000"/>
                <w:sz w:val="22"/>
                <w:szCs w:val="20"/>
              </w:rPr>
            </w:pPr>
            <w:r>
              <w:rPr>
                <w:rFonts w:ascii="Calibri" w:hAnsi="Calibri" w:cs="Calibri"/>
                <w:color w:val="000000"/>
                <w:szCs w:val="20"/>
              </w:rPr>
              <w:lastRenderedPageBreak/>
              <w:t>4</w:t>
            </w:r>
          </w:p>
        </w:tc>
        <w:tc>
          <w:tcPr>
            <w:tcW w:w="844" w:type="dxa"/>
          </w:tcPr>
          <w:p w14:paraId="132F781B" w14:textId="77777777" w:rsidR="006B3BD2" w:rsidRPr="006E4026" w:rsidRDefault="006B3BD2" w:rsidP="006B3BD2">
            <w:pPr>
              <w:rPr>
                <w:rFonts w:ascii="Calibri" w:hAnsi="Calibri" w:cs="Calibri"/>
                <w:color w:val="000000"/>
                <w:sz w:val="22"/>
                <w:szCs w:val="20"/>
              </w:rPr>
            </w:pPr>
            <w:r>
              <w:rPr>
                <w:rFonts w:ascii="Calibri" w:hAnsi="Calibri" w:cs="Calibri"/>
                <w:color w:val="000000"/>
                <w:szCs w:val="20"/>
              </w:rPr>
              <w:t>4</w:t>
            </w:r>
          </w:p>
        </w:tc>
        <w:tc>
          <w:tcPr>
            <w:tcW w:w="841" w:type="dxa"/>
          </w:tcPr>
          <w:p w14:paraId="1F1F7183" w14:textId="77777777" w:rsidR="006B3BD2" w:rsidRPr="006E4026" w:rsidRDefault="006B3BD2" w:rsidP="006B3BD2">
            <w:pPr>
              <w:rPr>
                <w:rFonts w:ascii="Calibri" w:hAnsi="Calibri" w:cs="Calibri"/>
                <w:b/>
                <w:bCs/>
                <w:color w:val="000000"/>
                <w:sz w:val="22"/>
                <w:szCs w:val="20"/>
              </w:rPr>
            </w:pPr>
            <w:r>
              <w:rPr>
                <w:rFonts w:ascii="Calibri" w:hAnsi="Calibri" w:cs="Calibri"/>
                <w:b/>
                <w:bCs/>
                <w:color w:val="000000"/>
                <w:szCs w:val="20"/>
              </w:rPr>
              <w:t>High</w:t>
            </w:r>
          </w:p>
        </w:tc>
        <w:tc>
          <w:tcPr>
            <w:tcW w:w="4391" w:type="dxa"/>
          </w:tcPr>
          <w:p w14:paraId="257E8839" w14:textId="45D10CF7" w:rsidR="006B3BD2" w:rsidRDefault="006B3BD2" w:rsidP="006B3BD2">
            <w:pPr>
              <w:rPr>
                <w:rFonts w:ascii="Calibri" w:hAnsi="Calibri" w:cs="Calibri"/>
                <w:color w:val="000000"/>
                <w:sz w:val="22"/>
              </w:rPr>
            </w:pPr>
            <w:r>
              <w:rPr>
                <w:rFonts w:ascii="Calibri" w:hAnsi="Calibri" w:cs="Calibri"/>
                <w:color w:val="000000"/>
                <w:sz w:val="22"/>
              </w:rPr>
              <w:t>NatureScot's draft budget for the coming year has been published. We have received a slight uplift to cover the additional pay pressure anticipated in the year ahead. Active management of our paybill overall is underway with a review of FTAs and planning for next year’s work. Discussions with Scottish Government are planned for January and SRMs are currently working on priorities and resourcing.</w:t>
            </w:r>
          </w:p>
          <w:p w14:paraId="399CBFEC" w14:textId="77777777" w:rsidR="006B3BD2" w:rsidRDefault="006B3BD2" w:rsidP="006B3BD2">
            <w:pPr>
              <w:rPr>
                <w:rFonts w:ascii="Calibri" w:hAnsi="Calibri" w:cs="Calibri"/>
                <w:sz w:val="22"/>
              </w:rPr>
            </w:pPr>
          </w:p>
        </w:tc>
      </w:tr>
      <w:tr w:rsidR="006B3BD2" w:rsidRPr="006E4026" w14:paraId="624A98E4" w14:textId="77777777" w:rsidTr="006B3BD2">
        <w:tc>
          <w:tcPr>
            <w:tcW w:w="1548" w:type="dxa"/>
          </w:tcPr>
          <w:p w14:paraId="1A8F6372" w14:textId="77777777" w:rsidR="006B3BD2" w:rsidRDefault="006B3BD2" w:rsidP="006B3BD2">
            <w:pPr>
              <w:rPr>
                <w:rFonts w:ascii="Calibri" w:hAnsi="Calibri" w:cs="Calibri"/>
                <w:bCs/>
                <w:szCs w:val="20"/>
              </w:rPr>
            </w:pPr>
            <w:r>
              <w:rPr>
                <w:rFonts w:ascii="Calibri" w:hAnsi="Calibri" w:cs="Calibri"/>
                <w:bCs/>
                <w:szCs w:val="20"/>
              </w:rPr>
              <w:t>740 – Nature Finance</w:t>
            </w:r>
          </w:p>
        </w:tc>
        <w:tc>
          <w:tcPr>
            <w:tcW w:w="2438" w:type="dxa"/>
          </w:tcPr>
          <w:p w14:paraId="09E6D8D8" w14:textId="77777777" w:rsidR="006B3BD2" w:rsidRDefault="006B3BD2" w:rsidP="006B3BD2">
            <w:pPr>
              <w:rPr>
                <w:rFonts w:ascii="Calibri" w:hAnsi="Calibri" w:cs="Calibri"/>
                <w:color w:val="000000"/>
                <w:sz w:val="22"/>
              </w:rPr>
            </w:pPr>
            <w:r>
              <w:rPr>
                <w:rFonts w:ascii="Calibri" w:hAnsi="Calibri" w:cs="Calibri"/>
                <w:sz w:val="22"/>
              </w:rPr>
              <w:t xml:space="preserve">As a result of any or all of poor governance; lack of due diligence; or poor communications, NatureScot’s reputation could be significantly damaged by misjudged or poorly delivered </w:t>
            </w:r>
            <w:r>
              <w:rPr>
                <w:rFonts w:ascii="Calibri" w:hAnsi="Calibri" w:cs="Calibri"/>
                <w:sz w:val="22"/>
              </w:rPr>
              <w:lastRenderedPageBreak/>
              <w:t>interventions to influence private investment in nature. There is also a risk that, if we do not proceed with the urgency required to stimulate private sector investment into nature, that significant nature restoration will be unachievable. There is therefore a balance of acting with due diligence, versus not acting at all. There are also specific risks attributed to individual projects or partnerships which are dealt with at the project level.</w:t>
            </w:r>
          </w:p>
        </w:tc>
        <w:tc>
          <w:tcPr>
            <w:tcW w:w="4730" w:type="dxa"/>
          </w:tcPr>
          <w:p w14:paraId="7819946E" w14:textId="77777777" w:rsidR="006B3BD2" w:rsidRDefault="006B3BD2" w:rsidP="006B3BD2">
            <w:pPr>
              <w:rPr>
                <w:rFonts w:ascii="Calibri" w:hAnsi="Calibri" w:cs="Calibri"/>
                <w:color w:val="000000"/>
                <w:sz w:val="22"/>
              </w:rPr>
            </w:pPr>
            <w:r>
              <w:rPr>
                <w:rFonts w:ascii="Calibri" w:hAnsi="Calibri" w:cs="Calibri"/>
                <w:sz w:val="22"/>
              </w:rPr>
              <w:lastRenderedPageBreak/>
              <w:t xml:space="preserve">Our approach to managing this risk is directed by the </w:t>
            </w:r>
            <w:proofErr w:type="spellStart"/>
            <w:r>
              <w:rPr>
                <w:rFonts w:ascii="Calibri" w:hAnsi="Calibri" w:cs="Calibri"/>
                <w:sz w:val="22"/>
              </w:rPr>
              <w:t>Azets</w:t>
            </w:r>
            <w:proofErr w:type="spellEnd"/>
            <w:r>
              <w:rPr>
                <w:rFonts w:ascii="Calibri" w:hAnsi="Calibri" w:cs="Calibri"/>
                <w:sz w:val="22"/>
              </w:rPr>
              <w:t xml:space="preserve"> report (2022) against which there were 15 recommendations. These were discussed and approved by Audit and Risk Committee in a deep dive on 7th Feb 2024 and further refined, before being presented to Board on 13 March 2024. </w:t>
            </w:r>
          </w:p>
        </w:tc>
        <w:tc>
          <w:tcPr>
            <w:tcW w:w="943" w:type="dxa"/>
          </w:tcPr>
          <w:p w14:paraId="0860487C" w14:textId="77777777" w:rsidR="006B3BD2" w:rsidRDefault="006B3BD2" w:rsidP="006B3BD2">
            <w:pPr>
              <w:rPr>
                <w:rFonts w:ascii="Calibri" w:hAnsi="Calibri" w:cs="Calibri"/>
                <w:color w:val="000000"/>
                <w:szCs w:val="20"/>
              </w:rPr>
            </w:pPr>
            <w:r>
              <w:rPr>
                <w:rFonts w:ascii="Calibri" w:hAnsi="Calibri" w:cs="Calibri"/>
                <w:color w:val="000000"/>
                <w:szCs w:val="20"/>
              </w:rPr>
              <w:t>5</w:t>
            </w:r>
          </w:p>
        </w:tc>
        <w:tc>
          <w:tcPr>
            <w:tcW w:w="844" w:type="dxa"/>
          </w:tcPr>
          <w:p w14:paraId="70C96EB9" w14:textId="77777777" w:rsidR="006B3BD2" w:rsidRDefault="006B3BD2" w:rsidP="006B3BD2">
            <w:pPr>
              <w:rPr>
                <w:rFonts w:ascii="Calibri" w:hAnsi="Calibri" w:cs="Calibri"/>
                <w:color w:val="000000"/>
                <w:szCs w:val="20"/>
              </w:rPr>
            </w:pPr>
            <w:r>
              <w:rPr>
                <w:rFonts w:ascii="Calibri" w:hAnsi="Calibri" w:cs="Calibri"/>
                <w:color w:val="000000"/>
                <w:szCs w:val="20"/>
              </w:rPr>
              <w:t>2</w:t>
            </w:r>
          </w:p>
        </w:tc>
        <w:tc>
          <w:tcPr>
            <w:tcW w:w="841" w:type="dxa"/>
          </w:tcPr>
          <w:p w14:paraId="7AA99974" w14:textId="77777777" w:rsidR="006B3BD2" w:rsidRDefault="006B3BD2" w:rsidP="006B3BD2">
            <w:pPr>
              <w:rPr>
                <w:rFonts w:ascii="Calibri" w:hAnsi="Calibri" w:cs="Calibri"/>
                <w:b/>
                <w:bCs/>
                <w:color w:val="000000"/>
                <w:szCs w:val="20"/>
              </w:rPr>
            </w:pPr>
            <w:r>
              <w:rPr>
                <w:rFonts w:ascii="Calibri" w:hAnsi="Calibri" w:cs="Calibri"/>
                <w:b/>
                <w:bCs/>
                <w:color w:val="000000"/>
                <w:szCs w:val="20"/>
              </w:rPr>
              <w:t>High</w:t>
            </w:r>
          </w:p>
        </w:tc>
        <w:tc>
          <w:tcPr>
            <w:tcW w:w="4391" w:type="dxa"/>
          </w:tcPr>
          <w:p w14:paraId="09DB03AC" w14:textId="77777777" w:rsidR="006B3BD2" w:rsidRDefault="006B3BD2" w:rsidP="006B3BD2">
            <w:pPr>
              <w:rPr>
                <w:rFonts w:ascii="Calibri" w:hAnsi="Calibri" w:cs="Calibri"/>
                <w:color w:val="000000"/>
                <w:sz w:val="22"/>
              </w:rPr>
            </w:pPr>
            <w:r>
              <w:rPr>
                <w:rFonts w:ascii="Calibri" w:hAnsi="Calibri" w:cs="Calibri"/>
                <w:color w:val="000000"/>
                <w:sz w:val="22"/>
              </w:rPr>
              <w:t xml:space="preserve">Governance: No resource for 0.4 FTE D-grade post allocated to supporting governance beyond end March. Governance panel has met; improvements to reporting from first iteration have now been included in the second report. Support for governance resource is required for co-ordination of governance and risk management. </w:t>
            </w:r>
            <w:r>
              <w:rPr>
                <w:rFonts w:ascii="Calibri" w:hAnsi="Calibri" w:cs="Calibri"/>
                <w:color w:val="000000"/>
                <w:sz w:val="22"/>
              </w:rPr>
              <w:br/>
            </w:r>
            <w:r>
              <w:rPr>
                <w:rFonts w:ascii="Calibri" w:hAnsi="Calibri" w:cs="Calibri"/>
                <w:color w:val="000000"/>
                <w:sz w:val="22"/>
              </w:rPr>
              <w:lastRenderedPageBreak/>
              <w:br/>
              <w:t>Reputation: Weekly communication on the Nature Investment Partnership is now agreed to de-escalate to monthly reporting to SG PINC team. Internal coordination through weekly team meetings addresses communications and risk review.</w:t>
            </w:r>
          </w:p>
          <w:p w14:paraId="2155592B" w14:textId="77777777" w:rsidR="006B3BD2" w:rsidRDefault="006B3BD2" w:rsidP="006B3BD2">
            <w:pPr>
              <w:rPr>
                <w:rFonts w:ascii="Calibri" w:hAnsi="Calibri" w:cs="Calibri"/>
                <w:sz w:val="22"/>
              </w:rPr>
            </w:pPr>
          </w:p>
        </w:tc>
      </w:tr>
    </w:tbl>
    <w:p w14:paraId="6FD00657" w14:textId="77777777" w:rsidR="006B3BD2" w:rsidRPr="000913D4" w:rsidRDefault="006B3BD2" w:rsidP="000913D4"/>
    <w:sectPr w:rsidR="006B3BD2" w:rsidRPr="000913D4" w:rsidSect="008610EA">
      <w:footerReference w:type="default" r:id="rId62"/>
      <w:pgSz w:w="16838" w:h="11906" w:orient="landscape"/>
      <w:pgMar w:top="1440" w:right="67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CA025" w14:textId="77777777" w:rsidR="00872A09" w:rsidRDefault="00872A09" w:rsidP="00204D20">
      <w:pPr>
        <w:spacing w:after="0" w:line="240" w:lineRule="auto"/>
      </w:pPr>
      <w:r>
        <w:separator/>
      </w:r>
    </w:p>
  </w:endnote>
  <w:endnote w:type="continuationSeparator" w:id="0">
    <w:p w14:paraId="07DC9D0E" w14:textId="77777777" w:rsidR="00872A09" w:rsidRDefault="00872A09"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6976" w14:textId="77777777" w:rsidR="00C75BB4" w:rsidRDefault="00C75BB4">
    <w:pPr>
      <w:pStyle w:val="Footer"/>
      <w:jc w:val="center"/>
    </w:pPr>
  </w:p>
  <w:p w14:paraId="15BE90C9" w14:textId="77777777" w:rsidR="00C75BB4" w:rsidRDefault="00C75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4F92" w14:textId="77777777" w:rsidR="00C75BB4" w:rsidRDefault="00C75BB4">
    <w:pPr>
      <w:pStyle w:val="Footer"/>
      <w:jc w:val="center"/>
    </w:pPr>
  </w:p>
  <w:p w14:paraId="20364FD6" w14:textId="77777777" w:rsidR="00C75BB4" w:rsidRDefault="00C75B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3E2B" w14:textId="77777777" w:rsidR="006A739A" w:rsidRDefault="006A739A"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E2600" w14:textId="77777777" w:rsidR="00872A09" w:rsidRDefault="00872A09" w:rsidP="00204D20">
      <w:pPr>
        <w:spacing w:after="0" w:line="240" w:lineRule="auto"/>
      </w:pPr>
      <w:r>
        <w:separator/>
      </w:r>
    </w:p>
  </w:footnote>
  <w:footnote w:type="continuationSeparator" w:id="0">
    <w:p w14:paraId="31AEC88D" w14:textId="77777777" w:rsidR="00872A09" w:rsidRDefault="00872A09"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8B491" w14:textId="44A0CEA8" w:rsidR="00BE7CC7" w:rsidRDefault="00BE7CC7" w:rsidP="00BE7CC7">
    <w:pPr>
      <w:pStyle w:val="Header"/>
      <w:jc w:val="right"/>
    </w:pPr>
    <w:r w:rsidRPr="00BE7CC7">
      <w:rPr>
        <w:b/>
        <w:bCs/>
      </w:rPr>
      <w:t>BOARD/217/0</w:t>
    </w:r>
    <w:r>
      <w:rPr>
        <w:b/>
        <w:bC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7F9"/>
    <w:multiLevelType w:val="hybridMultilevel"/>
    <w:tmpl w:val="1546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732D1"/>
    <w:multiLevelType w:val="hybridMultilevel"/>
    <w:tmpl w:val="8378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440BC"/>
    <w:multiLevelType w:val="hybridMultilevel"/>
    <w:tmpl w:val="44A0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237CD"/>
    <w:multiLevelType w:val="hybridMultilevel"/>
    <w:tmpl w:val="BF62C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159CE"/>
    <w:multiLevelType w:val="hybridMultilevel"/>
    <w:tmpl w:val="DF4C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353DD"/>
    <w:multiLevelType w:val="hybridMultilevel"/>
    <w:tmpl w:val="D2C6A2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16211"/>
    <w:multiLevelType w:val="hybridMultilevel"/>
    <w:tmpl w:val="FC08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8687B"/>
    <w:multiLevelType w:val="hybridMultilevel"/>
    <w:tmpl w:val="7B26E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6015AA"/>
    <w:multiLevelType w:val="hybridMultilevel"/>
    <w:tmpl w:val="BD80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273E6"/>
    <w:multiLevelType w:val="hybridMultilevel"/>
    <w:tmpl w:val="62446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567C0"/>
    <w:multiLevelType w:val="multilevel"/>
    <w:tmpl w:val="F7CA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745497"/>
    <w:multiLevelType w:val="hybridMultilevel"/>
    <w:tmpl w:val="02D01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653CB"/>
    <w:multiLevelType w:val="hybridMultilevel"/>
    <w:tmpl w:val="9C12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229E8"/>
    <w:multiLevelType w:val="hybridMultilevel"/>
    <w:tmpl w:val="B2946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0B4D33"/>
    <w:multiLevelType w:val="hybridMultilevel"/>
    <w:tmpl w:val="2BCCBAF4"/>
    <w:lvl w:ilvl="0" w:tplc="08090001">
      <w:start w:val="1"/>
      <w:numFmt w:val="bullet"/>
      <w:lvlText w:val=""/>
      <w:lvlJc w:val="left"/>
      <w:pPr>
        <w:ind w:left="360" w:hanging="360"/>
      </w:pPr>
      <w:rPr>
        <w:rFonts w:ascii="Symbol" w:hAnsi="Symbol" w:hint="default"/>
      </w:rPr>
    </w:lvl>
    <w:lvl w:ilvl="1" w:tplc="88DE42F0">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8A5C9E"/>
    <w:multiLevelType w:val="multilevel"/>
    <w:tmpl w:val="E2A0B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71ACC"/>
    <w:multiLevelType w:val="hybridMultilevel"/>
    <w:tmpl w:val="9854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40274"/>
    <w:multiLevelType w:val="multilevel"/>
    <w:tmpl w:val="9770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5E560E"/>
    <w:multiLevelType w:val="hybridMultilevel"/>
    <w:tmpl w:val="1814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445F34"/>
    <w:multiLevelType w:val="hybridMultilevel"/>
    <w:tmpl w:val="35AC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F820AF"/>
    <w:multiLevelType w:val="hybridMultilevel"/>
    <w:tmpl w:val="267CDB30"/>
    <w:lvl w:ilvl="0" w:tplc="08090001">
      <w:start w:val="1"/>
      <w:numFmt w:val="bullet"/>
      <w:lvlText w:val=""/>
      <w:lvlJc w:val="left"/>
      <w:pPr>
        <w:ind w:left="720" w:hanging="360"/>
      </w:pPr>
      <w:rPr>
        <w:rFonts w:ascii="Symbol" w:hAnsi="Symbol" w:hint="default"/>
      </w:rPr>
    </w:lvl>
    <w:lvl w:ilvl="1" w:tplc="91A63402">
      <w:start w:val="1"/>
      <w:numFmt w:val="bullet"/>
      <w:lvlText w:val=""/>
      <w:lvlJc w:val="left"/>
      <w:pPr>
        <w:ind w:left="1440"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856631"/>
    <w:multiLevelType w:val="hybridMultilevel"/>
    <w:tmpl w:val="26D89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AA2601"/>
    <w:multiLevelType w:val="hybridMultilevel"/>
    <w:tmpl w:val="2BD2769A"/>
    <w:lvl w:ilvl="0" w:tplc="7716F384">
      <w:start w:val="1"/>
      <w:numFmt w:val="decimal"/>
      <w:lvlText w:val="%1."/>
      <w:lvlJc w:val="left"/>
      <w:pPr>
        <w:ind w:left="360" w:hanging="360"/>
      </w:pPr>
      <w:rPr>
        <w:b w:val="0"/>
        <w:bCs/>
        <w:color w:val="auto"/>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DE82D21"/>
    <w:multiLevelType w:val="hybridMultilevel"/>
    <w:tmpl w:val="8228AD6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8108F8"/>
    <w:multiLevelType w:val="hybridMultilevel"/>
    <w:tmpl w:val="93302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2D5F6F"/>
    <w:multiLevelType w:val="hybridMultilevel"/>
    <w:tmpl w:val="C9BC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387F80"/>
    <w:multiLevelType w:val="hybridMultilevel"/>
    <w:tmpl w:val="4B32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82DBE"/>
    <w:multiLevelType w:val="multilevel"/>
    <w:tmpl w:val="155C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6453616">
    <w:abstractNumId w:val="22"/>
  </w:num>
  <w:num w:numId="2" w16cid:durableId="50468213">
    <w:abstractNumId w:val="5"/>
  </w:num>
  <w:num w:numId="3" w16cid:durableId="1264726560">
    <w:abstractNumId w:val="21"/>
  </w:num>
  <w:num w:numId="4" w16cid:durableId="2023192962">
    <w:abstractNumId w:val="14"/>
  </w:num>
  <w:num w:numId="5" w16cid:durableId="1393701567">
    <w:abstractNumId w:val="7"/>
  </w:num>
  <w:num w:numId="6" w16cid:durableId="1136223553">
    <w:abstractNumId w:val="3"/>
  </w:num>
  <w:num w:numId="7" w16cid:durableId="1945067777">
    <w:abstractNumId w:val="11"/>
  </w:num>
  <w:num w:numId="8" w16cid:durableId="960300670">
    <w:abstractNumId w:val="0"/>
  </w:num>
  <w:num w:numId="9" w16cid:durableId="828793816">
    <w:abstractNumId w:val="6"/>
  </w:num>
  <w:num w:numId="10" w16cid:durableId="208609019">
    <w:abstractNumId w:val="16"/>
  </w:num>
  <w:num w:numId="11" w16cid:durableId="1749224846">
    <w:abstractNumId w:val="13"/>
  </w:num>
  <w:num w:numId="12" w16cid:durableId="350618120">
    <w:abstractNumId w:val="8"/>
  </w:num>
  <w:num w:numId="13" w16cid:durableId="403532296">
    <w:abstractNumId w:val="1"/>
  </w:num>
  <w:num w:numId="14" w16cid:durableId="410125467">
    <w:abstractNumId w:val="24"/>
  </w:num>
  <w:num w:numId="15" w16cid:durableId="1516578723">
    <w:abstractNumId w:val="18"/>
  </w:num>
  <w:num w:numId="16" w16cid:durableId="1650747314">
    <w:abstractNumId w:val="19"/>
  </w:num>
  <w:num w:numId="17" w16cid:durableId="1867254023">
    <w:abstractNumId w:val="20"/>
  </w:num>
  <w:num w:numId="18" w16cid:durableId="1923487031">
    <w:abstractNumId w:val="9"/>
  </w:num>
  <w:num w:numId="19" w16cid:durableId="596523121">
    <w:abstractNumId w:val="2"/>
  </w:num>
  <w:num w:numId="20" w16cid:durableId="338898461">
    <w:abstractNumId w:val="23"/>
  </w:num>
  <w:num w:numId="21" w16cid:durableId="47340707">
    <w:abstractNumId w:val="12"/>
  </w:num>
  <w:num w:numId="22" w16cid:durableId="940837658">
    <w:abstractNumId w:val="4"/>
  </w:num>
  <w:num w:numId="23" w16cid:durableId="1376659834">
    <w:abstractNumId w:val="26"/>
  </w:num>
  <w:num w:numId="24" w16cid:durableId="1505702230">
    <w:abstractNumId w:val="15"/>
  </w:num>
  <w:num w:numId="25" w16cid:durableId="570123363">
    <w:abstractNumId w:val="25"/>
  </w:num>
  <w:num w:numId="26" w16cid:durableId="1895892850">
    <w:abstractNumId w:val="10"/>
  </w:num>
  <w:num w:numId="27" w16cid:durableId="1477642219">
    <w:abstractNumId w:val="17"/>
  </w:num>
  <w:num w:numId="28" w16cid:durableId="85133819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17AB"/>
    <w:rsid w:val="00002465"/>
    <w:rsid w:val="00002EB2"/>
    <w:rsid w:val="000048EA"/>
    <w:rsid w:val="00004E77"/>
    <w:rsid w:val="00004FEA"/>
    <w:rsid w:val="000061AA"/>
    <w:rsid w:val="00006B61"/>
    <w:rsid w:val="0000754E"/>
    <w:rsid w:val="000075A4"/>
    <w:rsid w:val="00007828"/>
    <w:rsid w:val="00010393"/>
    <w:rsid w:val="0001158B"/>
    <w:rsid w:val="00014497"/>
    <w:rsid w:val="00015238"/>
    <w:rsid w:val="00016BC1"/>
    <w:rsid w:val="0001720C"/>
    <w:rsid w:val="000176B3"/>
    <w:rsid w:val="00020415"/>
    <w:rsid w:val="00020D88"/>
    <w:rsid w:val="00022898"/>
    <w:rsid w:val="000229E0"/>
    <w:rsid w:val="00023C29"/>
    <w:rsid w:val="000249D0"/>
    <w:rsid w:val="00025439"/>
    <w:rsid w:val="00025C49"/>
    <w:rsid w:val="00030902"/>
    <w:rsid w:val="00030D53"/>
    <w:rsid w:val="000330CD"/>
    <w:rsid w:val="00034113"/>
    <w:rsid w:val="0004006B"/>
    <w:rsid w:val="000402DB"/>
    <w:rsid w:val="00040D72"/>
    <w:rsid w:val="000411A0"/>
    <w:rsid w:val="00041A5C"/>
    <w:rsid w:val="00041E85"/>
    <w:rsid w:val="00042CC9"/>
    <w:rsid w:val="0004428F"/>
    <w:rsid w:val="00044CCB"/>
    <w:rsid w:val="00044D57"/>
    <w:rsid w:val="00044F55"/>
    <w:rsid w:val="00047113"/>
    <w:rsid w:val="000473F6"/>
    <w:rsid w:val="0005056A"/>
    <w:rsid w:val="00051324"/>
    <w:rsid w:val="00053D01"/>
    <w:rsid w:val="00054BCF"/>
    <w:rsid w:val="000550A2"/>
    <w:rsid w:val="00055E59"/>
    <w:rsid w:val="00056042"/>
    <w:rsid w:val="00056670"/>
    <w:rsid w:val="00057057"/>
    <w:rsid w:val="0005795C"/>
    <w:rsid w:val="00057D11"/>
    <w:rsid w:val="000602A3"/>
    <w:rsid w:val="00061590"/>
    <w:rsid w:val="00061BC9"/>
    <w:rsid w:val="00062629"/>
    <w:rsid w:val="000652E6"/>
    <w:rsid w:val="00065F53"/>
    <w:rsid w:val="00070284"/>
    <w:rsid w:val="00070493"/>
    <w:rsid w:val="00070928"/>
    <w:rsid w:val="000720BA"/>
    <w:rsid w:val="00072349"/>
    <w:rsid w:val="00075F02"/>
    <w:rsid w:val="0007662F"/>
    <w:rsid w:val="00080412"/>
    <w:rsid w:val="00080862"/>
    <w:rsid w:val="000820F1"/>
    <w:rsid w:val="000837C9"/>
    <w:rsid w:val="00087704"/>
    <w:rsid w:val="00087911"/>
    <w:rsid w:val="000913D4"/>
    <w:rsid w:val="00091D91"/>
    <w:rsid w:val="00092FC8"/>
    <w:rsid w:val="000936B1"/>
    <w:rsid w:val="000938C9"/>
    <w:rsid w:val="00096E1C"/>
    <w:rsid w:val="000A2E08"/>
    <w:rsid w:val="000A51DE"/>
    <w:rsid w:val="000A64A8"/>
    <w:rsid w:val="000B000C"/>
    <w:rsid w:val="000B120E"/>
    <w:rsid w:val="000B2014"/>
    <w:rsid w:val="000B2C17"/>
    <w:rsid w:val="000B32A8"/>
    <w:rsid w:val="000B4361"/>
    <w:rsid w:val="000B4710"/>
    <w:rsid w:val="000C0C63"/>
    <w:rsid w:val="000C2C51"/>
    <w:rsid w:val="000C3E41"/>
    <w:rsid w:val="000C5A34"/>
    <w:rsid w:val="000C67BC"/>
    <w:rsid w:val="000C6D69"/>
    <w:rsid w:val="000D0BF7"/>
    <w:rsid w:val="000D0DD8"/>
    <w:rsid w:val="000D297A"/>
    <w:rsid w:val="000D555D"/>
    <w:rsid w:val="000D5794"/>
    <w:rsid w:val="000D6138"/>
    <w:rsid w:val="000D7F59"/>
    <w:rsid w:val="000E0C76"/>
    <w:rsid w:val="000E47B7"/>
    <w:rsid w:val="000E4EB0"/>
    <w:rsid w:val="000E771F"/>
    <w:rsid w:val="000F211B"/>
    <w:rsid w:val="000F4686"/>
    <w:rsid w:val="000F5532"/>
    <w:rsid w:val="00100D9A"/>
    <w:rsid w:val="001015F1"/>
    <w:rsid w:val="001033FB"/>
    <w:rsid w:val="001043CE"/>
    <w:rsid w:val="001046A5"/>
    <w:rsid w:val="00106424"/>
    <w:rsid w:val="001067E8"/>
    <w:rsid w:val="00107243"/>
    <w:rsid w:val="00107E06"/>
    <w:rsid w:val="00111B84"/>
    <w:rsid w:val="0011228E"/>
    <w:rsid w:val="001126C6"/>
    <w:rsid w:val="0011387D"/>
    <w:rsid w:val="001146D6"/>
    <w:rsid w:val="00114E45"/>
    <w:rsid w:val="00116039"/>
    <w:rsid w:val="001160F9"/>
    <w:rsid w:val="001173CE"/>
    <w:rsid w:val="001205BE"/>
    <w:rsid w:val="00120B7F"/>
    <w:rsid w:val="00121ACF"/>
    <w:rsid w:val="001226E7"/>
    <w:rsid w:val="00123FC7"/>
    <w:rsid w:val="00124639"/>
    <w:rsid w:val="00127486"/>
    <w:rsid w:val="00130A47"/>
    <w:rsid w:val="001317CE"/>
    <w:rsid w:val="00131B9F"/>
    <w:rsid w:val="00133656"/>
    <w:rsid w:val="00135003"/>
    <w:rsid w:val="00136B5E"/>
    <w:rsid w:val="00141636"/>
    <w:rsid w:val="00141C4D"/>
    <w:rsid w:val="00141D2A"/>
    <w:rsid w:val="001428C1"/>
    <w:rsid w:val="0014395C"/>
    <w:rsid w:val="00143C54"/>
    <w:rsid w:val="00145331"/>
    <w:rsid w:val="00146276"/>
    <w:rsid w:val="00146CDB"/>
    <w:rsid w:val="00150C7B"/>
    <w:rsid w:val="001517CD"/>
    <w:rsid w:val="00152035"/>
    <w:rsid w:val="00152549"/>
    <w:rsid w:val="001541DE"/>
    <w:rsid w:val="00154FDE"/>
    <w:rsid w:val="00155D40"/>
    <w:rsid w:val="00157C3B"/>
    <w:rsid w:val="00160596"/>
    <w:rsid w:val="001606E0"/>
    <w:rsid w:val="00160B08"/>
    <w:rsid w:val="00162DE7"/>
    <w:rsid w:val="00166111"/>
    <w:rsid w:val="00167067"/>
    <w:rsid w:val="00171C80"/>
    <w:rsid w:val="0017275A"/>
    <w:rsid w:val="001743AF"/>
    <w:rsid w:val="00174CD1"/>
    <w:rsid w:val="00174E38"/>
    <w:rsid w:val="001753AB"/>
    <w:rsid w:val="00175E33"/>
    <w:rsid w:val="0017625A"/>
    <w:rsid w:val="00177240"/>
    <w:rsid w:val="00177DAA"/>
    <w:rsid w:val="00180181"/>
    <w:rsid w:val="00180257"/>
    <w:rsid w:val="00180BAC"/>
    <w:rsid w:val="00183C38"/>
    <w:rsid w:val="001846E2"/>
    <w:rsid w:val="001878EC"/>
    <w:rsid w:val="0019053B"/>
    <w:rsid w:val="001937E0"/>
    <w:rsid w:val="00193EA5"/>
    <w:rsid w:val="00194645"/>
    <w:rsid w:val="00195EB1"/>
    <w:rsid w:val="001960D7"/>
    <w:rsid w:val="00197293"/>
    <w:rsid w:val="001A17E0"/>
    <w:rsid w:val="001A26E8"/>
    <w:rsid w:val="001A5102"/>
    <w:rsid w:val="001A5C1D"/>
    <w:rsid w:val="001A5F20"/>
    <w:rsid w:val="001A6096"/>
    <w:rsid w:val="001A7DC4"/>
    <w:rsid w:val="001B6867"/>
    <w:rsid w:val="001B785B"/>
    <w:rsid w:val="001B7A15"/>
    <w:rsid w:val="001C009C"/>
    <w:rsid w:val="001C01B2"/>
    <w:rsid w:val="001C0792"/>
    <w:rsid w:val="001C0D45"/>
    <w:rsid w:val="001C1825"/>
    <w:rsid w:val="001C1C7A"/>
    <w:rsid w:val="001C3DD5"/>
    <w:rsid w:val="001C4790"/>
    <w:rsid w:val="001C722B"/>
    <w:rsid w:val="001D0028"/>
    <w:rsid w:val="001D08B3"/>
    <w:rsid w:val="001D2721"/>
    <w:rsid w:val="001D30F4"/>
    <w:rsid w:val="001D5309"/>
    <w:rsid w:val="001E0B42"/>
    <w:rsid w:val="001E1AFD"/>
    <w:rsid w:val="001E2A49"/>
    <w:rsid w:val="001E589B"/>
    <w:rsid w:val="001E5ABC"/>
    <w:rsid w:val="001E6923"/>
    <w:rsid w:val="001F01A7"/>
    <w:rsid w:val="001F21FE"/>
    <w:rsid w:val="001F28CF"/>
    <w:rsid w:val="001F7397"/>
    <w:rsid w:val="00200570"/>
    <w:rsid w:val="00200DBC"/>
    <w:rsid w:val="00202841"/>
    <w:rsid w:val="00204D20"/>
    <w:rsid w:val="0020596F"/>
    <w:rsid w:val="00205C6C"/>
    <w:rsid w:val="002062E0"/>
    <w:rsid w:val="002069F8"/>
    <w:rsid w:val="00206A8E"/>
    <w:rsid w:val="002109CE"/>
    <w:rsid w:val="00210B4A"/>
    <w:rsid w:val="00212E87"/>
    <w:rsid w:val="002145D6"/>
    <w:rsid w:val="00215EA3"/>
    <w:rsid w:val="002168B3"/>
    <w:rsid w:val="00217883"/>
    <w:rsid w:val="00217896"/>
    <w:rsid w:val="00217A44"/>
    <w:rsid w:val="00217A5A"/>
    <w:rsid w:val="002202D9"/>
    <w:rsid w:val="00221195"/>
    <w:rsid w:val="00221E2B"/>
    <w:rsid w:val="00223927"/>
    <w:rsid w:val="002240B9"/>
    <w:rsid w:val="002243FC"/>
    <w:rsid w:val="00224908"/>
    <w:rsid w:val="00224F32"/>
    <w:rsid w:val="00226B59"/>
    <w:rsid w:val="0022798B"/>
    <w:rsid w:val="0023014F"/>
    <w:rsid w:val="002318E3"/>
    <w:rsid w:val="00231E73"/>
    <w:rsid w:val="002343E9"/>
    <w:rsid w:val="002347A1"/>
    <w:rsid w:val="00236700"/>
    <w:rsid w:val="0024027D"/>
    <w:rsid w:val="002403E5"/>
    <w:rsid w:val="00240918"/>
    <w:rsid w:val="00240F39"/>
    <w:rsid w:val="00242C9C"/>
    <w:rsid w:val="002438B6"/>
    <w:rsid w:val="0024639B"/>
    <w:rsid w:val="00246728"/>
    <w:rsid w:val="00247119"/>
    <w:rsid w:val="00250054"/>
    <w:rsid w:val="00252A73"/>
    <w:rsid w:val="00252B00"/>
    <w:rsid w:val="00256E0F"/>
    <w:rsid w:val="00257A02"/>
    <w:rsid w:val="00261272"/>
    <w:rsid w:val="002628E0"/>
    <w:rsid w:val="00264512"/>
    <w:rsid w:val="00265523"/>
    <w:rsid w:val="00265931"/>
    <w:rsid w:val="00266B03"/>
    <w:rsid w:val="002704C0"/>
    <w:rsid w:val="00270F79"/>
    <w:rsid w:val="00271AB3"/>
    <w:rsid w:val="0027236F"/>
    <w:rsid w:val="00273107"/>
    <w:rsid w:val="00274299"/>
    <w:rsid w:val="00275CCD"/>
    <w:rsid w:val="002775CA"/>
    <w:rsid w:val="00277F80"/>
    <w:rsid w:val="00282A4C"/>
    <w:rsid w:val="00283F5C"/>
    <w:rsid w:val="00286B98"/>
    <w:rsid w:val="00290215"/>
    <w:rsid w:val="002907ED"/>
    <w:rsid w:val="002929E5"/>
    <w:rsid w:val="00294283"/>
    <w:rsid w:val="00294C71"/>
    <w:rsid w:val="00295D25"/>
    <w:rsid w:val="00297646"/>
    <w:rsid w:val="002976DD"/>
    <w:rsid w:val="00297EF0"/>
    <w:rsid w:val="00297FE0"/>
    <w:rsid w:val="002A3C54"/>
    <w:rsid w:val="002A3F0E"/>
    <w:rsid w:val="002A4104"/>
    <w:rsid w:val="002A7A0F"/>
    <w:rsid w:val="002B5C1A"/>
    <w:rsid w:val="002B6135"/>
    <w:rsid w:val="002B70A1"/>
    <w:rsid w:val="002B7ED3"/>
    <w:rsid w:val="002C09F5"/>
    <w:rsid w:val="002C13BF"/>
    <w:rsid w:val="002C17F9"/>
    <w:rsid w:val="002C1DDB"/>
    <w:rsid w:val="002C2101"/>
    <w:rsid w:val="002C4E9F"/>
    <w:rsid w:val="002D0A26"/>
    <w:rsid w:val="002D0A7D"/>
    <w:rsid w:val="002D1F9B"/>
    <w:rsid w:val="002D6FBA"/>
    <w:rsid w:val="002E3CEA"/>
    <w:rsid w:val="002E4208"/>
    <w:rsid w:val="002E52AA"/>
    <w:rsid w:val="002E53FA"/>
    <w:rsid w:val="002E6489"/>
    <w:rsid w:val="002E6B3A"/>
    <w:rsid w:val="002E7CE4"/>
    <w:rsid w:val="002F06D7"/>
    <w:rsid w:val="002F1049"/>
    <w:rsid w:val="002F28D4"/>
    <w:rsid w:val="002F2C32"/>
    <w:rsid w:val="002F6661"/>
    <w:rsid w:val="002F786B"/>
    <w:rsid w:val="00300974"/>
    <w:rsid w:val="003011F1"/>
    <w:rsid w:val="0030356B"/>
    <w:rsid w:val="003043D4"/>
    <w:rsid w:val="00304855"/>
    <w:rsid w:val="0030547B"/>
    <w:rsid w:val="00305AB7"/>
    <w:rsid w:val="00305CA5"/>
    <w:rsid w:val="00307926"/>
    <w:rsid w:val="00310838"/>
    <w:rsid w:val="00313599"/>
    <w:rsid w:val="00314D65"/>
    <w:rsid w:val="00314E25"/>
    <w:rsid w:val="0031508F"/>
    <w:rsid w:val="00315CF4"/>
    <w:rsid w:val="0031622C"/>
    <w:rsid w:val="003173A9"/>
    <w:rsid w:val="00317C9F"/>
    <w:rsid w:val="00320CAE"/>
    <w:rsid w:val="00321D8B"/>
    <w:rsid w:val="00321FE8"/>
    <w:rsid w:val="0032221F"/>
    <w:rsid w:val="00322D98"/>
    <w:rsid w:val="0032429D"/>
    <w:rsid w:val="003252B4"/>
    <w:rsid w:val="003254E8"/>
    <w:rsid w:val="00330547"/>
    <w:rsid w:val="00331237"/>
    <w:rsid w:val="003318DF"/>
    <w:rsid w:val="003328AC"/>
    <w:rsid w:val="0033297B"/>
    <w:rsid w:val="0033391B"/>
    <w:rsid w:val="003344F1"/>
    <w:rsid w:val="00334AFF"/>
    <w:rsid w:val="00336265"/>
    <w:rsid w:val="003363AC"/>
    <w:rsid w:val="00337253"/>
    <w:rsid w:val="00343E5C"/>
    <w:rsid w:val="00344912"/>
    <w:rsid w:val="003467B2"/>
    <w:rsid w:val="00347E3E"/>
    <w:rsid w:val="0035019C"/>
    <w:rsid w:val="00350526"/>
    <w:rsid w:val="0035101E"/>
    <w:rsid w:val="00351B08"/>
    <w:rsid w:val="00351F31"/>
    <w:rsid w:val="00351F7E"/>
    <w:rsid w:val="00352305"/>
    <w:rsid w:val="00353F88"/>
    <w:rsid w:val="003566CB"/>
    <w:rsid w:val="00356754"/>
    <w:rsid w:val="00357DA5"/>
    <w:rsid w:val="00357FB8"/>
    <w:rsid w:val="003610A8"/>
    <w:rsid w:val="00361550"/>
    <w:rsid w:val="00361A92"/>
    <w:rsid w:val="00362AB1"/>
    <w:rsid w:val="003632BC"/>
    <w:rsid w:val="00365E1E"/>
    <w:rsid w:val="00366E4B"/>
    <w:rsid w:val="003672E7"/>
    <w:rsid w:val="0036748C"/>
    <w:rsid w:val="0036767C"/>
    <w:rsid w:val="0037041C"/>
    <w:rsid w:val="00371D9E"/>
    <w:rsid w:val="00372220"/>
    <w:rsid w:val="0037422F"/>
    <w:rsid w:val="00374FAD"/>
    <w:rsid w:val="003753A7"/>
    <w:rsid w:val="00381DC4"/>
    <w:rsid w:val="0038302E"/>
    <w:rsid w:val="00383B4A"/>
    <w:rsid w:val="003850CA"/>
    <w:rsid w:val="003850F5"/>
    <w:rsid w:val="00387043"/>
    <w:rsid w:val="003874ED"/>
    <w:rsid w:val="00387703"/>
    <w:rsid w:val="00387B92"/>
    <w:rsid w:val="0039061A"/>
    <w:rsid w:val="00392215"/>
    <w:rsid w:val="00392308"/>
    <w:rsid w:val="00392F0D"/>
    <w:rsid w:val="00393021"/>
    <w:rsid w:val="00395A9F"/>
    <w:rsid w:val="0039742D"/>
    <w:rsid w:val="00397DEC"/>
    <w:rsid w:val="003A09F8"/>
    <w:rsid w:val="003A0BAA"/>
    <w:rsid w:val="003A1445"/>
    <w:rsid w:val="003A5820"/>
    <w:rsid w:val="003A6E93"/>
    <w:rsid w:val="003B04D5"/>
    <w:rsid w:val="003B170D"/>
    <w:rsid w:val="003B1A4C"/>
    <w:rsid w:val="003B5D13"/>
    <w:rsid w:val="003C0B5D"/>
    <w:rsid w:val="003C3F48"/>
    <w:rsid w:val="003C6515"/>
    <w:rsid w:val="003C6C3C"/>
    <w:rsid w:val="003D00DD"/>
    <w:rsid w:val="003D0A40"/>
    <w:rsid w:val="003D0C7B"/>
    <w:rsid w:val="003D2471"/>
    <w:rsid w:val="003D28CF"/>
    <w:rsid w:val="003D35ED"/>
    <w:rsid w:val="003E0207"/>
    <w:rsid w:val="003E064F"/>
    <w:rsid w:val="003E0AFA"/>
    <w:rsid w:val="003E1E84"/>
    <w:rsid w:val="003E22BB"/>
    <w:rsid w:val="003E3649"/>
    <w:rsid w:val="003E3917"/>
    <w:rsid w:val="003E509E"/>
    <w:rsid w:val="003E74CD"/>
    <w:rsid w:val="003F7E4C"/>
    <w:rsid w:val="004007E4"/>
    <w:rsid w:val="00400FD4"/>
    <w:rsid w:val="0040189B"/>
    <w:rsid w:val="004034B3"/>
    <w:rsid w:val="00403D67"/>
    <w:rsid w:val="0040492A"/>
    <w:rsid w:val="004058F3"/>
    <w:rsid w:val="004071D4"/>
    <w:rsid w:val="0040792C"/>
    <w:rsid w:val="00407C68"/>
    <w:rsid w:val="00410F47"/>
    <w:rsid w:val="004119B4"/>
    <w:rsid w:val="0041597D"/>
    <w:rsid w:val="00417806"/>
    <w:rsid w:val="00420463"/>
    <w:rsid w:val="00420818"/>
    <w:rsid w:val="00421502"/>
    <w:rsid w:val="004256C5"/>
    <w:rsid w:val="004278C0"/>
    <w:rsid w:val="0043005C"/>
    <w:rsid w:val="00432D87"/>
    <w:rsid w:val="00433927"/>
    <w:rsid w:val="0043465F"/>
    <w:rsid w:val="004354D9"/>
    <w:rsid w:val="00435720"/>
    <w:rsid w:val="00436099"/>
    <w:rsid w:val="004369FE"/>
    <w:rsid w:val="00437108"/>
    <w:rsid w:val="00437B2D"/>
    <w:rsid w:val="00440662"/>
    <w:rsid w:val="004418B3"/>
    <w:rsid w:val="00441B5A"/>
    <w:rsid w:val="00443CB2"/>
    <w:rsid w:val="00444233"/>
    <w:rsid w:val="00446F16"/>
    <w:rsid w:val="004472AF"/>
    <w:rsid w:val="00450DA6"/>
    <w:rsid w:val="0045169F"/>
    <w:rsid w:val="004524E3"/>
    <w:rsid w:val="00453468"/>
    <w:rsid w:val="004549DF"/>
    <w:rsid w:val="00454B23"/>
    <w:rsid w:val="00457967"/>
    <w:rsid w:val="004602D8"/>
    <w:rsid w:val="00460391"/>
    <w:rsid w:val="00460AE0"/>
    <w:rsid w:val="004610B2"/>
    <w:rsid w:val="00464840"/>
    <w:rsid w:val="0046619F"/>
    <w:rsid w:val="004665ED"/>
    <w:rsid w:val="00467896"/>
    <w:rsid w:val="00470228"/>
    <w:rsid w:val="00471BF1"/>
    <w:rsid w:val="00471C2D"/>
    <w:rsid w:val="0047415A"/>
    <w:rsid w:val="00474D07"/>
    <w:rsid w:val="00475D56"/>
    <w:rsid w:val="00480616"/>
    <w:rsid w:val="004818D9"/>
    <w:rsid w:val="00483047"/>
    <w:rsid w:val="00486CC1"/>
    <w:rsid w:val="00486FF8"/>
    <w:rsid w:val="004872D7"/>
    <w:rsid w:val="004902F4"/>
    <w:rsid w:val="004914EA"/>
    <w:rsid w:val="0049213E"/>
    <w:rsid w:val="004974E7"/>
    <w:rsid w:val="004A018C"/>
    <w:rsid w:val="004A06B1"/>
    <w:rsid w:val="004A12AF"/>
    <w:rsid w:val="004A2AB7"/>
    <w:rsid w:val="004A3F3A"/>
    <w:rsid w:val="004A3F79"/>
    <w:rsid w:val="004A4485"/>
    <w:rsid w:val="004A46DD"/>
    <w:rsid w:val="004A47F9"/>
    <w:rsid w:val="004A494A"/>
    <w:rsid w:val="004A66C2"/>
    <w:rsid w:val="004A7104"/>
    <w:rsid w:val="004B0300"/>
    <w:rsid w:val="004B356C"/>
    <w:rsid w:val="004B4101"/>
    <w:rsid w:val="004B5C07"/>
    <w:rsid w:val="004C035F"/>
    <w:rsid w:val="004C0C54"/>
    <w:rsid w:val="004C16F3"/>
    <w:rsid w:val="004C2A4B"/>
    <w:rsid w:val="004C2F11"/>
    <w:rsid w:val="004C3E5B"/>
    <w:rsid w:val="004C3E5E"/>
    <w:rsid w:val="004C6304"/>
    <w:rsid w:val="004C7A9B"/>
    <w:rsid w:val="004C7E87"/>
    <w:rsid w:val="004D2CDC"/>
    <w:rsid w:val="004D3D42"/>
    <w:rsid w:val="004D6590"/>
    <w:rsid w:val="004E09A3"/>
    <w:rsid w:val="004E0BAB"/>
    <w:rsid w:val="004E33E8"/>
    <w:rsid w:val="004E3E96"/>
    <w:rsid w:val="004E4A88"/>
    <w:rsid w:val="004E4FB1"/>
    <w:rsid w:val="004E6253"/>
    <w:rsid w:val="004F1BBD"/>
    <w:rsid w:val="004F3330"/>
    <w:rsid w:val="004F3D4F"/>
    <w:rsid w:val="004F3D8D"/>
    <w:rsid w:val="004F570B"/>
    <w:rsid w:val="004F59FA"/>
    <w:rsid w:val="004F631B"/>
    <w:rsid w:val="004F7386"/>
    <w:rsid w:val="00501026"/>
    <w:rsid w:val="00501A8C"/>
    <w:rsid w:val="00501BED"/>
    <w:rsid w:val="00501D5C"/>
    <w:rsid w:val="00502607"/>
    <w:rsid w:val="005049A8"/>
    <w:rsid w:val="00505116"/>
    <w:rsid w:val="00505153"/>
    <w:rsid w:val="00505836"/>
    <w:rsid w:val="00505A57"/>
    <w:rsid w:val="00505CE5"/>
    <w:rsid w:val="005065DC"/>
    <w:rsid w:val="00506AFE"/>
    <w:rsid w:val="00506E5C"/>
    <w:rsid w:val="005104CE"/>
    <w:rsid w:val="00512897"/>
    <w:rsid w:val="00512A39"/>
    <w:rsid w:val="00512D3E"/>
    <w:rsid w:val="0051324F"/>
    <w:rsid w:val="00513659"/>
    <w:rsid w:val="00515E19"/>
    <w:rsid w:val="00515F68"/>
    <w:rsid w:val="00517412"/>
    <w:rsid w:val="00520FD4"/>
    <w:rsid w:val="00521711"/>
    <w:rsid w:val="00521912"/>
    <w:rsid w:val="00523A62"/>
    <w:rsid w:val="00525856"/>
    <w:rsid w:val="005261AF"/>
    <w:rsid w:val="005265DA"/>
    <w:rsid w:val="00526BCF"/>
    <w:rsid w:val="00527E2B"/>
    <w:rsid w:val="00527EAF"/>
    <w:rsid w:val="00530421"/>
    <w:rsid w:val="00530612"/>
    <w:rsid w:val="00531CD4"/>
    <w:rsid w:val="0053560F"/>
    <w:rsid w:val="00540A77"/>
    <w:rsid w:val="005415BC"/>
    <w:rsid w:val="00541821"/>
    <w:rsid w:val="00541A63"/>
    <w:rsid w:val="005434AE"/>
    <w:rsid w:val="005449FE"/>
    <w:rsid w:val="00544B54"/>
    <w:rsid w:val="005455BF"/>
    <w:rsid w:val="00545A1C"/>
    <w:rsid w:val="00546D2A"/>
    <w:rsid w:val="00547DB2"/>
    <w:rsid w:val="00550FF5"/>
    <w:rsid w:val="00554C98"/>
    <w:rsid w:val="00555BEF"/>
    <w:rsid w:val="0056333C"/>
    <w:rsid w:val="005645F9"/>
    <w:rsid w:val="0056516D"/>
    <w:rsid w:val="00566355"/>
    <w:rsid w:val="0056685C"/>
    <w:rsid w:val="00566916"/>
    <w:rsid w:val="005670F5"/>
    <w:rsid w:val="00567227"/>
    <w:rsid w:val="00567986"/>
    <w:rsid w:val="005724EC"/>
    <w:rsid w:val="005740FB"/>
    <w:rsid w:val="00575714"/>
    <w:rsid w:val="005762A0"/>
    <w:rsid w:val="005769B8"/>
    <w:rsid w:val="00576D85"/>
    <w:rsid w:val="00577F7B"/>
    <w:rsid w:val="00580319"/>
    <w:rsid w:val="00580C83"/>
    <w:rsid w:val="0058103D"/>
    <w:rsid w:val="00582D93"/>
    <w:rsid w:val="00585305"/>
    <w:rsid w:val="00586F3D"/>
    <w:rsid w:val="00587418"/>
    <w:rsid w:val="00590A16"/>
    <w:rsid w:val="005926A8"/>
    <w:rsid w:val="00593337"/>
    <w:rsid w:val="00593E02"/>
    <w:rsid w:val="005949B5"/>
    <w:rsid w:val="0059503D"/>
    <w:rsid w:val="0059527D"/>
    <w:rsid w:val="00595684"/>
    <w:rsid w:val="00596B21"/>
    <w:rsid w:val="0059721F"/>
    <w:rsid w:val="00597951"/>
    <w:rsid w:val="005A16E5"/>
    <w:rsid w:val="005A2359"/>
    <w:rsid w:val="005B22E3"/>
    <w:rsid w:val="005B4B54"/>
    <w:rsid w:val="005B6E0B"/>
    <w:rsid w:val="005C07E3"/>
    <w:rsid w:val="005C5C59"/>
    <w:rsid w:val="005C5CE2"/>
    <w:rsid w:val="005C611D"/>
    <w:rsid w:val="005C64E2"/>
    <w:rsid w:val="005C6F3F"/>
    <w:rsid w:val="005D0309"/>
    <w:rsid w:val="005D0456"/>
    <w:rsid w:val="005D0E4E"/>
    <w:rsid w:val="005D1EE3"/>
    <w:rsid w:val="005D2BDE"/>
    <w:rsid w:val="005D3023"/>
    <w:rsid w:val="005D432B"/>
    <w:rsid w:val="005D4FF8"/>
    <w:rsid w:val="005D6C8D"/>
    <w:rsid w:val="005D7863"/>
    <w:rsid w:val="005D7C88"/>
    <w:rsid w:val="005D7D03"/>
    <w:rsid w:val="005E05B0"/>
    <w:rsid w:val="005E05D0"/>
    <w:rsid w:val="005E184D"/>
    <w:rsid w:val="005E41C0"/>
    <w:rsid w:val="005E5068"/>
    <w:rsid w:val="005E51A2"/>
    <w:rsid w:val="005E5B60"/>
    <w:rsid w:val="005E78E1"/>
    <w:rsid w:val="005F0B36"/>
    <w:rsid w:val="005F0FC4"/>
    <w:rsid w:val="005F1385"/>
    <w:rsid w:val="005F2537"/>
    <w:rsid w:val="005F53C1"/>
    <w:rsid w:val="005F67B3"/>
    <w:rsid w:val="005F6828"/>
    <w:rsid w:val="005F70A9"/>
    <w:rsid w:val="006007B3"/>
    <w:rsid w:val="00600E8F"/>
    <w:rsid w:val="00602160"/>
    <w:rsid w:val="0060273F"/>
    <w:rsid w:val="00602F51"/>
    <w:rsid w:val="00604DB9"/>
    <w:rsid w:val="006055E6"/>
    <w:rsid w:val="00606286"/>
    <w:rsid w:val="006072FA"/>
    <w:rsid w:val="00607644"/>
    <w:rsid w:val="006105F9"/>
    <w:rsid w:val="00611458"/>
    <w:rsid w:val="00611CD6"/>
    <w:rsid w:val="0061200E"/>
    <w:rsid w:val="00613349"/>
    <w:rsid w:val="00613357"/>
    <w:rsid w:val="0061470D"/>
    <w:rsid w:val="00617BA8"/>
    <w:rsid w:val="0062342B"/>
    <w:rsid w:val="00631734"/>
    <w:rsid w:val="00631DE5"/>
    <w:rsid w:val="00633D97"/>
    <w:rsid w:val="00633F28"/>
    <w:rsid w:val="00634260"/>
    <w:rsid w:val="00637139"/>
    <w:rsid w:val="00637467"/>
    <w:rsid w:val="0064058F"/>
    <w:rsid w:val="006433B8"/>
    <w:rsid w:val="00644AF5"/>
    <w:rsid w:val="006454B5"/>
    <w:rsid w:val="00650F9D"/>
    <w:rsid w:val="00651B5F"/>
    <w:rsid w:val="00651E96"/>
    <w:rsid w:val="00652928"/>
    <w:rsid w:val="006544F1"/>
    <w:rsid w:val="0065545A"/>
    <w:rsid w:val="00655747"/>
    <w:rsid w:val="00663359"/>
    <w:rsid w:val="00663C83"/>
    <w:rsid w:val="00664378"/>
    <w:rsid w:val="0066509B"/>
    <w:rsid w:val="0066536B"/>
    <w:rsid w:val="00665542"/>
    <w:rsid w:val="0066606D"/>
    <w:rsid w:val="0066648F"/>
    <w:rsid w:val="00666571"/>
    <w:rsid w:val="006671CD"/>
    <w:rsid w:val="0066735E"/>
    <w:rsid w:val="00672199"/>
    <w:rsid w:val="006734F2"/>
    <w:rsid w:val="00677308"/>
    <w:rsid w:val="00683793"/>
    <w:rsid w:val="00683DAA"/>
    <w:rsid w:val="00690249"/>
    <w:rsid w:val="00690252"/>
    <w:rsid w:val="00690D20"/>
    <w:rsid w:val="00691583"/>
    <w:rsid w:val="00693734"/>
    <w:rsid w:val="00695208"/>
    <w:rsid w:val="0069625F"/>
    <w:rsid w:val="00696A48"/>
    <w:rsid w:val="0069795F"/>
    <w:rsid w:val="006A0541"/>
    <w:rsid w:val="006A3B65"/>
    <w:rsid w:val="006A44C2"/>
    <w:rsid w:val="006A5910"/>
    <w:rsid w:val="006A739A"/>
    <w:rsid w:val="006B3BD2"/>
    <w:rsid w:val="006B49DF"/>
    <w:rsid w:val="006B521F"/>
    <w:rsid w:val="006B58BC"/>
    <w:rsid w:val="006B70EE"/>
    <w:rsid w:val="006C2490"/>
    <w:rsid w:val="006C5934"/>
    <w:rsid w:val="006C605A"/>
    <w:rsid w:val="006D038D"/>
    <w:rsid w:val="006D03B0"/>
    <w:rsid w:val="006D042E"/>
    <w:rsid w:val="006D3FA5"/>
    <w:rsid w:val="006D5E49"/>
    <w:rsid w:val="006E0251"/>
    <w:rsid w:val="006E075C"/>
    <w:rsid w:val="006E319D"/>
    <w:rsid w:val="006E336B"/>
    <w:rsid w:val="006E3BED"/>
    <w:rsid w:val="006E4EB6"/>
    <w:rsid w:val="006E60EF"/>
    <w:rsid w:val="006F2B19"/>
    <w:rsid w:val="006F3730"/>
    <w:rsid w:val="006F4A92"/>
    <w:rsid w:val="006F7547"/>
    <w:rsid w:val="0070072A"/>
    <w:rsid w:val="00701143"/>
    <w:rsid w:val="00701FAD"/>
    <w:rsid w:val="00702CBB"/>
    <w:rsid w:val="0070585B"/>
    <w:rsid w:val="00705BFD"/>
    <w:rsid w:val="0070632F"/>
    <w:rsid w:val="00706C4E"/>
    <w:rsid w:val="007100B0"/>
    <w:rsid w:val="007102DE"/>
    <w:rsid w:val="00714CD3"/>
    <w:rsid w:val="0071534C"/>
    <w:rsid w:val="00716555"/>
    <w:rsid w:val="00716D61"/>
    <w:rsid w:val="00717EC9"/>
    <w:rsid w:val="0072052F"/>
    <w:rsid w:val="00721299"/>
    <w:rsid w:val="00722F1A"/>
    <w:rsid w:val="00722FD0"/>
    <w:rsid w:val="0072304F"/>
    <w:rsid w:val="00724E48"/>
    <w:rsid w:val="00724FBF"/>
    <w:rsid w:val="00725A02"/>
    <w:rsid w:val="00734EB1"/>
    <w:rsid w:val="007361D3"/>
    <w:rsid w:val="00737B0D"/>
    <w:rsid w:val="00742F67"/>
    <w:rsid w:val="007465B0"/>
    <w:rsid w:val="00746A04"/>
    <w:rsid w:val="00751947"/>
    <w:rsid w:val="007525DF"/>
    <w:rsid w:val="0075267E"/>
    <w:rsid w:val="00754287"/>
    <w:rsid w:val="00754B30"/>
    <w:rsid w:val="00756BCF"/>
    <w:rsid w:val="00760F0F"/>
    <w:rsid w:val="00763688"/>
    <w:rsid w:val="0076430D"/>
    <w:rsid w:val="007646BB"/>
    <w:rsid w:val="0076529C"/>
    <w:rsid w:val="007652CA"/>
    <w:rsid w:val="007668A6"/>
    <w:rsid w:val="00766F11"/>
    <w:rsid w:val="007705CA"/>
    <w:rsid w:val="007712ED"/>
    <w:rsid w:val="00771336"/>
    <w:rsid w:val="00773B62"/>
    <w:rsid w:val="00774770"/>
    <w:rsid w:val="007749E2"/>
    <w:rsid w:val="00774B23"/>
    <w:rsid w:val="007755BC"/>
    <w:rsid w:val="007759C3"/>
    <w:rsid w:val="00775CA5"/>
    <w:rsid w:val="00775F89"/>
    <w:rsid w:val="007764F4"/>
    <w:rsid w:val="00776A18"/>
    <w:rsid w:val="007807A0"/>
    <w:rsid w:val="007816A6"/>
    <w:rsid w:val="007825C5"/>
    <w:rsid w:val="007830D1"/>
    <w:rsid w:val="00784C39"/>
    <w:rsid w:val="00787269"/>
    <w:rsid w:val="007906AD"/>
    <w:rsid w:val="007931BF"/>
    <w:rsid w:val="007938DE"/>
    <w:rsid w:val="0079492C"/>
    <w:rsid w:val="00794997"/>
    <w:rsid w:val="00795749"/>
    <w:rsid w:val="00797605"/>
    <w:rsid w:val="007A05EA"/>
    <w:rsid w:val="007A0E92"/>
    <w:rsid w:val="007A29B1"/>
    <w:rsid w:val="007A2D5C"/>
    <w:rsid w:val="007A5A19"/>
    <w:rsid w:val="007B03C3"/>
    <w:rsid w:val="007B0E00"/>
    <w:rsid w:val="007B190E"/>
    <w:rsid w:val="007B1B9E"/>
    <w:rsid w:val="007B45DB"/>
    <w:rsid w:val="007B4C13"/>
    <w:rsid w:val="007B6B13"/>
    <w:rsid w:val="007C03F7"/>
    <w:rsid w:val="007C0782"/>
    <w:rsid w:val="007C25A0"/>
    <w:rsid w:val="007C290D"/>
    <w:rsid w:val="007C2F88"/>
    <w:rsid w:val="007C375E"/>
    <w:rsid w:val="007C3B7D"/>
    <w:rsid w:val="007C5167"/>
    <w:rsid w:val="007C53F6"/>
    <w:rsid w:val="007C603F"/>
    <w:rsid w:val="007D1A07"/>
    <w:rsid w:val="007D246C"/>
    <w:rsid w:val="007D33E1"/>
    <w:rsid w:val="007D4236"/>
    <w:rsid w:val="007D4D82"/>
    <w:rsid w:val="007D52A4"/>
    <w:rsid w:val="007D5F0B"/>
    <w:rsid w:val="007E0A44"/>
    <w:rsid w:val="007E34CA"/>
    <w:rsid w:val="007E3675"/>
    <w:rsid w:val="007E3F94"/>
    <w:rsid w:val="007E67DF"/>
    <w:rsid w:val="007E6F20"/>
    <w:rsid w:val="007F04DD"/>
    <w:rsid w:val="007F6B98"/>
    <w:rsid w:val="008019F4"/>
    <w:rsid w:val="00802211"/>
    <w:rsid w:val="00803E97"/>
    <w:rsid w:val="00804D5C"/>
    <w:rsid w:val="0080571D"/>
    <w:rsid w:val="00805E0B"/>
    <w:rsid w:val="00806C3E"/>
    <w:rsid w:val="008070E2"/>
    <w:rsid w:val="00812B99"/>
    <w:rsid w:val="00813A6B"/>
    <w:rsid w:val="0081582B"/>
    <w:rsid w:val="0081607E"/>
    <w:rsid w:val="0081699B"/>
    <w:rsid w:val="0082067A"/>
    <w:rsid w:val="0082236E"/>
    <w:rsid w:val="00825898"/>
    <w:rsid w:val="00825C31"/>
    <w:rsid w:val="00826032"/>
    <w:rsid w:val="008261E5"/>
    <w:rsid w:val="00826C82"/>
    <w:rsid w:val="00827073"/>
    <w:rsid w:val="00830896"/>
    <w:rsid w:val="0083328C"/>
    <w:rsid w:val="008334BC"/>
    <w:rsid w:val="00833D77"/>
    <w:rsid w:val="00834565"/>
    <w:rsid w:val="00834FC8"/>
    <w:rsid w:val="00836C51"/>
    <w:rsid w:val="008371A1"/>
    <w:rsid w:val="008418CD"/>
    <w:rsid w:val="00841ED2"/>
    <w:rsid w:val="00842174"/>
    <w:rsid w:val="00844CBE"/>
    <w:rsid w:val="0084559A"/>
    <w:rsid w:val="00846436"/>
    <w:rsid w:val="008464B0"/>
    <w:rsid w:val="00846FF4"/>
    <w:rsid w:val="00851C7C"/>
    <w:rsid w:val="00852C00"/>
    <w:rsid w:val="008539EE"/>
    <w:rsid w:val="00854600"/>
    <w:rsid w:val="008556D9"/>
    <w:rsid w:val="008558A8"/>
    <w:rsid w:val="00855932"/>
    <w:rsid w:val="00860202"/>
    <w:rsid w:val="00860A66"/>
    <w:rsid w:val="008610EA"/>
    <w:rsid w:val="0086120C"/>
    <w:rsid w:val="00861272"/>
    <w:rsid w:val="00861392"/>
    <w:rsid w:val="008625A3"/>
    <w:rsid w:val="00862DC9"/>
    <w:rsid w:val="00866908"/>
    <w:rsid w:val="0086730E"/>
    <w:rsid w:val="0086798F"/>
    <w:rsid w:val="008701BC"/>
    <w:rsid w:val="00870E4F"/>
    <w:rsid w:val="00871EC6"/>
    <w:rsid w:val="00872198"/>
    <w:rsid w:val="00872A09"/>
    <w:rsid w:val="00873638"/>
    <w:rsid w:val="00874C56"/>
    <w:rsid w:val="00875170"/>
    <w:rsid w:val="00875678"/>
    <w:rsid w:val="0087617D"/>
    <w:rsid w:val="00876455"/>
    <w:rsid w:val="00876C6F"/>
    <w:rsid w:val="008809A2"/>
    <w:rsid w:val="00882475"/>
    <w:rsid w:val="008857C4"/>
    <w:rsid w:val="00887981"/>
    <w:rsid w:val="00890180"/>
    <w:rsid w:val="00890549"/>
    <w:rsid w:val="00890C2B"/>
    <w:rsid w:val="00892667"/>
    <w:rsid w:val="00894077"/>
    <w:rsid w:val="0089471C"/>
    <w:rsid w:val="00895786"/>
    <w:rsid w:val="0089687F"/>
    <w:rsid w:val="00896C17"/>
    <w:rsid w:val="00897489"/>
    <w:rsid w:val="00897B62"/>
    <w:rsid w:val="008A5070"/>
    <w:rsid w:val="008A5585"/>
    <w:rsid w:val="008B1732"/>
    <w:rsid w:val="008B1BFF"/>
    <w:rsid w:val="008B5227"/>
    <w:rsid w:val="008B68CC"/>
    <w:rsid w:val="008B6AB8"/>
    <w:rsid w:val="008B6E5C"/>
    <w:rsid w:val="008B6F6E"/>
    <w:rsid w:val="008B7BD5"/>
    <w:rsid w:val="008C03B0"/>
    <w:rsid w:val="008C26C6"/>
    <w:rsid w:val="008C68B1"/>
    <w:rsid w:val="008C6B93"/>
    <w:rsid w:val="008D1895"/>
    <w:rsid w:val="008D20BE"/>
    <w:rsid w:val="008D323E"/>
    <w:rsid w:val="008D406B"/>
    <w:rsid w:val="008D507C"/>
    <w:rsid w:val="008D7DE0"/>
    <w:rsid w:val="008E250C"/>
    <w:rsid w:val="008F0BAE"/>
    <w:rsid w:val="008F214E"/>
    <w:rsid w:val="008F329B"/>
    <w:rsid w:val="008F34CA"/>
    <w:rsid w:val="008F3AA0"/>
    <w:rsid w:val="008F6296"/>
    <w:rsid w:val="008F674D"/>
    <w:rsid w:val="0090078C"/>
    <w:rsid w:val="00901043"/>
    <w:rsid w:val="009037B9"/>
    <w:rsid w:val="00905043"/>
    <w:rsid w:val="00907B7C"/>
    <w:rsid w:val="00907FC1"/>
    <w:rsid w:val="0091107E"/>
    <w:rsid w:val="009118C6"/>
    <w:rsid w:val="00912C08"/>
    <w:rsid w:val="00913FA6"/>
    <w:rsid w:val="00914E87"/>
    <w:rsid w:val="0091555A"/>
    <w:rsid w:val="009176E3"/>
    <w:rsid w:val="00920D08"/>
    <w:rsid w:val="009239A1"/>
    <w:rsid w:val="0092739C"/>
    <w:rsid w:val="009276B1"/>
    <w:rsid w:val="00930102"/>
    <w:rsid w:val="00930721"/>
    <w:rsid w:val="0093096A"/>
    <w:rsid w:val="009318A0"/>
    <w:rsid w:val="0093190C"/>
    <w:rsid w:val="0093198F"/>
    <w:rsid w:val="009325C7"/>
    <w:rsid w:val="009328DC"/>
    <w:rsid w:val="00936CE6"/>
    <w:rsid w:val="00940A53"/>
    <w:rsid w:val="00940CAA"/>
    <w:rsid w:val="0094182F"/>
    <w:rsid w:val="009427AE"/>
    <w:rsid w:val="009446F2"/>
    <w:rsid w:val="00945709"/>
    <w:rsid w:val="00946309"/>
    <w:rsid w:val="00946AD8"/>
    <w:rsid w:val="00947D93"/>
    <w:rsid w:val="00950626"/>
    <w:rsid w:val="00951E50"/>
    <w:rsid w:val="00952709"/>
    <w:rsid w:val="0095308B"/>
    <w:rsid w:val="00954E57"/>
    <w:rsid w:val="00954E71"/>
    <w:rsid w:val="00956E4A"/>
    <w:rsid w:val="00956ED4"/>
    <w:rsid w:val="00960216"/>
    <w:rsid w:val="009617CA"/>
    <w:rsid w:val="009619B1"/>
    <w:rsid w:val="00961BD3"/>
    <w:rsid w:val="00963472"/>
    <w:rsid w:val="00964330"/>
    <w:rsid w:val="009644AB"/>
    <w:rsid w:val="009662EB"/>
    <w:rsid w:val="009679F5"/>
    <w:rsid w:val="00971091"/>
    <w:rsid w:val="00973B62"/>
    <w:rsid w:val="00974AA0"/>
    <w:rsid w:val="00974FBE"/>
    <w:rsid w:val="00976B38"/>
    <w:rsid w:val="0097760D"/>
    <w:rsid w:val="009803C7"/>
    <w:rsid w:val="00980BC6"/>
    <w:rsid w:val="00981FE7"/>
    <w:rsid w:val="00982B01"/>
    <w:rsid w:val="00985515"/>
    <w:rsid w:val="00985541"/>
    <w:rsid w:val="00985ED0"/>
    <w:rsid w:val="00986997"/>
    <w:rsid w:val="00987414"/>
    <w:rsid w:val="00987B70"/>
    <w:rsid w:val="00990601"/>
    <w:rsid w:val="00995C7A"/>
    <w:rsid w:val="009A0129"/>
    <w:rsid w:val="009A53B5"/>
    <w:rsid w:val="009A549A"/>
    <w:rsid w:val="009B166D"/>
    <w:rsid w:val="009B16C1"/>
    <w:rsid w:val="009B1972"/>
    <w:rsid w:val="009B467A"/>
    <w:rsid w:val="009B4A5C"/>
    <w:rsid w:val="009B59F1"/>
    <w:rsid w:val="009B6B14"/>
    <w:rsid w:val="009B6F67"/>
    <w:rsid w:val="009B6F68"/>
    <w:rsid w:val="009B70F3"/>
    <w:rsid w:val="009B72BC"/>
    <w:rsid w:val="009B7BA2"/>
    <w:rsid w:val="009C0505"/>
    <w:rsid w:val="009C109E"/>
    <w:rsid w:val="009C4CAD"/>
    <w:rsid w:val="009C5409"/>
    <w:rsid w:val="009C786F"/>
    <w:rsid w:val="009D2266"/>
    <w:rsid w:val="009D375C"/>
    <w:rsid w:val="009D523D"/>
    <w:rsid w:val="009D6BC6"/>
    <w:rsid w:val="009D7558"/>
    <w:rsid w:val="009D7B70"/>
    <w:rsid w:val="009E274F"/>
    <w:rsid w:val="009E28E5"/>
    <w:rsid w:val="009E51DE"/>
    <w:rsid w:val="009E599C"/>
    <w:rsid w:val="009E619F"/>
    <w:rsid w:val="009F064D"/>
    <w:rsid w:val="009F127F"/>
    <w:rsid w:val="009F23AE"/>
    <w:rsid w:val="009F56F4"/>
    <w:rsid w:val="009F5DF1"/>
    <w:rsid w:val="009F5E37"/>
    <w:rsid w:val="009F63AF"/>
    <w:rsid w:val="00A004A5"/>
    <w:rsid w:val="00A01362"/>
    <w:rsid w:val="00A0142A"/>
    <w:rsid w:val="00A019B7"/>
    <w:rsid w:val="00A0427F"/>
    <w:rsid w:val="00A04497"/>
    <w:rsid w:val="00A06BFC"/>
    <w:rsid w:val="00A11704"/>
    <w:rsid w:val="00A12EB7"/>
    <w:rsid w:val="00A134E0"/>
    <w:rsid w:val="00A15D6F"/>
    <w:rsid w:val="00A1782C"/>
    <w:rsid w:val="00A22254"/>
    <w:rsid w:val="00A2387E"/>
    <w:rsid w:val="00A24140"/>
    <w:rsid w:val="00A25A27"/>
    <w:rsid w:val="00A26E66"/>
    <w:rsid w:val="00A30242"/>
    <w:rsid w:val="00A30604"/>
    <w:rsid w:val="00A33EEE"/>
    <w:rsid w:val="00A350FF"/>
    <w:rsid w:val="00A37A2A"/>
    <w:rsid w:val="00A37DD2"/>
    <w:rsid w:val="00A40E46"/>
    <w:rsid w:val="00A41161"/>
    <w:rsid w:val="00A4300C"/>
    <w:rsid w:val="00A45D71"/>
    <w:rsid w:val="00A47BDE"/>
    <w:rsid w:val="00A50440"/>
    <w:rsid w:val="00A51117"/>
    <w:rsid w:val="00A52512"/>
    <w:rsid w:val="00A538D3"/>
    <w:rsid w:val="00A54ACF"/>
    <w:rsid w:val="00A6077C"/>
    <w:rsid w:val="00A628AD"/>
    <w:rsid w:val="00A6333E"/>
    <w:rsid w:val="00A648DD"/>
    <w:rsid w:val="00A64927"/>
    <w:rsid w:val="00A651A6"/>
    <w:rsid w:val="00A67E1D"/>
    <w:rsid w:val="00A737E5"/>
    <w:rsid w:val="00A738F1"/>
    <w:rsid w:val="00A73B69"/>
    <w:rsid w:val="00A7484C"/>
    <w:rsid w:val="00A80762"/>
    <w:rsid w:val="00A81585"/>
    <w:rsid w:val="00A817A3"/>
    <w:rsid w:val="00A8260F"/>
    <w:rsid w:val="00A85879"/>
    <w:rsid w:val="00A860A0"/>
    <w:rsid w:val="00A86343"/>
    <w:rsid w:val="00A87436"/>
    <w:rsid w:val="00A907C9"/>
    <w:rsid w:val="00A90F7C"/>
    <w:rsid w:val="00A92711"/>
    <w:rsid w:val="00A92AE9"/>
    <w:rsid w:val="00A92B9C"/>
    <w:rsid w:val="00A932B9"/>
    <w:rsid w:val="00A93654"/>
    <w:rsid w:val="00A93657"/>
    <w:rsid w:val="00A94A51"/>
    <w:rsid w:val="00A97615"/>
    <w:rsid w:val="00AA05B4"/>
    <w:rsid w:val="00AA1277"/>
    <w:rsid w:val="00AA3591"/>
    <w:rsid w:val="00AA6419"/>
    <w:rsid w:val="00AA762D"/>
    <w:rsid w:val="00AB59AE"/>
    <w:rsid w:val="00AB60C4"/>
    <w:rsid w:val="00AB736C"/>
    <w:rsid w:val="00AB7602"/>
    <w:rsid w:val="00AC1D8C"/>
    <w:rsid w:val="00AC1E83"/>
    <w:rsid w:val="00AC1FFA"/>
    <w:rsid w:val="00AC3436"/>
    <w:rsid w:val="00AC3A90"/>
    <w:rsid w:val="00AC4A70"/>
    <w:rsid w:val="00AC53B1"/>
    <w:rsid w:val="00AC6E72"/>
    <w:rsid w:val="00AD01B7"/>
    <w:rsid w:val="00AD1D68"/>
    <w:rsid w:val="00AE1100"/>
    <w:rsid w:val="00AE216C"/>
    <w:rsid w:val="00AE2DD4"/>
    <w:rsid w:val="00AE3940"/>
    <w:rsid w:val="00AF02F6"/>
    <w:rsid w:val="00AF0F13"/>
    <w:rsid w:val="00AF1388"/>
    <w:rsid w:val="00AF2D3D"/>
    <w:rsid w:val="00AF334F"/>
    <w:rsid w:val="00AF38AA"/>
    <w:rsid w:val="00AF457C"/>
    <w:rsid w:val="00B00243"/>
    <w:rsid w:val="00B01A3B"/>
    <w:rsid w:val="00B01B70"/>
    <w:rsid w:val="00B0223E"/>
    <w:rsid w:val="00B02915"/>
    <w:rsid w:val="00B033ED"/>
    <w:rsid w:val="00B048CB"/>
    <w:rsid w:val="00B06790"/>
    <w:rsid w:val="00B07EEB"/>
    <w:rsid w:val="00B10368"/>
    <w:rsid w:val="00B10D94"/>
    <w:rsid w:val="00B12158"/>
    <w:rsid w:val="00B12352"/>
    <w:rsid w:val="00B13FF8"/>
    <w:rsid w:val="00B15516"/>
    <w:rsid w:val="00B15734"/>
    <w:rsid w:val="00B15CFE"/>
    <w:rsid w:val="00B15DF3"/>
    <w:rsid w:val="00B16ACB"/>
    <w:rsid w:val="00B16D3C"/>
    <w:rsid w:val="00B175FD"/>
    <w:rsid w:val="00B17F58"/>
    <w:rsid w:val="00B20645"/>
    <w:rsid w:val="00B20BE7"/>
    <w:rsid w:val="00B22AC9"/>
    <w:rsid w:val="00B2331C"/>
    <w:rsid w:val="00B23486"/>
    <w:rsid w:val="00B23525"/>
    <w:rsid w:val="00B24CA5"/>
    <w:rsid w:val="00B254DF"/>
    <w:rsid w:val="00B27229"/>
    <w:rsid w:val="00B31957"/>
    <w:rsid w:val="00B31D44"/>
    <w:rsid w:val="00B354FF"/>
    <w:rsid w:val="00B35AC0"/>
    <w:rsid w:val="00B36869"/>
    <w:rsid w:val="00B36D9B"/>
    <w:rsid w:val="00B40D1D"/>
    <w:rsid w:val="00B40F33"/>
    <w:rsid w:val="00B4374A"/>
    <w:rsid w:val="00B44C93"/>
    <w:rsid w:val="00B45254"/>
    <w:rsid w:val="00B45716"/>
    <w:rsid w:val="00B45D39"/>
    <w:rsid w:val="00B4733C"/>
    <w:rsid w:val="00B50354"/>
    <w:rsid w:val="00B544C0"/>
    <w:rsid w:val="00B60441"/>
    <w:rsid w:val="00B62384"/>
    <w:rsid w:val="00B63545"/>
    <w:rsid w:val="00B63DD2"/>
    <w:rsid w:val="00B63F5B"/>
    <w:rsid w:val="00B64680"/>
    <w:rsid w:val="00B65223"/>
    <w:rsid w:val="00B6537E"/>
    <w:rsid w:val="00B71150"/>
    <w:rsid w:val="00B7164A"/>
    <w:rsid w:val="00B71A8F"/>
    <w:rsid w:val="00B72C5E"/>
    <w:rsid w:val="00B74D4C"/>
    <w:rsid w:val="00B7627D"/>
    <w:rsid w:val="00B7631C"/>
    <w:rsid w:val="00B8035B"/>
    <w:rsid w:val="00B80F36"/>
    <w:rsid w:val="00B837E7"/>
    <w:rsid w:val="00B847C5"/>
    <w:rsid w:val="00B855E1"/>
    <w:rsid w:val="00B94786"/>
    <w:rsid w:val="00B94A0D"/>
    <w:rsid w:val="00B9554C"/>
    <w:rsid w:val="00B95587"/>
    <w:rsid w:val="00B957EC"/>
    <w:rsid w:val="00B95A04"/>
    <w:rsid w:val="00B96807"/>
    <w:rsid w:val="00B974AB"/>
    <w:rsid w:val="00BA0483"/>
    <w:rsid w:val="00BA105B"/>
    <w:rsid w:val="00BA14C0"/>
    <w:rsid w:val="00BA1C7F"/>
    <w:rsid w:val="00BA65E2"/>
    <w:rsid w:val="00BB13FE"/>
    <w:rsid w:val="00BB2AFD"/>
    <w:rsid w:val="00BB49A3"/>
    <w:rsid w:val="00BB52BD"/>
    <w:rsid w:val="00BC0167"/>
    <w:rsid w:val="00BC0C7B"/>
    <w:rsid w:val="00BC1ED8"/>
    <w:rsid w:val="00BC2772"/>
    <w:rsid w:val="00BC3AA4"/>
    <w:rsid w:val="00BC3DA1"/>
    <w:rsid w:val="00BC4721"/>
    <w:rsid w:val="00BC58D8"/>
    <w:rsid w:val="00BC5E6A"/>
    <w:rsid w:val="00BC6B69"/>
    <w:rsid w:val="00BC7A7D"/>
    <w:rsid w:val="00BD0A61"/>
    <w:rsid w:val="00BD1CC8"/>
    <w:rsid w:val="00BD25D0"/>
    <w:rsid w:val="00BD49FA"/>
    <w:rsid w:val="00BD5E53"/>
    <w:rsid w:val="00BD7931"/>
    <w:rsid w:val="00BE0D91"/>
    <w:rsid w:val="00BE6D35"/>
    <w:rsid w:val="00BE7CC7"/>
    <w:rsid w:val="00BF00DC"/>
    <w:rsid w:val="00BF0D15"/>
    <w:rsid w:val="00BF24F0"/>
    <w:rsid w:val="00BF424F"/>
    <w:rsid w:val="00BF45F5"/>
    <w:rsid w:val="00BF46B8"/>
    <w:rsid w:val="00BF5C04"/>
    <w:rsid w:val="00BF70B3"/>
    <w:rsid w:val="00BF7F79"/>
    <w:rsid w:val="00C013E1"/>
    <w:rsid w:val="00C01435"/>
    <w:rsid w:val="00C02B9D"/>
    <w:rsid w:val="00C04412"/>
    <w:rsid w:val="00C04BCC"/>
    <w:rsid w:val="00C05796"/>
    <w:rsid w:val="00C05B81"/>
    <w:rsid w:val="00C0781B"/>
    <w:rsid w:val="00C079E9"/>
    <w:rsid w:val="00C10476"/>
    <w:rsid w:val="00C14B30"/>
    <w:rsid w:val="00C20267"/>
    <w:rsid w:val="00C2073B"/>
    <w:rsid w:val="00C20BBB"/>
    <w:rsid w:val="00C21B2A"/>
    <w:rsid w:val="00C22AC3"/>
    <w:rsid w:val="00C23A43"/>
    <w:rsid w:val="00C25C54"/>
    <w:rsid w:val="00C3030A"/>
    <w:rsid w:val="00C329ED"/>
    <w:rsid w:val="00C33B3F"/>
    <w:rsid w:val="00C34985"/>
    <w:rsid w:val="00C3696B"/>
    <w:rsid w:val="00C36F76"/>
    <w:rsid w:val="00C41796"/>
    <w:rsid w:val="00C44379"/>
    <w:rsid w:val="00C44D26"/>
    <w:rsid w:val="00C45D92"/>
    <w:rsid w:val="00C4657C"/>
    <w:rsid w:val="00C46E96"/>
    <w:rsid w:val="00C47217"/>
    <w:rsid w:val="00C47B1F"/>
    <w:rsid w:val="00C54AF8"/>
    <w:rsid w:val="00C5576F"/>
    <w:rsid w:val="00C57899"/>
    <w:rsid w:val="00C57AF3"/>
    <w:rsid w:val="00C57EE3"/>
    <w:rsid w:val="00C65BFF"/>
    <w:rsid w:val="00C672FA"/>
    <w:rsid w:val="00C67655"/>
    <w:rsid w:val="00C70AC5"/>
    <w:rsid w:val="00C7153E"/>
    <w:rsid w:val="00C75121"/>
    <w:rsid w:val="00C75BB4"/>
    <w:rsid w:val="00C823FC"/>
    <w:rsid w:val="00C82B75"/>
    <w:rsid w:val="00C83C5D"/>
    <w:rsid w:val="00C848E9"/>
    <w:rsid w:val="00C854DD"/>
    <w:rsid w:val="00C86E4F"/>
    <w:rsid w:val="00C90221"/>
    <w:rsid w:val="00C90668"/>
    <w:rsid w:val="00C92CDC"/>
    <w:rsid w:val="00C96162"/>
    <w:rsid w:val="00C977E9"/>
    <w:rsid w:val="00C97C1C"/>
    <w:rsid w:val="00CA01CF"/>
    <w:rsid w:val="00CA214A"/>
    <w:rsid w:val="00CA3FD9"/>
    <w:rsid w:val="00CA47FF"/>
    <w:rsid w:val="00CA5622"/>
    <w:rsid w:val="00CA61A6"/>
    <w:rsid w:val="00CA6CA5"/>
    <w:rsid w:val="00CA7ECD"/>
    <w:rsid w:val="00CB12CC"/>
    <w:rsid w:val="00CB2400"/>
    <w:rsid w:val="00CB2814"/>
    <w:rsid w:val="00CB3BD0"/>
    <w:rsid w:val="00CB44FF"/>
    <w:rsid w:val="00CB70E5"/>
    <w:rsid w:val="00CC1480"/>
    <w:rsid w:val="00CC23E9"/>
    <w:rsid w:val="00CC4495"/>
    <w:rsid w:val="00CC6DCB"/>
    <w:rsid w:val="00CC7D25"/>
    <w:rsid w:val="00CD1F55"/>
    <w:rsid w:val="00CD406F"/>
    <w:rsid w:val="00CD4F31"/>
    <w:rsid w:val="00CD613D"/>
    <w:rsid w:val="00CD7767"/>
    <w:rsid w:val="00CD7E05"/>
    <w:rsid w:val="00CE1B3F"/>
    <w:rsid w:val="00CE5508"/>
    <w:rsid w:val="00CE5BE1"/>
    <w:rsid w:val="00CF000B"/>
    <w:rsid w:val="00CF3713"/>
    <w:rsid w:val="00CF3AFE"/>
    <w:rsid w:val="00CF50DE"/>
    <w:rsid w:val="00CF5775"/>
    <w:rsid w:val="00CF604B"/>
    <w:rsid w:val="00CF6F4D"/>
    <w:rsid w:val="00CF705E"/>
    <w:rsid w:val="00CF72C2"/>
    <w:rsid w:val="00CF7EC8"/>
    <w:rsid w:val="00D01124"/>
    <w:rsid w:val="00D01C85"/>
    <w:rsid w:val="00D01D60"/>
    <w:rsid w:val="00D01F8A"/>
    <w:rsid w:val="00D05C40"/>
    <w:rsid w:val="00D067E9"/>
    <w:rsid w:val="00D06997"/>
    <w:rsid w:val="00D10AA3"/>
    <w:rsid w:val="00D11C86"/>
    <w:rsid w:val="00D122FB"/>
    <w:rsid w:val="00D12D43"/>
    <w:rsid w:val="00D15E53"/>
    <w:rsid w:val="00D1637E"/>
    <w:rsid w:val="00D1689E"/>
    <w:rsid w:val="00D205FD"/>
    <w:rsid w:val="00D2110B"/>
    <w:rsid w:val="00D25EED"/>
    <w:rsid w:val="00D26D65"/>
    <w:rsid w:val="00D3004F"/>
    <w:rsid w:val="00D305EA"/>
    <w:rsid w:val="00D35775"/>
    <w:rsid w:val="00D35778"/>
    <w:rsid w:val="00D35DBF"/>
    <w:rsid w:val="00D36033"/>
    <w:rsid w:val="00D37F12"/>
    <w:rsid w:val="00D40788"/>
    <w:rsid w:val="00D4167E"/>
    <w:rsid w:val="00D435EC"/>
    <w:rsid w:val="00D44333"/>
    <w:rsid w:val="00D44934"/>
    <w:rsid w:val="00D453EF"/>
    <w:rsid w:val="00D47412"/>
    <w:rsid w:val="00D4795A"/>
    <w:rsid w:val="00D51F4A"/>
    <w:rsid w:val="00D52184"/>
    <w:rsid w:val="00D52B21"/>
    <w:rsid w:val="00D533D1"/>
    <w:rsid w:val="00D54219"/>
    <w:rsid w:val="00D56D87"/>
    <w:rsid w:val="00D57026"/>
    <w:rsid w:val="00D61A0E"/>
    <w:rsid w:val="00D62446"/>
    <w:rsid w:val="00D62AB3"/>
    <w:rsid w:val="00D62CA6"/>
    <w:rsid w:val="00D63C79"/>
    <w:rsid w:val="00D65719"/>
    <w:rsid w:val="00D66A45"/>
    <w:rsid w:val="00D71742"/>
    <w:rsid w:val="00D71956"/>
    <w:rsid w:val="00D71E80"/>
    <w:rsid w:val="00D723DF"/>
    <w:rsid w:val="00D73129"/>
    <w:rsid w:val="00D73236"/>
    <w:rsid w:val="00D771D0"/>
    <w:rsid w:val="00D77453"/>
    <w:rsid w:val="00D824A2"/>
    <w:rsid w:val="00D834CC"/>
    <w:rsid w:val="00D85A63"/>
    <w:rsid w:val="00D86C60"/>
    <w:rsid w:val="00D87DA8"/>
    <w:rsid w:val="00D90A6D"/>
    <w:rsid w:val="00D9176A"/>
    <w:rsid w:val="00D91E0E"/>
    <w:rsid w:val="00D928BC"/>
    <w:rsid w:val="00D93184"/>
    <w:rsid w:val="00D93A28"/>
    <w:rsid w:val="00D9473C"/>
    <w:rsid w:val="00D963E1"/>
    <w:rsid w:val="00D97D31"/>
    <w:rsid w:val="00D97D97"/>
    <w:rsid w:val="00D97F4D"/>
    <w:rsid w:val="00DA109C"/>
    <w:rsid w:val="00DA125A"/>
    <w:rsid w:val="00DA3453"/>
    <w:rsid w:val="00DA39C2"/>
    <w:rsid w:val="00DA46BF"/>
    <w:rsid w:val="00DA5743"/>
    <w:rsid w:val="00DA6B4D"/>
    <w:rsid w:val="00DA7CB5"/>
    <w:rsid w:val="00DB0FB4"/>
    <w:rsid w:val="00DB33C5"/>
    <w:rsid w:val="00DB3790"/>
    <w:rsid w:val="00DB48B0"/>
    <w:rsid w:val="00DC17EB"/>
    <w:rsid w:val="00DC1933"/>
    <w:rsid w:val="00DC1964"/>
    <w:rsid w:val="00DC3685"/>
    <w:rsid w:val="00DC3AF4"/>
    <w:rsid w:val="00DC3DFD"/>
    <w:rsid w:val="00DC483B"/>
    <w:rsid w:val="00DC708A"/>
    <w:rsid w:val="00DC77FA"/>
    <w:rsid w:val="00DD0CCD"/>
    <w:rsid w:val="00DD1243"/>
    <w:rsid w:val="00DD1ACD"/>
    <w:rsid w:val="00DD1B7D"/>
    <w:rsid w:val="00DD2180"/>
    <w:rsid w:val="00DD4A1A"/>
    <w:rsid w:val="00DD4F2D"/>
    <w:rsid w:val="00DD7D36"/>
    <w:rsid w:val="00DE0499"/>
    <w:rsid w:val="00DE1AD1"/>
    <w:rsid w:val="00DE2370"/>
    <w:rsid w:val="00DE3F09"/>
    <w:rsid w:val="00DE4C05"/>
    <w:rsid w:val="00DE6935"/>
    <w:rsid w:val="00DE6BD1"/>
    <w:rsid w:val="00DF09C4"/>
    <w:rsid w:val="00DF0FA7"/>
    <w:rsid w:val="00DF299F"/>
    <w:rsid w:val="00DF3056"/>
    <w:rsid w:val="00DF345A"/>
    <w:rsid w:val="00DF4490"/>
    <w:rsid w:val="00DF7382"/>
    <w:rsid w:val="00E00AF1"/>
    <w:rsid w:val="00E03B0A"/>
    <w:rsid w:val="00E04063"/>
    <w:rsid w:val="00E04F18"/>
    <w:rsid w:val="00E065A9"/>
    <w:rsid w:val="00E06739"/>
    <w:rsid w:val="00E1182E"/>
    <w:rsid w:val="00E1234E"/>
    <w:rsid w:val="00E1294D"/>
    <w:rsid w:val="00E13C13"/>
    <w:rsid w:val="00E1426A"/>
    <w:rsid w:val="00E154A5"/>
    <w:rsid w:val="00E1605E"/>
    <w:rsid w:val="00E174CA"/>
    <w:rsid w:val="00E1785E"/>
    <w:rsid w:val="00E20FD6"/>
    <w:rsid w:val="00E22A05"/>
    <w:rsid w:val="00E22BCA"/>
    <w:rsid w:val="00E241B1"/>
    <w:rsid w:val="00E2430A"/>
    <w:rsid w:val="00E31FF8"/>
    <w:rsid w:val="00E32417"/>
    <w:rsid w:val="00E34596"/>
    <w:rsid w:val="00E34B3A"/>
    <w:rsid w:val="00E34DD3"/>
    <w:rsid w:val="00E36649"/>
    <w:rsid w:val="00E366F0"/>
    <w:rsid w:val="00E36B0C"/>
    <w:rsid w:val="00E37F70"/>
    <w:rsid w:val="00E403E3"/>
    <w:rsid w:val="00E4110E"/>
    <w:rsid w:val="00E4247E"/>
    <w:rsid w:val="00E42BE7"/>
    <w:rsid w:val="00E44E32"/>
    <w:rsid w:val="00E45DF2"/>
    <w:rsid w:val="00E46449"/>
    <w:rsid w:val="00E478A3"/>
    <w:rsid w:val="00E5108B"/>
    <w:rsid w:val="00E544EE"/>
    <w:rsid w:val="00E54CA4"/>
    <w:rsid w:val="00E552BC"/>
    <w:rsid w:val="00E55539"/>
    <w:rsid w:val="00E555C3"/>
    <w:rsid w:val="00E55C4C"/>
    <w:rsid w:val="00E565BF"/>
    <w:rsid w:val="00E6050F"/>
    <w:rsid w:val="00E62588"/>
    <w:rsid w:val="00E63257"/>
    <w:rsid w:val="00E6506A"/>
    <w:rsid w:val="00E66D39"/>
    <w:rsid w:val="00E66F6C"/>
    <w:rsid w:val="00E70164"/>
    <w:rsid w:val="00E728B0"/>
    <w:rsid w:val="00E7594C"/>
    <w:rsid w:val="00E75BB0"/>
    <w:rsid w:val="00E768CD"/>
    <w:rsid w:val="00E76BCB"/>
    <w:rsid w:val="00E76E19"/>
    <w:rsid w:val="00E77055"/>
    <w:rsid w:val="00E77A93"/>
    <w:rsid w:val="00E800B3"/>
    <w:rsid w:val="00E80188"/>
    <w:rsid w:val="00E81C9D"/>
    <w:rsid w:val="00E83BDD"/>
    <w:rsid w:val="00E85199"/>
    <w:rsid w:val="00E85B18"/>
    <w:rsid w:val="00E866CE"/>
    <w:rsid w:val="00E8717D"/>
    <w:rsid w:val="00E872AB"/>
    <w:rsid w:val="00E9241D"/>
    <w:rsid w:val="00E92CF1"/>
    <w:rsid w:val="00E9350A"/>
    <w:rsid w:val="00E93F01"/>
    <w:rsid w:val="00E94DDE"/>
    <w:rsid w:val="00E95950"/>
    <w:rsid w:val="00EA05DF"/>
    <w:rsid w:val="00EA0C84"/>
    <w:rsid w:val="00EA1751"/>
    <w:rsid w:val="00EA266B"/>
    <w:rsid w:val="00EA39B7"/>
    <w:rsid w:val="00EA3F63"/>
    <w:rsid w:val="00EB23EF"/>
    <w:rsid w:val="00EB29A2"/>
    <w:rsid w:val="00EB29A5"/>
    <w:rsid w:val="00EB3AB7"/>
    <w:rsid w:val="00EB4F42"/>
    <w:rsid w:val="00EB51E9"/>
    <w:rsid w:val="00EB67B1"/>
    <w:rsid w:val="00EB7DD9"/>
    <w:rsid w:val="00EC0C7C"/>
    <w:rsid w:val="00EC1C3C"/>
    <w:rsid w:val="00EC2352"/>
    <w:rsid w:val="00EC297C"/>
    <w:rsid w:val="00EC6878"/>
    <w:rsid w:val="00EC6C50"/>
    <w:rsid w:val="00EC730C"/>
    <w:rsid w:val="00ED271B"/>
    <w:rsid w:val="00ED3A1C"/>
    <w:rsid w:val="00ED401A"/>
    <w:rsid w:val="00ED4335"/>
    <w:rsid w:val="00ED496A"/>
    <w:rsid w:val="00ED602F"/>
    <w:rsid w:val="00ED7021"/>
    <w:rsid w:val="00EE21BE"/>
    <w:rsid w:val="00EE2701"/>
    <w:rsid w:val="00EE480A"/>
    <w:rsid w:val="00EE4A2E"/>
    <w:rsid w:val="00EE4AD9"/>
    <w:rsid w:val="00EE6C3D"/>
    <w:rsid w:val="00EE757D"/>
    <w:rsid w:val="00EF1487"/>
    <w:rsid w:val="00EF1978"/>
    <w:rsid w:val="00EF1CED"/>
    <w:rsid w:val="00EF2850"/>
    <w:rsid w:val="00EF3A3C"/>
    <w:rsid w:val="00EF3E44"/>
    <w:rsid w:val="00EF42BC"/>
    <w:rsid w:val="00EF5C20"/>
    <w:rsid w:val="00EF7B7F"/>
    <w:rsid w:val="00F00C23"/>
    <w:rsid w:val="00F02062"/>
    <w:rsid w:val="00F02194"/>
    <w:rsid w:val="00F02530"/>
    <w:rsid w:val="00F02BF2"/>
    <w:rsid w:val="00F0315A"/>
    <w:rsid w:val="00F0579D"/>
    <w:rsid w:val="00F06336"/>
    <w:rsid w:val="00F07FA2"/>
    <w:rsid w:val="00F1097E"/>
    <w:rsid w:val="00F1371B"/>
    <w:rsid w:val="00F13822"/>
    <w:rsid w:val="00F15554"/>
    <w:rsid w:val="00F17DB8"/>
    <w:rsid w:val="00F201B0"/>
    <w:rsid w:val="00F24063"/>
    <w:rsid w:val="00F24BE6"/>
    <w:rsid w:val="00F251D5"/>
    <w:rsid w:val="00F251F7"/>
    <w:rsid w:val="00F25445"/>
    <w:rsid w:val="00F25B05"/>
    <w:rsid w:val="00F2676C"/>
    <w:rsid w:val="00F35487"/>
    <w:rsid w:val="00F35A8A"/>
    <w:rsid w:val="00F37072"/>
    <w:rsid w:val="00F37575"/>
    <w:rsid w:val="00F413BE"/>
    <w:rsid w:val="00F42D68"/>
    <w:rsid w:val="00F456DA"/>
    <w:rsid w:val="00F46E49"/>
    <w:rsid w:val="00F50321"/>
    <w:rsid w:val="00F50C79"/>
    <w:rsid w:val="00F50CA3"/>
    <w:rsid w:val="00F54404"/>
    <w:rsid w:val="00F544EB"/>
    <w:rsid w:val="00F55608"/>
    <w:rsid w:val="00F576E2"/>
    <w:rsid w:val="00F5797F"/>
    <w:rsid w:val="00F63AD7"/>
    <w:rsid w:val="00F657C5"/>
    <w:rsid w:val="00F660FF"/>
    <w:rsid w:val="00F666A2"/>
    <w:rsid w:val="00F66BD0"/>
    <w:rsid w:val="00F70DAF"/>
    <w:rsid w:val="00F716A1"/>
    <w:rsid w:val="00F7266B"/>
    <w:rsid w:val="00F72B32"/>
    <w:rsid w:val="00F74702"/>
    <w:rsid w:val="00F754D9"/>
    <w:rsid w:val="00F75FDF"/>
    <w:rsid w:val="00F76032"/>
    <w:rsid w:val="00F76107"/>
    <w:rsid w:val="00F7794C"/>
    <w:rsid w:val="00F807FE"/>
    <w:rsid w:val="00F80EE1"/>
    <w:rsid w:val="00F824A9"/>
    <w:rsid w:val="00F8261A"/>
    <w:rsid w:val="00F83619"/>
    <w:rsid w:val="00F85732"/>
    <w:rsid w:val="00F92245"/>
    <w:rsid w:val="00F927B7"/>
    <w:rsid w:val="00F93BF7"/>
    <w:rsid w:val="00F94446"/>
    <w:rsid w:val="00F9474F"/>
    <w:rsid w:val="00F9525D"/>
    <w:rsid w:val="00F96EF0"/>
    <w:rsid w:val="00F97438"/>
    <w:rsid w:val="00F976E6"/>
    <w:rsid w:val="00F97A11"/>
    <w:rsid w:val="00FA0E12"/>
    <w:rsid w:val="00FA0E1D"/>
    <w:rsid w:val="00FA1AA0"/>
    <w:rsid w:val="00FA243C"/>
    <w:rsid w:val="00FA2E89"/>
    <w:rsid w:val="00FA3ACC"/>
    <w:rsid w:val="00FA4C43"/>
    <w:rsid w:val="00FA4C91"/>
    <w:rsid w:val="00FA5893"/>
    <w:rsid w:val="00FA5D8B"/>
    <w:rsid w:val="00FA63F1"/>
    <w:rsid w:val="00FA77ED"/>
    <w:rsid w:val="00FA7CF2"/>
    <w:rsid w:val="00FB0D35"/>
    <w:rsid w:val="00FB19C0"/>
    <w:rsid w:val="00FB279C"/>
    <w:rsid w:val="00FB3086"/>
    <w:rsid w:val="00FB3E9B"/>
    <w:rsid w:val="00FB7B0A"/>
    <w:rsid w:val="00FC09F7"/>
    <w:rsid w:val="00FC0B8A"/>
    <w:rsid w:val="00FC10B6"/>
    <w:rsid w:val="00FC222E"/>
    <w:rsid w:val="00FC32ED"/>
    <w:rsid w:val="00FC3437"/>
    <w:rsid w:val="00FC3B52"/>
    <w:rsid w:val="00FC461B"/>
    <w:rsid w:val="00FC4847"/>
    <w:rsid w:val="00FC625C"/>
    <w:rsid w:val="00FD06A5"/>
    <w:rsid w:val="00FD1525"/>
    <w:rsid w:val="00FD15BA"/>
    <w:rsid w:val="00FD177B"/>
    <w:rsid w:val="00FD41AE"/>
    <w:rsid w:val="00FD56A3"/>
    <w:rsid w:val="00FE0CEC"/>
    <w:rsid w:val="00FE1638"/>
    <w:rsid w:val="00FE2CAF"/>
    <w:rsid w:val="00FE4B43"/>
    <w:rsid w:val="00FE5082"/>
    <w:rsid w:val="00FE6E78"/>
    <w:rsid w:val="00FE6EF2"/>
    <w:rsid w:val="00FE77CC"/>
    <w:rsid w:val="00FE78AA"/>
    <w:rsid w:val="00FF0414"/>
    <w:rsid w:val="00FF0554"/>
    <w:rsid w:val="00FF187B"/>
    <w:rsid w:val="00FF18BB"/>
    <w:rsid w:val="00FF4A32"/>
    <w:rsid w:val="00FF5834"/>
    <w:rsid w:val="00FF6B1C"/>
    <w:rsid w:val="00FF6F46"/>
    <w:rsid w:val="00FF7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EFE36DA5-57D1-4177-A14F-A489FAEE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111B84"/>
    <w:pPr>
      <w:ind w:left="720"/>
      <w:contextualSpacing/>
    </w:p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locked/>
    <w:rsid w:val="008D20BE"/>
    <w:rPr>
      <w:sz w:val="24"/>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table" w:styleId="GridTable4-Accent1">
    <w:name w:val="Grid Table 4 Accent 1"/>
    <w:basedOn w:val="TableNormal"/>
    <w:uiPriority w:val="49"/>
    <w:rsid w:val="008D20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13">
    <w:name w:val="Plain Table 13"/>
    <w:basedOn w:val="TableNormal"/>
    <w:next w:val="PlainTable1"/>
    <w:uiPriority w:val="41"/>
    <w:rsid w:val="008D20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D20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8D20BE"/>
  </w:style>
  <w:style w:type="table" w:styleId="ListTable4-Accent1">
    <w:name w:val="List Table 4 Accent 1"/>
    <w:basedOn w:val="TableNormal"/>
    <w:uiPriority w:val="49"/>
    <w:rsid w:val="008D20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
    <w:name w:val="List Table 4"/>
    <w:basedOn w:val="TableNormal"/>
    <w:uiPriority w:val="49"/>
    <w:rsid w:val="001428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C035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C05B81"/>
    <w:pPr>
      <w:spacing w:before="100" w:beforeAutospacing="1" w:after="100" w:afterAutospacing="1" w:line="240" w:lineRule="auto"/>
    </w:pPr>
    <w:rPr>
      <w:rFonts w:ascii="Times New Roman" w:hAnsi="Times New Roman" w:cs="Times New Roman"/>
      <w:szCs w:val="24"/>
      <w:lang w:eastAsia="en-GB"/>
    </w:rPr>
  </w:style>
  <w:style w:type="character" w:customStyle="1" w:styleId="eop">
    <w:name w:val="eop"/>
    <w:basedOn w:val="DefaultParagraphFont"/>
    <w:rsid w:val="00C05B81"/>
  </w:style>
  <w:style w:type="character" w:customStyle="1" w:styleId="normaltextrun">
    <w:name w:val="normaltextrun"/>
    <w:basedOn w:val="DefaultParagraphFont"/>
    <w:rsid w:val="00C05B81"/>
  </w:style>
  <w:style w:type="character" w:customStyle="1" w:styleId="UnresolvedMention1">
    <w:name w:val="Unresolved Mention1"/>
    <w:basedOn w:val="DefaultParagraphFont"/>
    <w:uiPriority w:val="99"/>
    <w:semiHidden/>
    <w:unhideWhenUsed/>
    <w:rsid w:val="00CA47FF"/>
    <w:rPr>
      <w:color w:val="605E5C"/>
      <w:shd w:val="clear" w:color="auto" w:fill="E1DFDD"/>
    </w:rPr>
  </w:style>
  <w:style w:type="paragraph" w:styleId="NormalWeb">
    <w:name w:val="Normal (Web)"/>
    <w:basedOn w:val="Normal"/>
    <w:uiPriority w:val="99"/>
    <w:semiHidden/>
    <w:unhideWhenUsed/>
    <w:rsid w:val="00912C08"/>
    <w:rPr>
      <w:rFonts w:ascii="Times New Roman" w:hAnsi="Times New Roman" w:cs="Times New Roman"/>
      <w:szCs w:val="24"/>
    </w:rPr>
  </w:style>
  <w:style w:type="paragraph" w:styleId="FootnoteText">
    <w:name w:val="footnote text"/>
    <w:basedOn w:val="Normal"/>
    <w:link w:val="FootnoteTextChar"/>
    <w:uiPriority w:val="99"/>
    <w:semiHidden/>
    <w:unhideWhenUsed/>
    <w:rsid w:val="005D1E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EE3"/>
    <w:rPr>
      <w:sz w:val="20"/>
      <w:szCs w:val="20"/>
    </w:rPr>
  </w:style>
  <w:style w:type="character" w:styleId="FootnoteReference">
    <w:name w:val="footnote reference"/>
    <w:basedOn w:val="DefaultParagraphFont"/>
    <w:uiPriority w:val="99"/>
    <w:semiHidden/>
    <w:unhideWhenUsed/>
    <w:rsid w:val="005D1EE3"/>
    <w:rPr>
      <w:vertAlign w:val="superscript"/>
    </w:rPr>
  </w:style>
  <w:style w:type="character" w:customStyle="1" w:styleId="UnresolvedMention2">
    <w:name w:val="Unresolved Mention2"/>
    <w:basedOn w:val="DefaultParagraphFont"/>
    <w:uiPriority w:val="99"/>
    <w:semiHidden/>
    <w:unhideWhenUsed/>
    <w:rsid w:val="005D1EE3"/>
    <w:rPr>
      <w:color w:val="605E5C"/>
      <w:shd w:val="clear" w:color="auto" w:fill="E1DFDD"/>
    </w:rPr>
  </w:style>
  <w:style w:type="paragraph" w:customStyle="1" w:styleId="Pa5">
    <w:name w:val="Pa5"/>
    <w:basedOn w:val="Default"/>
    <w:next w:val="Default"/>
    <w:uiPriority w:val="99"/>
    <w:rsid w:val="005D7863"/>
    <w:pPr>
      <w:spacing w:line="221" w:lineRule="atLeast"/>
    </w:pPr>
    <w:rPr>
      <w:rFonts w:ascii="Gotham Book" w:hAnsi="Gotham Book" w:cstheme="minorBidi"/>
      <w:color w:val="auto"/>
    </w:rPr>
  </w:style>
  <w:style w:type="character" w:customStyle="1" w:styleId="A4">
    <w:name w:val="A4"/>
    <w:uiPriority w:val="99"/>
    <w:rsid w:val="005D7863"/>
    <w:rPr>
      <w:rFonts w:cs="Gotham Book"/>
      <w:color w:val="55554A"/>
      <w:sz w:val="22"/>
      <w:szCs w:val="22"/>
    </w:rPr>
  </w:style>
  <w:style w:type="character" w:customStyle="1" w:styleId="UnresolvedMention3">
    <w:name w:val="Unresolved Mention3"/>
    <w:basedOn w:val="DefaultParagraphFont"/>
    <w:uiPriority w:val="99"/>
    <w:semiHidden/>
    <w:unhideWhenUsed/>
    <w:rsid w:val="006E319D"/>
    <w:rPr>
      <w:color w:val="605E5C"/>
      <w:shd w:val="clear" w:color="auto" w:fill="E1DFDD"/>
    </w:rPr>
  </w:style>
  <w:style w:type="character" w:customStyle="1" w:styleId="cf01">
    <w:name w:val="cf01"/>
    <w:basedOn w:val="DefaultParagraphFont"/>
    <w:rsid w:val="006454B5"/>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7938DE"/>
    <w:rPr>
      <w:color w:val="605E5C"/>
      <w:shd w:val="clear" w:color="auto" w:fill="E1DFDD"/>
    </w:rPr>
  </w:style>
  <w:style w:type="character" w:styleId="Emphasis">
    <w:name w:val="Emphasis"/>
    <w:basedOn w:val="DefaultParagraphFont"/>
    <w:uiPriority w:val="20"/>
    <w:qFormat/>
    <w:rsid w:val="00DC1964"/>
    <w:rPr>
      <w:i/>
      <w:iCs/>
    </w:rPr>
  </w:style>
  <w:style w:type="character" w:styleId="UnresolvedMention">
    <w:name w:val="Unresolved Mention"/>
    <w:basedOn w:val="DefaultParagraphFont"/>
    <w:uiPriority w:val="99"/>
    <w:semiHidden/>
    <w:unhideWhenUsed/>
    <w:rsid w:val="000C3E41"/>
    <w:rPr>
      <w:color w:val="605E5C"/>
      <w:shd w:val="clear" w:color="auto" w:fill="E1DFDD"/>
    </w:rPr>
  </w:style>
  <w:style w:type="character" w:styleId="Strong">
    <w:name w:val="Strong"/>
    <w:uiPriority w:val="22"/>
    <w:qFormat/>
    <w:rsid w:val="008B7BD5"/>
    <w:rPr>
      <w:b/>
      <w:bCs/>
    </w:rPr>
  </w:style>
  <w:style w:type="table" w:styleId="TableGridLight">
    <w:name w:val="Grid Table Light"/>
    <w:basedOn w:val="TableNormal"/>
    <w:uiPriority w:val="40"/>
    <w:rsid w:val="005449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508">
      <w:bodyDiv w:val="1"/>
      <w:marLeft w:val="0"/>
      <w:marRight w:val="0"/>
      <w:marTop w:val="0"/>
      <w:marBottom w:val="0"/>
      <w:divBdr>
        <w:top w:val="none" w:sz="0" w:space="0" w:color="auto"/>
        <w:left w:val="none" w:sz="0" w:space="0" w:color="auto"/>
        <w:bottom w:val="none" w:sz="0" w:space="0" w:color="auto"/>
        <w:right w:val="none" w:sz="0" w:space="0" w:color="auto"/>
      </w:divBdr>
    </w:div>
    <w:div w:id="24409558">
      <w:bodyDiv w:val="1"/>
      <w:marLeft w:val="0"/>
      <w:marRight w:val="0"/>
      <w:marTop w:val="0"/>
      <w:marBottom w:val="0"/>
      <w:divBdr>
        <w:top w:val="none" w:sz="0" w:space="0" w:color="auto"/>
        <w:left w:val="none" w:sz="0" w:space="0" w:color="auto"/>
        <w:bottom w:val="none" w:sz="0" w:space="0" w:color="auto"/>
        <w:right w:val="none" w:sz="0" w:space="0" w:color="auto"/>
      </w:divBdr>
    </w:div>
    <w:div w:id="34425813">
      <w:bodyDiv w:val="1"/>
      <w:marLeft w:val="0"/>
      <w:marRight w:val="0"/>
      <w:marTop w:val="0"/>
      <w:marBottom w:val="0"/>
      <w:divBdr>
        <w:top w:val="none" w:sz="0" w:space="0" w:color="auto"/>
        <w:left w:val="none" w:sz="0" w:space="0" w:color="auto"/>
        <w:bottom w:val="none" w:sz="0" w:space="0" w:color="auto"/>
        <w:right w:val="none" w:sz="0" w:space="0" w:color="auto"/>
      </w:divBdr>
    </w:div>
    <w:div w:id="49767702">
      <w:bodyDiv w:val="1"/>
      <w:marLeft w:val="0"/>
      <w:marRight w:val="0"/>
      <w:marTop w:val="0"/>
      <w:marBottom w:val="0"/>
      <w:divBdr>
        <w:top w:val="none" w:sz="0" w:space="0" w:color="auto"/>
        <w:left w:val="none" w:sz="0" w:space="0" w:color="auto"/>
        <w:bottom w:val="none" w:sz="0" w:space="0" w:color="auto"/>
        <w:right w:val="none" w:sz="0" w:space="0" w:color="auto"/>
      </w:divBdr>
    </w:div>
    <w:div w:id="58066912">
      <w:bodyDiv w:val="1"/>
      <w:marLeft w:val="0"/>
      <w:marRight w:val="0"/>
      <w:marTop w:val="0"/>
      <w:marBottom w:val="0"/>
      <w:divBdr>
        <w:top w:val="none" w:sz="0" w:space="0" w:color="auto"/>
        <w:left w:val="none" w:sz="0" w:space="0" w:color="auto"/>
        <w:bottom w:val="none" w:sz="0" w:space="0" w:color="auto"/>
        <w:right w:val="none" w:sz="0" w:space="0" w:color="auto"/>
      </w:divBdr>
    </w:div>
    <w:div w:id="87964751">
      <w:bodyDiv w:val="1"/>
      <w:marLeft w:val="0"/>
      <w:marRight w:val="0"/>
      <w:marTop w:val="0"/>
      <w:marBottom w:val="0"/>
      <w:divBdr>
        <w:top w:val="none" w:sz="0" w:space="0" w:color="auto"/>
        <w:left w:val="none" w:sz="0" w:space="0" w:color="auto"/>
        <w:bottom w:val="none" w:sz="0" w:space="0" w:color="auto"/>
        <w:right w:val="none" w:sz="0" w:space="0" w:color="auto"/>
      </w:divBdr>
    </w:div>
    <w:div w:id="93289534">
      <w:bodyDiv w:val="1"/>
      <w:marLeft w:val="0"/>
      <w:marRight w:val="0"/>
      <w:marTop w:val="0"/>
      <w:marBottom w:val="0"/>
      <w:divBdr>
        <w:top w:val="none" w:sz="0" w:space="0" w:color="auto"/>
        <w:left w:val="none" w:sz="0" w:space="0" w:color="auto"/>
        <w:bottom w:val="none" w:sz="0" w:space="0" w:color="auto"/>
        <w:right w:val="none" w:sz="0" w:space="0" w:color="auto"/>
      </w:divBdr>
    </w:div>
    <w:div w:id="104230636">
      <w:bodyDiv w:val="1"/>
      <w:marLeft w:val="0"/>
      <w:marRight w:val="0"/>
      <w:marTop w:val="0"/>
      <w:marBottom w:val="0"/>
      <w:divBdr>
        <w:top w:val="none" w:sz="0" w:space="0" w:color="auto"/>
        <w:left w:val="none" w:sz="0" w:space="0" w:color="auto"/>
        <w:bottom w:val="none" w:sz="0" w:space="0" w:color="auto"/>
        <w:right w:val="none" w:sz="0" w:space="0" w:color="auto"/>
      </w:divBdr>
    </w:div>
    <w:div w:id="122969744">
      <w:bodyDiv w:val="1"/>
      <w:marLeft w:val="0"/>
      <w:marRight w:val="0"/>
      <w:marTop w:val="0"/>
      <w:marBottom w:val="0"/>
      <w:divBdr>
        <w:top w:val="none" w:sz="0" w:space="0" w:color="auto"/>
        <w:left w:val="none" w:sz="0" w:space="0" w:color="auto"/>
        <w:bottom w:val="none" w:sz="0" w:space="0" w:color="auto"/>
        <w:right w:val="none" w:sz="0" w:space="0" w:color="auto"/>
      </w:divBdr>
    </w:div>
    <w:div w:id="126895612">
      <w:bodyDiv w:val="1"/>
      <w:marLeft w:val="0"/>
      <w:marRight w:val="0"/>
      <w:marTop w:val="0"/>
      <w:marBottom w:val="0"/>
      <w:divBdr>
        <w:top w:val="none" w:sz="0" w:space="0" w:color="auto"/>
        <w:left w:val="none" w:sz="0" w:space="0" w:color="auto"/>
        <w:bottom w:val="none" w:sz="0" w:space="0" w:color="auto"/>
        <w:right w:val="none" w:sz="0" w:space="0" w:color="auto"/>
      </w:divBdr>
    </w:div>
    <w:div w:id="146825786">
      <w:bodyDiv w:val="1"/>
      <w:marLeft w:val="0"/>
      <w:marRight w:val="0"/>
      <w:marTop w:val="0"/>
      <w:marBottom w:val="0"/>
      <w:divBdr>
        <w:top w:val="none" w:sz="0" w:space="0" w:color="auto"/>
        <w:left w:val="none" w:sz="0" w:space="0" w:color="auto"/>
        <w:bottom w:val="none" w:sz="0" w:space="0" w:color="auto"/>
        <w:right w:val="none" w:sz="0" w:space="0" w:color="auto"/>
      </w:divBdr>
    </w:div>
    <w:div w:id="156575737">
      <w:bodyDiv w:val="1"/>
      <w:marLeft w:val="0"/>
      <w:marRight w:val="0"/>
      <w:marTop w:val="0"/>
      <w:marBottom w:val="0"/>
      <w:divBdr>
        <w:top w:val="none" w:sz="0" w:space="0" w:color="auto"/>
        <w:left w:val="none" w:sz="0" w:space="0" w:color="auto"/>
        <w:bottom w:val="none" w:sz="0" w:space="0" w:color="auto"/>
        <w:right w:val="none" w:sz="0" w:space="0" w:color="auto"/>
      </w:divBdr>
    </w:div>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179245871">
      <w:bodyDiv w:val="1"/>
      <w:marLeft w:val="0"/>
      <w:marRight w:val="0"/>
      <w:marTop w:val="0"/>
      <w:marBottom w:val="0"/>
      <w:divBdr>
        <w:top w:val="none" w:sz="0" w:space="0" w:color="auto"/>
        <w:left w:val="none" w:sz="0" w:space="0" w:color="auto"/>
        <w:bottom w:val="none" w:sz="0" w:space="0" w:color="auto"/>
        <w:right w:val="none" w:sz="0" w:space="0" w:color="auto"/>
      </w:divBdr>
    </w:div>
    <w:div w:id="198251424">
      <w:bodyDiv w:val="1"/>
      <w:marLeft w:val="0"/>
      <w:marRight w:val="0"/>
      <w:marTop w:val="0"/>
      <w:marBottom w:val="0"/>
      <w:divBdr>
        <w:top w:val="none" w:sz="0" w:space="0" w:color="auto"/>
        <w:left w:val="none" w:sz="0" w:space="0" w:color="auto"/>
        <w:bottom w:val="none" w:sz="0" w:space="0" w:color="auto"/>
        <w:right w:val="none" w:sz="0" w:space="0" w:color="auto"/>
      </w:divBdr>
    </w:div>
    <w:div w:id="220333803">
      <w:bodyDiv w:val="1"/>
      <w:marLeft w:val="0"/>
      <w:marRight w:val="0"/>
      <w:marTop w:val="0"/>
      <w:marBottom w:val="0"/>
      <w:divBdr>
        <w:top w:val="none" w:sz="0" w:space="0" w:color="auto"/>
        <w:left w:val="none" w:sz="0" w:space="0" w:color="auto"/>
        <w:bottom w:val="none" w:sz="0" w:space="0" w:color="auto"/>
        <w:right w:val="none" w:sz="0" w:space="0" w:color="auto"/>
      </w:divBdr>
    </w:div>
    <w:div w:id="222181423">
      <w:bodyDiv w:val="1"/>
      <w:marLeft w:val="0"/>
      <w:marRight w:val="0"/>
      <w:marTop w:val="0"/>
      <w:marBottom w:val="0"/>
      <w:divBdr>
        <w:top w:val="none" w:sz="0" w:space="0" w:color="auto"/>
        <w:left w:val="none" w:sz="0" w:space="0" w:color="auto"/>
        <w:bottom w:val="none" w:sz="0" w:space="0" w:color="auto"/>
        <w:right w:val="none" w:sz="0" w:space="0" w:color="auto"/>
      </w:divBdr>
    </w:div>
    <w:div w:id="237398695">
      <w:bodyDiv w:val="1"/>
      <w:marLeft w:val="0"/>
      <w:marRight w:val="0"/>
      <w:marTop w:val="0"/>
      <w:marBottom w:val="0"/>
      <w:divBdr>
        <w:top w:val="none" w:sz="0" w:space="0" w:color="auto"/>
        <w:left w:val="none" w:sz="0" w:space="0" w:color="auto"/>
        <w:bottom w:val="none" w:sz="0" w:space="0" w:color="auto"/>
        <w:right w:val="none" w:sz="0" w:space="0" w:color="auto"/>
      </w:divBdr>
    </w:div>
    <w:div w:id="248123276">
      <w:bodyDiv w:val="1"/>
      <w:marLeft w:val="0"/>
      <w:marRight w:val="0"/>
      <w:marTop w:val="0"/>
      <w:marBottom w:val="0"/>
      <w:divBdr>
        <w:top w:val="none" w:sz="0" w:space="0" w:color="auto"/>
        <w:left w:val="none" w:sz="0" w:space="0" w:color="auto"/>
        <w:bottom w:val="none" w:sz="0" w:space="0" w:color="auto"/>
        <w:right w:val="none" w:sz="0" w:space="0" w:color="auto"/>
      </w:divBdr>
    </w:div>
    <w:div w:id="252665811">
      <w:bodyDiv w:val="1"/>
      <w:marLeft w:val="0"/>
      <w:marRight w:val="0"/>
      <w:marTop w:val="0"/>
      <w:marBottom w:val="0"/>
      <w:divBdr>
        <w:top w:val="none" w:sz="0" w:space="0" w:color="auto"/>
        <w:left w:val="none" w:sz="0" w:space="0" w:color="auto"/>
        <w:bottom w:val="none" w:sz="0" w:space="0" w:color="auto"/>
        <w:right w:val="none" w:sz="0" w:space="0" w:color="auto"/>
      </w:divBdr>
    </w:div>
    <w:div w:id="294288722">
      <w:bodyDiv w:val="1"/>
      <w:marLeft w:val="0"/>
      <w:marRight w:val="0"/>
      <w:marTop w:val="0"/>
      <w:marBottom w:val="0"/>
      <w:divBdr>
        <w:top w:val="none" w:sz="0" w:space="0" w:color="auto"/>
        <w:left w:val="none" w:sz="0" w:space="0" w:color="auto"/>
        <w:bottom w:val="none" w:sz="0" w:space="0" w:color="auto"/>
        <w:right w:val="none" w:sz="0" w:space="0" w:color="auto"/>
      </w:divBdr>
    </w:div>
    <w:div w:id="323632130">
      <w:bodyDiv w:val="1"/>
      <w:marLeft w:val="0"/>
      <w:marRight w:val="0"/>
      <w:marTop w:val="0"/>
      <w:marBottom w:val="0"/>
      <w:divBdr>
        <w:top w:val="none" w:sz="0" w:space="0" w:color="auto"/>
        <w:left w:val="none" w:sz="0" w:space="0" w:color="auto"/>
        <w:bottom w:val="none" w:sz="0" w:space="0" w:color="auto"/>
        <w:right w:val="none" w:sz="0" w:space="0" w:color="auto"/>
      </w:divBdr>
    </w:div>
    <w:div w:id="324207332">
      <w:bodyDiv w:val="1"/>
      <w:marLeft w:val="0"/>
      <w:marRight w:val="0"/>
      <w:marTop w:val="0"/>
      <w:marBottom w:val="0"/>
      <w:divBdr>
        <w:top w:val="none" w:sz="0" w:space="0" w:color="auto"/>
        <w:left w:val="none" w:sz="0" w:space="0" w:color="auto"/>
        <w:bottom w:val="none" w:sz="0" w:space="0" w:color="auto"/>
        <w:right w:val="none" w:sz="0" w:space="0" w:color="auto"/>
      </w:divBdr>
    </w:div>
    <w:div w:id="340157971">
      <w:bodyDiv w:val="1"/>
      <w:marLeft w:val="0"/>
      <w:marRight w:val="0"/>
      <w:marTop w:val="0"/>
      <w:marBottom w:val="0"/>
      <w:divBdr>
        <w:top w:val="none" w:sz="0" w:space="0" w:color="auto"/>
        <w:left w:val="none" w:sz="0" w:space="0" w:color="auto"/>
        <w:bottom w:val="none" w:sz="0" w:space="0" w:color="auto"/>
        <w:right w:val="none" w:sz="0" w:space="0" w:color="auto"/>
      </w:divBdr>
    </w:div>
    <w:div w:id="369768834">
      <w:bodyDiv w:val="1"/>
      <w:marLeft w:val="0"/>
      <w:marRight w:val="0"/>
      <w:marTop w:val="0"/>
      <w:marBottom w:val="0"/>
      <w:divBdr>
        <w:top w:val="none" w:sz="0" w:space="0" w:color="auto"/>
        <w:left w:val="none" w:sz="0" w:space="0" w:color="auto"/>
        <w:bottom w:val="none" w:sz="0" w:space="0" w:color="auto"/>
        <w:right w:val="none" w:sz="0" w:space="0" w:color="auto"/>
      </w:divBdr>
    </w:div>
    <w:div w:id="371274484">
      <w:bodyDiv w:val="1"/>
      <w:marLeft w:val="0"/>
      <w:marRight w:val="0"/>
      <w:marTop w:val="0"/>
      <w:marBottom w:val="0"/>
      <w:divBdr>
        <w:top w:val="none" w:sz="0" w:space="0" w:color="auto"/>
        <w:left w:val="none" w:sz="0" w:space="0" w:color="auto"/>
        <w:bottom w:val="none" w:sz="0" w:space="0" w:color="auto"/>
        <w:right w:val="none" w:sz="0" w:space="0" w:color="auto"/>
      </w:divBdr>
    </w:div>
    <w:div w:id="406535667">
      <w:bodyDiv w:val="1"/>
      <w:marLeft w:val="0"/>
      <w:marRight w:val="0"/>
      <w:marTop w:val="0"/>
      <w:marBottom w:val="0"/>
      <w:divBdr>
        <w:top w:val="none" w:sz="0" w:space="0" w:color="auto"/>
        <w:left w:val="none" w:sz="0" w:space="0" w:color="auto"/>
        <w:bottom w:val="none" w:sz="0" w:space="0" w:color="auto"/>
        <w:right w:val="none" w:sz="0" w:space="0" w:color="auto"/>
      </w:divBdr>
    </w:div>
    <w:div w:id="408502172">
      <w:bodyDiv w:val="1"/>
      <w:marLeft w:val="0"/>
      <w:marRight w:val="0"/>
      <w:marTop w:val="0"/>
      <w:marBottom w:val="0"/>
      <w:divBdr>
        <w:top w:val="none" w:sz="0" w:space="0" w:color="auto"/>
        <w:left w:val="none" w:sz="0" w:space="0" w:color="auto"/>
        <w:bottom w:val="none" w:sz="0" w:space="0" w:color="auto"/>
        <w:right w:val="none" w:sz="0" w:space="0" w:color="auto"/>
      </w:divBdr>
    </w:div>
    <w:div w:id="434980643">
      <w:bodyDiv w:val="1"/>
      <w:marLeft w:val="0"/>
      <w:marRight w:val="0"/>
      <w:marTop w:val="0"/>
      <w:marBottom w:val="0"/>
      <w:divBdr>
        <w:top w:val="none" w:sz="0" w:space="0" w:color="auto"/>
        <w:left w:val="none" w:sz="0" w:space="0" w:color="auto"/>
        <w:bottom w:val="none" w:sz="0" w:space="0" w:color="auto"/>
        <w:right w:val="none" w:sz="0" w:space="0" w:color="auto"/>
      </w:divBdr>
    </w:div>
    <w:div w:id="435835346">
      <w:bodyDiv w:val="1"/>
      <w:marLeft w:val="0"/>
      <w:marRight w:val="0"/>
      <w:marTop w:val="0"/>
      <w:marBottom w:val="0"/>
      <w:divBdr>
        <w:top w:val="none" w:sz="0" w:space="0" w:color="auto"/>
        <w:left w:val="none" w:sz="0" w:space="0" w:color="auto"/>
        <w:bottom w:val="none" w:sz="0" w:space="0" w:color="auto"/>
        <w:right w:val="none" w:sz="0" w:space="0" w:color="auto"/>
      </w:divBdr>
    </w:div>
    <w:div w:id="486626999">
      <w:bodyDiv w:val="1"/>
      <w:marLeft w:val="0"/>
      <w:marRight w:val="0"/>
      <w:marTop w:val="0"/>
      <w:marBottom w:val="0"/>
      <w:divBdr>
        <w:top w:val="none" w:sz="0" w:space="0" w:color="auto"/>
        <w:left w:val="none" w:sz="0" w:space="0" w:color="auto"/>
        <w:bottom w:val="none" w:sz="0" w:space="0" w:color="auto"/>
        <w:right w:val="none" w:sz="0" w:space="0" w:color="auto"/>
      </w:divBdr>
    </w:div>
    <w:div w:id="487408136">
      <w:bodyDiv w:val="1"/>
      <w:marLeft w:val="0"/>
      <w:marRight w:val="0"/>
      <w:marTop w:val="0"/>
      <w:marBottom w:val="0"/>
      <w:divBdr>
        <w:top w:val="none" w:sz="0" w:space="0" w:color="auto"/>
        <w:left w:val="none" w:sz="0" w:space="0" w:color="auto"/>
        <w:bottom w:val="none" w:sz="0" w:space="0" w:color="auto"/>
        <w:right w:val="none" w:sz="0" w:space="0" w:color="auto"/>
      </w:divBdr>
    </w:div>
    <w:div w:id="528030594">
      <w:bodyDiv w:val="1"/>
      <w:marLeft w:val="0"/>
      <w:marRight w:val="0"/>
      <w:marTop w:val="0"/>
      <w:marBottom w:val="0"/>
      <w:divBdr>
        <w:top w:val="none" w:sz="0" w:space="0" w:color="auto"/>
        <w:left w:val="none" w:sz="0" w:space="0" w:color="auto"/>
        <w:bottom w:val="none" w:sz="0" w:space="0" w:color="auto"/>
        <w:right w:val="none" w:sz="0" w:space="0" w:color="auto"/>
      </w:divBdr>
    </w:div>
    <w:div w:id="538393471">
      <w:bodyDiv w:val="1"/>
      <w:marLeft w:val="0"/>
      <w:marRight w:val="0"/>
      <w:marTop w:val="0"/>
      <w:marBottom w:val="0"/>
      <w:divBdr>
        <w:top w:val="none" w:sz="0" w:space="0" w:color="auto"/>
        <w:left w:val="none" w:sz="0" w:space="0" w:color="auto"/>
        <w:bottom w:val="none" w:sz="0" w:space="0" w:color="auto"/>
        <w:right w:val="none" w:sz="0" w:space="0" w:color="auto"/>
      </w:divBdr>
    </w:div>
    <w:div w:id="541020893">
      <w:bodyDiv w:val="1"/>
      <w:marLeft w:val="0"/>
      <w:marRight w:val="0"/>
      <w:marTop w:val="0"/>
      <w:marBottom w:val="0"/>
      <w:divBdr>
        <w:top w:val="none" w:sz="0" w:space="0" w:color="auto"/>
        <w:left w:val="none" w:sz="0" w:space="0" w:color="auto"/>
        <w:bottom w:val="none" w:sz="0" w:space="0" w:color="auto"/>
        <w:right w:val="none" w:sz="0" w:space="0" w:color="auto"/>
      </w:divBdr>
    </w:div>
    <w:div w:id="552010838">
      <w:bodyDiv w:val="1"/>
      <w:marLeft w:val="0"/>
      <w:marRight w:val="0"/>
      <w:marTop w:val="0"/>
      <w:marBottom w:val="0"/>
      <w:divBdr>
        <w:top w:val="none" w:sz="0" w:space="0" w:color="auto"/>
        <w:left w:val="none" w:sz="0" w:space="0" w:color="auto"/>
        <w:bottom w:val="none" w:sz="0" w:space="0" w:color="auto"/>
        <w:right w:val="none" w:sz="0" w:space="0" w:color="auto"/>
      </w:divBdr>
    </w:div>
    <w:div w:id="561675862">
      <w:bodyDiv w:val="1"/>
      <w:marLeft w:val="0"/>
      <w:marRight w:val="0"/>
      <w:marTop w:val="0"/>
      <w:marBottom w:val="0"/>
      <w:divBdr>
        <w:top w:val="none" w:sz="0" w:space="0" w:color="auto"/>
        <w:left w:val="none" w:sz="0" w:space="0" w:color="auto"/>
        <w:bottom w:val="none" w:sz="0" w:space="0" w:color="auto"/>
        <w:right w:val="none" w:sz="0" w:space="0" w:color="auto"/>
      </w:divBdr>
    </w:div>
    <w:div w:id="589509344">
      <w:bodyDiv w:val="1"/>
      <w:marLeft w:val="0"/>
      <w:marRight w:val="0"/>
      <w:marTop w:val="0"/>
      <w:marBottom w:val="0"/>
      <w:divBdr>
        <w:top w:val="none" w:sz="0" w:space="0" w:color="auto"/>
        <w:left w:val="none" w:sz="0" w:space="0" w:color="auto"/>
        <w:bottom w:val="none" w:sz="0" w:space="0" w:color="auto"/>
        <w:right w:val="none" w:sz="0" w:space="0" w:color="auto"/>
      </w:divBdr>
    </w:div>
    <w:div w:id="602956089">
      <w:bodyDiv w:val="1"/>
      <w:marLeft w:val="0"/>
      <w:marRight w:val="0"/>
      <w:marTop w:val="0"/>
      <w:marBottom w:val="0"/>
      <w:divBdr>
        <w:top w:val="none" w:sz="0" w:space="0" w:color="auto"/>
        <w:left w:val="none" w:sz="0" w:space="0" w:color="auto"/>
        <w:bottom w:val="none" w:sz="0" w:space="0" w:color="auto"/>
        <w:right w:val="none" w:sz="0" w:space="0" w:color="auto"/>
      </w:divBdr>
    </w:div>
    <w:div w:id="621151028">
      <w:bodyDiv w:val="1"/>
      <w:marLeft w:val="0"/>
      <w:marRight w:val="0"/>
      <w:marTop w:val="0"/>
      <w:marBottom w:val="0"/>
      <w:divBdr>
        <w:top w:val="none" w:sz="0" w:space="0" w:color="auto"/>
        <w:left w:val="none" w:sz="0" w:space="0" w:color="auto"/>
        <w:bottom w:val="none" w:sz="0" w:space="0" w:color="auto"/>
        <w:right w:val="none" w:sz="0" w:space="0" w:color="auto"/>
      </w:divBdr>
    </w:div>
    <w:div w:id="623389132">
      <w:bodyDiv w:val="1"/>
      <w:marLeft w:val="0"/>
      <w:marRight w:val="0"/>
      <w:marTop w:val="0"/>
      <w:marBottom w:val="0"/>
      <w:divBdr>
        <w:top w:val="none" w:sz="0" w:space="0" w:color="auto"/>
        <w:left w:val="none" w:sz="0" w:space="0" w:color="auto"/>
        <w:bottom w:val="none" w:sz="0" w:space="0" w:color="auto"/>
        <w:right w:val="none" w:sz="0" w:space="0" w:color="auto"/>
      </w:divBdr>
    </w:div>
    <w:div w:id="627904036">
      <w:bodyDiv w:val="1"/>
      <w:marLeft w:val="0"/>
      <w:marRight w:val="0"/>
      <w:marTop w:val="0"/>
      <w:marBottom w:val="0"/>
      <w:divBdr>
        <w:top w:val="none" w:sz="0" w:space="0" w:color="auto"/>
        <w:left w:val="none" w:sz="0" w:space="0" w:color="auto"/>
        <w:bottom w:val="none" w:sz="0" w:space="0" w:color="auto"/>
        <w:right w:val="none" w:sz="0" w:space="0" w:color="auto"/>
      </w:divBdr>
    </w:div>
    <w:div w:id="649331539">
      <w:bodyDiv w:val="1"/>
      <w:marLeft w:val="0"/>
      <w:marRight w:val="0"/>
      <w:marTop w:val="0"/>
      <w:marBottom w:val="0"/>
      <w:divBdr>
        <w:top w:val="none" w:sz="0" w:space="0" w:color="auto"/>
        <w:left w:val="none" w:sz="0" w:space="0" w:color="auto"/>
        <w:bottom w:val="none" w:sz="0" w:space="0" w:color="auto"/>
        <w:right w:val="none" w:sz="0" w:space="0" w:color="auto"/>
      </w:divBdr>
    </w:div>
    <w:div w:id="652178685">
      <w:bodyDiv w:val="1"/>
      <w:marLeft w:val="0"/>
      <w:marRight w:val="0"/>
      <w:marTop w:val="0"/>
      <w:marBottom w:val="0"/>
      <w:divBdr>
        <w:top w:val="none" w:sz="0" w:space="0" w:color="auto"/>
        <w:left w:val="none" w:sz="0" w:space="0" w:color="auto"/>
        <w:bottom w:val="none" w:sz="0" w:space="0" w:color="auto"/>
        <w:right w:val="none" w:sz="0" w:space="0" w:color="auto"/>
      </w:divBdr>
    </w:div>
    <w:div w:id="653073214">
      <w:bodyDiv w:val="1"/>
      <w:marLeft w:val="0"/>
      <w:marRight w:val="0"/>
      <w:marTop w:val="0"/>
      <w:marBottom w:val="0"/>
      <w:divBdr>
        <w:top w:val="none" w:sz="0" w:space="0" w:color="auto"/>
        <w:left w:val="none" w:sz="0" w:space="0" w:color="auto"/>
        <w:bottom w:val="none" w:sz="0" w:space="0" w:color="auto"/>
        <w:right w:val="none" w:sz="0" w:space="0" w:color="auto"/>
      </w:divBdr>
    </w:div>
    <w:div w:id="662437999">
      <w:bodyDiv w:val="1"/>
      <w:marLeft w:val="0"/>
      <w:marRight w:val="0"/>
      <w:marTop w:val="0"/>
      <w:marBottom w:val="0"/>
      <w:divBdr>
        <w:top w:val="none" w:sz="0" w:space="0" w:color="auto"/>
        <w:left w:val="none" w:sz="0" w:space="0" w:color="auto"/>
        <w:bottom w:val="none" w:sz="0" w:space="0" w:color="auto"/>
        <w:right w:val="none" w:sz="0" w:space="0" w:color="auto"/>
      </w:divBdr>
    </w:div>
    <w:div w:id="665861225">
      <w:bodyDiv w:val="1"/>
      <w:marLeft w:val="0"/>
      <w:marRight w:val="0"/>
      <w:marTop w:val="0"/>
      <w:marBottom w:val="0"/>
      <w:divBdr>
        <w:top w:val="none" w:sz="0" w:space="0" w:color="auto"/>
        <w:left w:val="none" w:sz="0" w:space="0" w:color="auto"/>
        <w:bottom w:val="none" w:sz="0" w:space="0" w:color="auto"/>
        <w:right w:val="none" w:sz="0" w:space="0" w:color="auto"/>
      </w:divBdr>
    </w:div>
    <w:div w:id="676925575">
      <w:bodyDiv w:val="1"/>
      <w:marLeft w:val="0"/>
      <w:marRight w:val="0"/>
      <w:marTop w:val="0"/>
      <w:marBottom w:val="0"/>
      <w:divBdr>
        <w:top w:val="none" w:sz="0" w:space="0" w:color="auto"/>
        <w:left w:val="none" w:sz="0" w:space="0" w:color="auto"/>
        <w:bottom w:val="none" w:sz="0" w:space="0" w:color="auto"/>
        <w:right w:val="none" w:sz="0" w:space="0" w:color="auto"/>
      </w:divBdr>
    </w:div>
    <w:div w:id="687604989">
      <w:bodyDiv w:val="1"/>
      <w:marLeft w:val="0"/>
      <w:marRight w:val="0"/>
      <w:marTop w:val="0"/>
      <w:marBottom w:val="0"/>
      <w:divBdr>
        <w:top w:val="none" w:sz="0" w:space="0" w:color="auto"/>
        <w:left w:val="none" w:sz="0" w:space="0" w:color="auto"/>
        <w:bottom w:val="none" w:sz="0" w:space="0" w:color="auto"/>
        <w:right w:val="none" w:sz="0" w:space="0" w:color="auto"/>
      </w:divBdr>
    </w:div>
    <w:div w:id="688727298">
      <w:bodyDiv w:val="1"/>
      <w:marLeft w:val="0"/>
      <w:marRight w:val="0"/>
      <w:marTop w:val="0"/>
      <w:marBottom w:val="0"/>
      <w:divBdr>
        <w:top w:val="none" w:sz="0" w:space="0" w:color="auto"/>
        <w:left w:val="none" w:sz="0" w:space="0" w:color="auto"/>
        <w:bottom w:val="none" w:sz="0" w:space="0" w:color="auto"/>
        <w:right w:val="none" w:sz="0" w:space="0" w:color="auto"/>
      </w:divBdr>
    </w:div>
    <w:div w:id="703332937">
      <w:bodyDiv w:val="1"/>
      <w:marLeft w:val="0"/>
      <w:marRight w:val="0"/>
      <w:marTop w:val="0"/>
      <w:marBottom w:val="0"/>
      <w:divBdr>
        <w:top w:val="none" w:sz="0" w:space="0" w:color="auto"/>
        <w:left w:val="none" w:sz="0" w:space="0" w:color="auto"/>
        <w:bottom w:val="none" w:sz="0" w:space="0" w:color="auto"/>
        <w:right w:val="none" w:sz="0" w:space="0" w:color="auto"/>
      </w:divBdr>
    </w:div>
    <w:div w:id="708145374">
      <w:bodyDiv w:val="1"/>
      <w:marLeft w:val="0"/>
      <w:marRight w:val="0"/>
      <w:marTop w:val="0"/>
      <w:marBottom w:val="0"/>
      <w:divBdr>
        <w:top w:val="none" w:sz="0" w:space="0" w:color="auto"/>
        <w:left w:val="none" w:sz="0" w:space="0" w:color="auto"/>
        <w:bottom w:val="none" w:sz="0" w:space="0" w:color="auto"/>
        <w:right w:val="none" w:sz="0" w:space="0" w:color="auto"/>
      </w:divBdr>
    </w:div>
    <w:div w:id="718288165">
      <w:bodyDiv w:val="1"/>
      <w:marLeft w:val="0"/>
      <w:marRight w:val="0"/>
      <w:marTop w:val="0"/>
      <w:marBottom w:val="0"/>
      <w:divBdr>
        <w:top w:val="none" w:sz="0" w:space="0" w:color="auto"/>
        <w:left w:val="none" w:sz="0" w:space="0" w:color="auto"/>
        <w:bottom w:val="none" w:sz="0" w:space="0" w:color="auto"/>
        <w:right w:val="none" w:sz="0" w:space="0" w:color="auto"/>
      </w:divBdr>
    </w:div>
    <w:div w:id="721440150">
      <w:bodyDiv w:val="1"/>
      <w:marLeft w:val="0"/>
      <w:marRight w:val="0"/>
      <w:marTop w:val="0"/>
      <w:marBottom w:val="0"/>
      <w:divBdr>
        <w:top w:val="none" w:sz="0" w:space="0" w:color="auto"/>
        <w:left w:val="none" w:sz="0" w:space="0" w:color="auto"/>
        <w:bottom w:val="none" w:sz="0" w:space="0" w:color="auto"/>
        <w:right w:val="none" w:sz="0" w:space="0" w:color="auto"/>
      </w:divBdr>
    </w:div>
    <w:div w:id="766343383">
      <w:bodyDiv w:val="1"/>
      <w:marLeft w:val="0"/>
      <w:marRight w:val="0"/>
      <w:marTop w:val="0"/>
      <w:marBottom w:val="0"/>
      <w:divBdr>
        <w:top w:val="none" w:sz="0" w:space="0" w:color="auto"/>
        <w:left w:val="none" w:sz="0" w:space="0" w:color="auto"/>
        <w:bottom w:val="none" w:sz="0" w:space="0" w:color="auto"/>
        <w:right w:val="none" w:sz="0" w:space="0" w:color="auto"/>
      </w:divBdr>
    </w:div>
    <w:div w:id="770930518">
      <w:bodyDiv w:val="1"/>
      <w:marLeft w:val="0"/>
      <w:marRight w:val="0"/>
      <w:marTop w:val="0"/>
      <w:marBottom w:val="0"/>
      <w:divBdr>
        <w:top w:val="none" w:sz="0" w:space="0" w:color="auto"/>
        <w:left w:val="none" w:sz="0" w:space="0" w:color="auto"/>
        <w:bottom w:val="none" w:sz="0" w:space="0" w:color="auto"/>
        <w:right w:val="none" w:sz="0" w:space="0" w:color="auto"/>
      </w:divBdr>
    </w:div>
    <w:div w:id="775058723">
      <w:bodyDiv w:val="1"/>
      <w:marLeft w:val="0"/>
      <w:marRight w:val="0"/>
      <w:marTop w:val="0"/>
      <w:marBottom w:val="0"/>
      <w:divBdr>
        <w:top w:val="none" w:sz="0" w:space="0" w:color="auto"/>
        <w:left w:val="none" w:sz="0" w:space="0" w:color="auto"/>
        <w:bottom w:val="none" w:sz="0" w:space="0" w:color="auto"/>
        <w:right w:val="none" w:sz="0" w:space="0" w:color="auto"/>
      </w:divBdr>
    </w:div>
    <w:div w:id="786122578">
      <w:bodyDiv w:val="1"/>
      <w:marLeft w:val="0"/>
      <w:marRight w:val="0"/>
      <w:marTop w:val="0"/>
      <w:marBottom w:val="0"/>
      <w:divBdr>
        <w:top w:val="none" w:sz="0" w:space="0" w:color="auto"/>
        <w:left w:val="none" w:sz="0" w:space="0" w:color="auto"/>
        <w:bottom w:val="none" w:sz="0" w:space="0" w:color="auto"/>
        <w:right w:val="none" w:sz="0" w:space="0" w:color="auto"/>
      </w:divBdr>
    </w:div>
    <w:div w:id="799490917">
      <w:bodyDiv w:val="1"/>
      <w:marLeft w:val="0"/>
      <w:marRight w:val="0"/>
      <w:marTop w:val="0"/>
      <w:marBottom w:val="0"/>
      <w:divBdr>
        <w:top w:val="none" w:sz="0" w:space="0" w:color="auto"/>
        <w:left w:val="none" w:sz="0" w:space="0" w:color="auto"/>
        <w:bottom w:val="none" w:sz="0" w:space="0" w:color="auto"/>
        <w:right w:val="none" w:sz="0" w:space="0" w:color="auto"/>
      </w:divBdr>
    </w:div>
    <w:div w:id="802044845">
      <w:bodyDiv w:val="1"/>
      <w:marLeft w:val="0"/>
      <w:marRight w:val="0"/>
      <w:marTop w:val="0"/>
      <w:marBottom w:val="0"/>
      <w:divBdr>
        <w:top w:val="none" w:sz="0" w:space="0" w:color="auto"/>
        <w:left w:val="none" w:sz="0" w:space="0" w:color="auto"/>
        <w:bottom w:val="none" w:sz="0" w:space="0" w:color="auto"/>
        <w:right w:val="none" w:sz="0" w:space="0" w:color="auto"/>
      </w:divBdr>
    </w:div>
    <w:div w:id="810171959">
      <w:bodyDiv w:val="1"/>
      <w:marLeft w:val="0"/>
      <w:marRight w:val="0"/>
      <w:marTop w:val="0"/>
      <w:marBottom w:val="0"/>
      <w:divBdr>
        <w:top w:val="none" w:sz="0" w:space="0" w:color="auto"/>
        <w:left w:val="none" w:sz="0" w:space="0" w:color="auto"/>
        <w:bottom w:val="none" w:sz="0" w:space="0" w:color="auto"/>
        <w:right w:val="none" w:sz="0" w:space="0" w:color="auto"/>
      </w:divBdr>
    </w:div>
    <w:div w:id="820198298">
      <w:bodyDiv w:val="1"/>
      <w:marLeft w:val="0"/>
      <w:marRight w:val="0"/>
      <w:marTop w:val="0"/>
      <w:marBottom w:val="0"/>
      <w:divBdr>
        <w:top w:val="none" w:sz="0" w:space="0" w:color="auto"/>
        <w:left w:val="none" w:sz="0" w:space="0" w:color="auto"/>
        <w:bottom w:val="none" w:sz="0" w:space="0" w:color="auto"/>
        <w:right w:val="none" w:sz="0" w:space="0" w:color="auto"/>
      </w:divBdr>
    </w:div>
    <w:div w:id="830369702">
      <w:bodyDiv w:val="1"/>
      <w:marLeft w:val="0"/>
      <w:marRight w:val="0"/>
      <w:marTop w:val="0"/>
      <w:marBottom w:val="0"/>
      <w:divBdr>
        <w:top w:val="none" w:sz="0" w:space="0" w:color="auto"/>
        <w:left w:val="none" w:sz="0" w:space="0" w:color="auto"/>
        <w:bottom w:val="none" w:sz="0" w:space="0" w:color="auto"/>
        <w:right w:val="none" w:sz="0" w:space="0" w:color="auto"/>
      </w:divBdr>
    </w:div>
    <w:div w:id="836043445">
      <w:bodyDiv w:val="1"/>
      <w:marLeft w:val="0"/>
      <w:marRight w:val="0"/>
      <w:marTop w:val="0"/>
      <w:marBottom w:val="0"/>
      <w:divBdr>
        <w:top w:val="none" w:sz="0" w:space="0" w:color="auto"/>
        <w:left w:val="none" w:sz="0" w:space="0" w:color="auto"/>
        <w:bottom w:val="none" w:sz="0" w:space="0" w:color="auto"/>
        <w:right w:val="none" w:sz="0" w:space="0" w:color="auto"/>
      </w:divBdr>
    </w:div>
    <w:div w:id="847646451">
      <w:bodyDiv w:val="1"/>
      <w:marLeft w:val="0"/>
      <w:marRight w:val="0"/>
      <w:marTop w:val="0"/>
      <w:marBottom w:val="0"/>
      <w:divBdr>
        <w:top w:val="none" w:sz="0" w:space="0" w:color="auto"/>
        <w:left w:val="none" w:sz="0" w:space="0" w:color="auto"/>
        <w:bottom w:val="none" w:sz="0" w:space="0" w:color="auto"/>
        <w:right w:val="none" w:sz="0" w:space="0" w:color="auto"/>
      </w:divBdr>
    </w:div>
    <w:div w:id="848981687">
      <w:bodyDiv w:val="1"/>
      <w:marLeft w:val="0"/>
      <w:marRight w:val="0"/>
      <w:marTop w:val="0"/>
      <w:marBottom w:val="0"/>
      <w:divBdr>
        <w:top w:val="none" w:sz="0" w:space="0" w:color="auto"/>
        <w:left w:val="none" w:sz="0" w:space="0" w:color="auto"/>
        <w:bottom w:val="none" w:sz="0" w:space="0" w:color="auto"/>
        <w:right w:val="none" w:sz="0" w:space="0" w:color="auto"/>
      </w:divBdr>
    </w:div>
    <w:div w:id="854537694">
      <w:bodyDiv w:val="1"/>
      <w:marLeft w:val="0"/>
      <w:marRight w:val="0"/>
      <w:marTop w:val="0"/>
      <w:marBottom w:val="0"/>
      <w:divBdr>
        <w:top w:val="none" w:sz="0" w:space="0" w:color="auto"/>
        <w:left w:val="none" w:sz="0" w:space="0" w:color="auto"/>
        <w:bottom w:val="none" w:sz="0" w:space="0" w:color="auto"/>
        <w:right w:val="none" w:sz="0" w:space="0" w:color="auto"/>
      </w:divBdr>
    </w:div>
    <w:div w:id="855537030">
      <w:bodyDiv w:val="1"/>
      <w:marLeft w:val="0"/>
      <w:marRight w:val="0"/>
      <w:marTop w:val="0"/>
      <w:marBottom w:val="0"/>
      <w:divBdr>
        <w:top w:val="none" w:sz="0" w:space="0" w:color="auto"/>
        <w:left w:val="none" w:sz="0" w:space="0" w:color="auto"/>
        <w:bottom w:val="none" w:sz="0" w:space="0" w:color="auto"/>
        <w:right w:val="none" w:sz="0" w:space="0" w:color="auto"/>
      </w:divBdr>
    </w:div>
    <w:div w:id="855921565">
      <w:bodyDiv w:val="1"/>
      <w:marLeft w:val="0"/>
      <w:marRight w:val="0"/>
      <w:marTop w:val="0"/>
      <w:marBottom w:val="0"/>
      <w:divBdr>
        <w:top w:val="none" w:sz="0" w:space="0" w:color="auto"/>
        <w:left w:val="none" w:sz="0" w:space="0" w:color="auto"/>
        <w:bottom w:val="none" w:sz="0" w:space="0" w:color="auto"/>
        <w:right w:val="none" w:sz="0" w:space="0" w:color="auto"/>
      </w:divBdr>
    </w:div>
    <w:div w:id="859972793">
      <w:bodyDiv w:val="1"/>
      <w:marLeft w:val="0"/>
      <w:marRight w:val="0"/>
      <w:marTop w:val="0"/>
      <w:marBottom w:val="0"/>
      <w:divBdr>
        <w:top w:val="none" w:sz="0" w:space="0" w:color="auto"/>
        <w:left w:val="none" w:sz="0" w:space="0" w:color="auto"/>
        <w:bottom w:val="none" w:sz="0" w:space="0" w:color="auto"/>
        <w:right w:val="none" w:sz="0" w:space="0" w:color="auto"/>
      </w:divBdr>
    </w:div>
    <w:div w:id="868570070">
      <w:bodyDiv w:val="1"/>
      <w:marLeft w:val="0"/>
      <w:marRight w:val="0"/>
      <w:marTop w:val="0"/>
      <w:marBottom w:val="0"/>
      <w:divBdr>
        <w:top w:val="none" w:sz="0" w:space="0" w:color="auto"/>
        <w:left w:val="none" w:sz="0" w:space="0" w:color="auto"/>
        <w:bottom w:val="none" w:sz="0" w:space="0" w:color="auto"/>
        <w:right w:val="none" w:sz="0" w:space="0" w:color="auto"/>
      </w:divBdr>
    </w:div>
    <w:div w:id="883908524">
      <w:bodyDiv w:val="1"/>
      <w:marLeft w:val="0"/>
      <w:marRight w:val="0"/>
      <w:marTop w:val="0"/>
      <w:marBottom w:val="0"/>
      <w:divBdr>
        <w:top w:val="none" w:sz="0" w:space="0" w:color="auto"/>
        <w:left w:val="none" w:sz="0" w:space="0" w:color="auto"/>
        <w:bottom w:val="none" w:sz="0" w:space="0" w:color="auto"/>
        <w:right w:val="none" w:sz="0" w:space="0" w:color="auto"/>
      </w:divBdr>
    </w:div>
    <w:div w:id="887035429">
      <w:bodyDiv w:val="1"/>
      <w:marLeft w:val="0"/>
      <w:marRight w:val="0"/>
      <w:marTop w:val="0"/>
      <w:marBottom w:val="0"/>
      <w:divBdr>
        <w:top w:val="none" w:sz="0" w:space="0" w:color="auto"/>
        <w:left w:val="none" w:sz="0" w:space="0" w:color="auto"/>
        <w:bottom w:val="none" w:sz="0" w:space="0" w:color="auto"/>
        <w:right w:val="none" w:sz="0" w:space="0" w:color="auto"/>
      </w:divBdr>
    </w:div>
    <w:div w:id="894464709">
      <w:bodyDiv w:val="1"/>
      <w:marLeft w:val="0"/>
      <w:marRight w:val="0"/>
      <w:marTop w:val="0"/>
      <w:marBottom w:val="0"/>
      <w:divBdr>
        <w:top w:val="none" w:sz="0" w:space="0" w:color="auto"/>
        <w:left w:val="none" w:sz="0" w:space="0" w:color="auto"/>
        <w:bottom w:val="none" w:sz="0" w:space="0" w:color="auto"/>
        <w:right w:val="none" w:sz="0" w:space="0" w:color="auto"/>
      </w:divBdr>
    </w:div>
    <w:div w:id="914556356">
      <w:bodyDiv w:val="1"/>
      <w:marLeft w:val="0"/>
      <w:marRight w:val="0"/>
      <w:marTop w:val="0"/>
      <w:marBottom w:val="0"/>
      <w:divBdr>
        <w:top w:val="none" w:sz="0" w:space="0" w:color="auto"/>
        <w:left w:val="none" w:sz="0" w:space="0" w:color="auto"/>
        <w:bottom w:val="none" w:sz="0" w:space="0" w:color="auto"/>
        <w:right w:val="none" w:sz="0" w:space="0" w:color="auto"/>
      </w:divBdr>
    </w:div>
    <w:div w:id="922300714">
      <w:bodyDiv w:val="1"/>
      <w:marLeft w:val="0"/>
      <w:marRight w:val="0"/>
      <w:marTop w:val="0"/>
      <w:marBottom w:val="0"/>
      <w:divBdr>
        <w:top w:val="none" w:sz="0" w:space="0" w:color="auto"/>
        <w:left w:val="none" w:sz="0" w:space="0" w:color="auto"/>
        <w:bottom w:val="none" w:sz="0" w:space="0" w:color="auto"/>
        <w:right w:val="none" w:sz="0" w:space="0" w:color="auto"/>
      </w:divBdr>
    </w:div>
    <w:div w:id="966665595">
      <w:bodyDiv w:val="1"/>
      <w:marLeft w:val="0"/>
      <w:marRight w:val="0"/>
      <w:marTop w:val="0"/>
      <w:marBottom w:val="0"/>
      <w:divBdr>
        <w:top w:val="none" w:sz="0" w:space="0" w:color="auto"/>
        <w:left w:val="none" w:sz="0" w:space="0" w:color="auto"/>
        <w:bottom w:val="none" w:sz="0" w:space="0" w:color="auto"/>
        <w:right w:val="none" w:sz="0" w:space="0" w:color="auto"/>
      </w:divBdr>
    </w:div>
    <w:div w:id="969091863">
      <w:bodyDiv w:val="1"/>
      <w:marLeft w:val="0"/>
      <w:marRight w:val="0"/>
      <w:marTop w:val="0"/>
      <w:marBottom w:val="0"/>
      <w:divBdr>
        <w:top w:val="none" w:sz="0" w:space="0" w:color="auto"/>
        <w:left w:val="none" w:sz="0" w:space="0" w:color="auto"/>
        <w:bottom w:val="none" w:sz="0" w:space="0" w:color="auto"/>
        <w:right w:val="none" w:sz="0" w:space="0" w:color="auto"/>
      </w:divBdr>
    </w:div>
    <w:div w:id="986713678">
      <w:bodyDiv w:val="1"/>
      <w:marLeft w:val="0"/>
      <w:marRight w:val="0"/>
      <w:marTop w:val="0"/>
      <w:marBottom w:val="0"/>
      <w:divBdr>
        <w:top w:val="none" w:sz="0" w:space="0" w:color="auto"/>
        <w:left w:val="none" w:sz="0" w:space="0" w:color="auto"/>
        <w:bottom w:val="none" w:sz="0" w:space="0" w:color="auto"/>
        <w:right w:val="none" w:sz="0" w:space="0" w:color="auto"/>
      </w:divBdr>
    </w:div>
    <w:div w:id="999238963">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023828619">
      <w:bodyDiv w:val="1"/>
      <w:marLeft w:val="0"/>
      <w:marRight w:val="0"/>
      <w:marTop w:val="0"/>
      <w:marBottom w:val="0"/>
      <w:divBdr>
        <w:top w:val="none" w:sz="0" w:space="0" w:color="auto"/>
        <w:left w:val="none" w:sz="0" w:space="0" w:color="auto"/>
        <w:bottom w:val="none" w:sz="0" w:space="0" w:color="auto"/>
        <w:right w:val="none" w:sz="0" w:space="0" w:color="auto"/>
      </w:divBdr>
    </w:div>
    <w:div w:id="1032614082">
      <w:bodyDiv w:val="1"/>
      <w:marLeft w:val="0"/>
      <w:marRight w:val="0"/>
      <w:marTop w:val="0"/>
      <w:marBottom w:val="0"/>
      <w:divBdr>
        <w:top w:val="none" w:sz="0" w:space="0" w:color="auto"/>
        <w:left w:val="none" w:sz="0" w:space="0" w:color="auto"/>
        <w:bottom w:val="none" w:sz="0" w:space="0" w:color="auto"/>
        <w:right w:val="none" w:sz="0" w:space="0" w:color="auto"/>
      </w:divBdr>
    </w:div>
    <w:div w:id="1056393652">
      <w:bodyDiv w:val="1"/>
      <w:marLeft w:val="0"/>
      <w:marRight w:val="0"/>
      <w:marTop w:val="0"/>
      <w:marBottom w:val="0"/>
      <w:divBdr>
        <w:top w:val="none" w:sz="0" w:space="0" w:color="auto"/>
        <w:left w:val="none" w:sz="0" w:space="0" w:color="auto"/>
        <w:bottom w:val="none" w:sz="0" w:space="0" w:color="auto"/>
        <w:right w:val="none" w:sz="0" w:space="0" w:color="auto"/>
      </w:divBdr>
    </w:div>
    <w:div w:id="1082524670">
      <w:bodyDiv w:val="1"/>
      <w:marLeft w:val="0"/>
      <w:marRight w:val="0"/>
      <w:marTop w:val="0"/>
      <w:marBottom w:val="0"/>
      <w:divBdr>
        <w:top w:val="none" w:sz="0" w:space="0" w:color="auto"/>
        <w:left w:val="none" w:sz="0" w:space="0" w:color="auto"/>
        <w:bottom w:val="none" w:sz="0" w:space="0" w:color="auto"/>
        <w:right w:val="none" w:sz="0" w:space="0" w:color="auto"/>
      </w:divBdr>
    </w:div>
    <w:div w:id="1097095013">
      <w:bodyDiv w:val="1"/>
      <w:marLeft w:val="0"/>
      <w:marRight w:val="0"/>
      <w:marTop w:val="0"/>
      <w:marBottom w:val="0"/>
      <w:divBdr>
        <w:top w:val="none" w:sz="0" w:space="0" w:color="auto"/>
        <w:left w:val="none" w:sz="0" w:space="0" w:color="auto"/>
        <w:bottom w:val="none" w:sz="0" w:space="0" w:color="auto"/>
        <w:right w:val="none" w:sz="0" w:space="0" w:color="auto"/>
      </w:divBdr>
    </w:div>
    <w:div w:id="1115978461">
      <w:bodyDiv w:val="1"/>
      <w:marLeft w:val="0"/>
      <w:marRight w:val="0"/>
      <w:marTop w:val="0"/>
      <w:marBottom w:val="0"/>
      <w:divBdr>
        <w:top w:val="none" w:sz="0" w:space="0" w:color="auto"/>
        <w:left w:val="none" w:sz="0" w:space="0" w:color="auto"/>
        <w:bottom w:val="none" w:sz="0" w:space="0" w:color="auto"/>
        <w:right w:val="none" w:sz="0" w:space="0" w:color="auto"/>
      </w:divBdr>
    </w:div>
    <w:div w:id="1119570119">
      <w:bodyDiv w:val="1"/>
      <w:marLeft w:val="0"/>
      <w:marRight w:val="0"/>
      <w:marTop w:val="0"/>
      <w:marBottom w:val="0"/>
      <w:divBdr>
        <w:top w:val="none" w:sz="0" w:space="0" w:color="auto"/>
        <w:left w:val="none" w:sz="0" w:space="0" w:color="auto"/>
        <w:bottom w:val="none" w:sz="0" w:space="0" w:color="auto"/>
        <w:right w:val="none" w:sz="0" w:space="0" w:color="auto"/>
      </w:divBdr>
    </w:div>
    <w:div w:id="1126241554">
      <w:bodyDiv w:val="1"/>
      <w:marLeft w:val="0"/>
      <w:marRight w:val="0"/>
      <w:marTop w:val="0"/>
      <w:marBottom w:val="0"/>
      <w:divBdr>
        <w:top w:val="none" w:sz="0" w:space="0" w:color="auto"/>
        <w:left w:val="none" w:sz="0" w:space="0" w:color="auto"/>
        <w:bottom w:val="none" w:sz="0" w:space="0" w:color="auto"/>
        <w:right w:val="none" w:sz="0" w:space="0" w:color="auto"/>
      </w:divBdr>
    </w:div>
    <w:div w:id="1131090326">
      <w:bodyDiv w:val="1"/>
      <w:marLeft w:val="0"/>
      <w:marRight w:val="0"/>
      <w:marTop w:val="0"/>
      <w:marBottom w:val="0"/>
      <w:divBdr>
        <w:top w:val="none" w:sz="0" w:space="0" w:color="auto"/>
        <w:left w:val="none" w:sz="0" w:space="0" w:color="auto"/>
        <w:bottom w:val="none" w:sz="0" w:space="0" w:color="auto"/>
        <w:right w:val="none" w:sz="0" w:space="0" w:color="auto"/>
      </w:divBdr>
    </w:div>
    <w:div w:id="1140616604">
      <w:bodyDiv w:val="1"/>
      <w:marLeft w:val="0"/>
      <w:marRight w:val="0"/>
      <w:marTop w:val="0"/>
      <w:marBottom w:val="0"/>
      <w:divBdr>
        <w:top w:val="none" w:sz="0" w:space="0" w:color="auto"/>
        <w:left w:val="none" w:sz="0" w:space="0" w:color="auto"/>
        <w:bottom w:val="none" w:sz="0" w:space="0" w:color="auto"/>
        <w:right w:val="none" w:sz="0" w:space="0" w:color="auto"/>
      </w:divBdr>
    </w:div>
    <w:div w:id="1163083591">
      <w:bodyDiv w:val="1"/>
      <w:marLeft w:val="0"/>
      <w:marRight w:val="0"/>
      <w:marTop w:val="0"/>
      <w:marBottom w:val="0"/>
      <w:divBdr>
        <w:top w:val="none" w:sz="0" w:space="0" w:color="auto"/>
        <w:left w:val="none" w:sz="0" w:space="0" w:color="auto"/>
        <w:bottom w:val="none" w:sz="0" w:space="0" w:color="auto"/>
        <w:right w:val="none" w:sz="0" w:space="0" w:color="auto"/>
      </w:divBdr>
    </w:div>
    <w:div w:id="1190990412">
      <w:bodyDiv w:val="1"/>
      <w:marLeft w:val="0"/>
      <w:marRight w:val="0"/>
      <w:marTop w:val="0"/>
      <w:marBottom w:val="0"/>
      <w:divBdr>
        <w:top w:val="none" w:sz="0" w:space="0" w:color="auto"/>
        <w:left w:val="none" w:sz="0" w:space="0" w:color="auto"/>
        <w:bottom w:val="none" w:sz="0" w:space="0" w:color="auto"/>
        <w:right w:val="none" w:sz="0" w:space="0" w:color="auto"/>
      </w:divBdr>
    </w:div>
    <w:div w:id="1213924786">
      <w:bodyDiv w:val="1"/>
      <w:marLeft w:val="0"/>
      <w:marRight w:val="0"/>
      <w:marTop w:val="0"/>
      <w:marBottom w:val="0"/>
      <w:divBdr>
        <w:top w:val="none" w:sz="0" w:space="0" w:color="auto"/>
        <w:left w:val="none" w:sz="0" w:space="0" w:color="auto"/>
        <w:bottom w:val="none" w:sz="0" w:space="0" w:color="auto"/>
        <w:right w:val="none" w:sz="0" w:space="0" w:color="auto"/>
      </w:divBdr>
    </w:div>
    <w:div w:id="1215628577">
      <w:bodyDiv w:val="1"/>
      <w:marLeft w:val="0"/>
      <w:marRight w:val="0"/>
      <w:marTop w:val="0"/>
      <w:marBottom w:val="0"/>
      <w:divBdr>
        <w:top w:val="none" w:sz="0" w:space="0" w:color="auto"/>
        <w:left w:val="none" w:sz="0" w:space="0" w:color="auto"/>
        <w:bottom w:val="none" w:sz="0" w:space="0" w:color="auto"/>
        <w:right w:val="none" w:sz="0" w:space="0" w:color="auto"/>
      </w:divBdr>
    </w:div>
    <w:div w:id="1234269343">
      <w:bodyDiv w:val="1"/>
      <w:marLeft w:val="0"/>
      <w:marRight w:val="0"/>
      <w:marTop w:val="0"/>
      <w:marBottom w:val="0"/>
      <w:divBdr>
        <w:top w:val="none" w:sz="0" w:space="0" w:color="auto"/>
        <w:left w:val="none" w:sz="0" w:space="0" w:color="auto"/>
        <w:bottom w:val="none" w:sz="0" w:space="0" w:color="auto"/>
        <w:right w:val="none" w:sz="0" w:space="0" w:color="auto"/>
      </w:divBdr>
    </w:div>
    <w:div w:id="1238243611">
      <w:bodyDiv w:val="1"/>
      <w:marLeft w:val="0"/>
      <w:marRight w:val="0"/>
      <w:marTop w:val="0"/>
      <w:marBottom w:val="0"/>
      <w:divBdr>
        <w:top w:val="none" w:sz="0" w:space="0" w:color="auto"/>
        <w:left w:val="none" w:sz="0" w:space="0" w:color="auto"/>
        <w:bottom w:val="none" w:sz="0" w:space="0" w:color="auto"/>
        <w:right w:val="none" w:sz="0" w:space="0" w:color="auto"/>
      </w:divBdr>
    </w:div>
    <w:div w:id="1245801401">
      <w:bodyDiv w:val="1"/>
      <w:marLeft w:val="0"/>
      <w:marRight w:val="0"/>
      <w:marTop w:val="0"/>
      <w:marBottom w:val="0"/>
      <w:divBdr>
        <w:top w:val="none" w:sz="0" w:space="0" w:color="auto"/>
        <w:left w:val="none" w:sz="0" w:space="0" w:color="auto"/>
        <w:bottom w:val="none" w:sz="0" w:space="0" w:color="auto"/>
        <w:right w:val="none" w:sz="0" w:space="0" w:color="auto"/>
      </w:divBdr>
    </w:div>
    <w:div w:id="1300458300">
      <w:bodyDiv w:val="1"/>
      <w:marLeft w:val="0"/>
      <w:marRight w:val="0"/>
      <w:marTop w:val="0"/>
      <w:marBottom w:val="0"/>
      <w:divBdr>
        <w:top w:val="none" w:sz="0" w:space="0" w:color="auto"/>
        <w:left w:val="none" w:sz="0" w:space="0" w:color="auto"/>
        <w:bottom w:val="none" w:sz="0" w:space="0" w:color="auto"/>
        <w:right w:val="none" w:sz="0" w:space="0" w:color="auto"/>
      </w:divBdr>
    </w:div>
    <w:div w:id="1301763137">
      <w:bodyDiv w:val="1"/>
      <w:marLeft w:val="0"/>
      <w:marRight w:val="0"/>
      <w:marTop w:val="0"/>
      <w:marBottom w:val="0"/>
      <w:divBdr>
        <w:top w:val="none" w:sz="0" w:space="0" w:color="auto"/>
        <w:left w:val="none" w:sz="0" w:space="0" w:color="auto"/>
        <w:bottom w:val="none" w:sz="0" w:space="0" w:color="auto"/>
        <w:right w:val="none" w:sz="0" w:space="0" w:color="auto"/>
      </w:divBdr>
    </w:div>
    <w:div w:id="1312097579">
      <w:bodyDiv w:val="1"/>
      <w:marLeft w:val="0"/>
      <w:marRight w:val="0"/>
      <w:marTop w:val="0"/>
      <w:marBottom w:val="0"/>
      <w:divBdr>
        <w:top w:val="none" w:sz="0" w:space="0" w:color="auto"/>
        <w:left w:val="none" w:sz="0" w:space="0" w:color="auto"/>
        <w:bottom w:val="none" w:sz="0" w:space="0" w:color="auto"/>
        <w:right w:val="none" w:sz="0" w:space="0" w:color="auto"/>
      </w:divBdr>
    </w:div>
    <w:div w:id="1345933287">
      <w:bodyDiv w:val="1"/>
      <w:marLeft w:val="0"/>
      <w:marRight w:val="0"/>
      <w:marTop w:val="0"/>
      <w:marBottom w:val="0"/>
      <w:divBdr>
        <w:top w:val="none" w:sz="0" w:space="0" w:color="auto"/>
        <w:left w:val="none" w:sz="0" w:space="0" w:color="auto"/>
        <w:bottom w:val="none" w:sz="0" w:space="0" w:color="auto"/>
        <w:right w:val="none" w:sz="0" w:space="0" w:color="auto"/>
      </w:divBdr>
    </w:div>
    <w:div w:id="1353872181">
      <w:bodyDiv w:val="1"/>
      <w:marLeft w:val="0"/>
      <w:marRight w:val="0"/>
      <w:marTop w:val="0"/>
      <w:marBottom w:val="0"/>
      <w:divBdr>
        <w:top w:val="none" w:sz="0" w:space="0" w:color="auto"/>
        <w:left w:val="none" w:sz="0" w:space="0" w:color="auto"/>
        <w:bottom w:val="none" w:sz="0" w:space="0" w:color="auto"/>
        <w:right w:val="none" w:sz="0" w:space="0" w:color="auto"/>
      </w:divBdr>
    </w:div>
    <w:div w:id="1365473945">
      <w:bodyDiv w:val="1"/>
      <w:marLeft w:val="0"/>
      <w:marRight w:val="0"/>
      <w:marTop w:val="0"/>
      <w:marBottom w:val="0"/>
      <w:divBdr>
        <w:top w:val="none" w:sz="0" w:space="0" w:color="auto"/>
        <w:left w:val="none" w:sz="0" w:space="0" w:color="auto"/>
        <w:bottom w:val="none" w:sz="0" w:space="0" w:color="auto"/>
        <w:right w:val="none" w:sz="0" w:space="0" w:color="auto"/>
      </w:divBdr>
    </w:div>
    <w:div w:id="1379624587">
      <w:bodyDiv w:val="1"/>
      <w:marLeft w:val="0"/>
      <w:marRight w:val="0"/>
      <w:marTop w:val="0"/>
      <w:marBottom w:val="0"/>
      <w:divBdr>
        <w:top w:val="none" w:sz="0" w:space="0" w:color="auto"/>
        <w:left w:val="none" w:sz="0" w:space="0" w:color="auto"/>
        <w:bottom w:val="none" w:sz="0" w:space="0" w:color="auto"/>
        <w:right w:val="none" w:sz="0" w:space="0" w:color="auto"/>
      </w:divBdr>
    </w:div>
    <w:div w:id="1392772685">
      <w:bodyDiv w:val="1"/>
      <w:marLeft w:val="0"/>
      <w:marRight w:val="0"/>
      <w:marTop w:val="0"/>
      <w:marBottom w:val="0"/>
      <w:divBdr>
        <w:top w:val="none" w:sz="0" w:space="0" w:color="auto"/>
        <w:left w:val="none" w:sz="0" w:space="0" w:color="auto"/>
        <w:bottom w:val="none" w:sz="0" w:space="0" w:color="auto"/>
        <w:right w:val="none" w:sz="0" w:space="0" w:color="auto"/>
      </w:divBdr>
    </w:div>
    <w:div w:id="1401562913">
      <w:bodyDiv w:val="1"/>
      <w:marLeft w:val="0"/>
      <w:marRight w:val="0"/>
      <w:marTop w:val="0"/>
      <w:marBottom w:val="0"/>
      <w:divBdr>
        <w:top w:val="none" w:sz="0" w:space="0" w:color="auto"/>
        <w:left w:val="none" w:sz="0" w:space="0" w:color="auto"/>
        <w:bottom w:val="none" w:sz="0" w:space="0" w:color="auto"/>
        <w:right w:val="none" w:sz="0" w:space="0" w:color="auto"/>
      </w:divBdr>
    </w:div>
    <w:div w:id="1434208971">
      <w:bodyDiv w:val="1"/>
      <w:marLeft w:val="0"/>
      <w:marRight w:val="0"/>
      <w:marTop w:val="0"/>
      <w:marBottom w:val="0"/>
      <w:divBdr>
        <w:top w:val="none" w:sz="0" w:space="0" w:color="auto"/>
        <w:left w:val="none" w:sz="0" w:space="0" w:color="auto"/>
        <w:bottom w:val="none" w:sz="0" w:space="0" w:color="auto"/>
        <w:right w:val="none" w:sz="0" w:space="0" w:color="auto"/>
      </w:divBdr>
    </w:div>
    <w:div w:id="1439328375">
      <w:bodyDiv w:val="1"/>
      <w:marLeft w:val="0"/>
      <w:marRight w:val="0"/>
      <w:marTop w:val="0"/>
      <w:marBottom w:val="0"/>
      <w:divBdr>
        <w:top w:val="none" w:sz="0" w:space="0" w:color="auto"/>
        <w:left w:val="none" w:sz="0" w:space="0" w:color="auto"/>
        <w:bottom w:val="none" w:sz="0" w:space="0" w:color="auto"/>
        <w:right w:val="none" w:sz="0" w:space="0" w:color="auto"/>
      </w:divBdr>
    </w:div>
    <w:div w:id="1451439665">
      <w:bodyDiv w:val="1"/>
      <w:marLeft w:val="0"/>
      <w:marRight w:val="0"/>
      <w:marTop w:val="0"/>
      <w:marBottom w:val="0"/>
      <w:divBdr>
        <w:top w:val="none" w:sz="0" w:space="0" w:color="auto"/>
        <w:left w:val="none" w:sz="0" w:space="0" w:color="auto"/>
        <w:bottom w:val="none" w:sz="0" w:space="0" w:color="auto"/>
        <w:right w:val="none" w:sz="0" w:space="0" w:color="auto"/>
      </w:divBdr>
    </w:div>
    <w:div w:id="1474786172">
      <w:bodyDiv w:val="1"/>
      <w:marLeft w:val="0"/>
      <w:marRight w:val="0"/>
      <w:marTop w:val="0"/>
      <w:marBottom w:val="0"/>
      <w:divBdr>
        <w:top w:val="none" w:sz="0" w:space="0" w:color="auto"/>
        <w:left w:val="none" w:sz="0" w:space="0" w:color="auto"/>
        <w:bottom w:val="none" w:sz="0" w:space="0" w:color="auto"/>
        <w:right w:val="none" w:sz="0" w:space="0" w:color="auto"/>
      </w:divBdr>
    </w:div>
    <w:div w:id="1480731986">
      <w:bodyDiv w:val="1"/>
      <w:marLeft w:val="0"/>
      <w:marRight w:val="0"/>
      <w:marTop w:val="0"/>
      <w:marBottom w:val="0"/>
      <w:divBdr>
        <w:top w:val="none" w:sz="0" w:space="0" w:color="auto"/>
        <w:left w:val="none" w:sz="0" w:space="0" w:color="auto"/>
        <w:bottom w:val="none" w:sz="0" w:space="0" w:color="auto"/>
        <w:right w:val="none" w:sz="0" w:space="0" w:color="auto"/>
      </w:divBdr>
    </w:div>
    <w:div w:id="1481534331">
      <w:bodyDiv w:val="1"/>
      <w:marLeft w:val="0"/>
      <w:marRight w:val="0"/>
      <w:marTop w:val="0"/>
      <w:marBottom w:val="0"/>
      <w:divBdr>
        <w:top w:val="none" w:sz="0" w:space="0" w:color="auto"/>
        <w:left w:val="none" w:sz="0" w:space="0" w:color="auto"/>
        <w:bottom w:val="none" w:sz="0" w:space="0" w:color="auto"/>
        <w:right w:val="none" w:sz="0" w:space="0" w:color="auto"/>
      </w:divBdr>
    </w:div>
    <w:div w:id="1489593274">
      <w:bodyDiv w:val="1"/>
      <w:marLeft w:val="0"/>
      <w:marRight w:val="0"/>
      <w:marTop w:val="0"/>
      <w:marBottom w:val="0"/>
      <w:divBdr>
        <w:top w:val="none" w:sz="0" w:space="0" w:color="auto"/>
        <w:left w:val="none" w:sz="0" w:space="0" w:color="auto"/>
        <w:bottom w:val="none" w:sz="0" w:space="0" w:color="auto"/>
        <w:right w:val="none" w:sz="0" w:space="0" w:color="auto"/>
      </w:divBdr>
    </w:div>
    <w:div w:id="1496535319">
      <w:bodyDiv w:val="1"/>
      <w:marLeft w:val="0"/>
      <w:marRight w:val="0"/>
      <w:marTop w:val="0"/>
      <w:marBottom w:val="0"/>
      <w:divBdr>
        <w:top w:val="none" w:sz="0" w:space="0" w:color="auto"/>
        <w:left w:val="none" w:sz="0" w:space="0" w:color="auto"/>
        <w:bottom w:val="none" w:sz="0" w:space="0" w:color="auto"/>
        <w:right w:val="none" w:sz="0" w:space="0" w:color="auto"/>
      </w:divBdr>
    </w:div>
    <w:div w:id="1506674729">
      <w:bodyDiv w:val="1"/>
      <w:marLeft w:val="0"/>
      <w:marRight w:val="0"/>
      <w:marTop w:val="0"/>
      <w:marBottom w:val="0"/>
      <w:divBdr>
        <w:top w:val="none" w:sz="0" w:space="0" w:color="auto"/>
        <w:left w:val="none" w:sz="0" w:space="0" w:color="auto"/>
        <w:bottom w:val="none" w:sz="0" w:space="0" w:color="auto"/>
        <w:right w:val="none" w:sz="0" w:space="0" w:color="auto"/>
      </w:divBdr>
    </w:div>
    <w:div w:id="1510874732">
      <w:bodyDiv w:val="1"/>
      <w:marLeft w:val="0"/>
      <w:marRight w:val="0"/>
      <w:marTop w:val="0"/>
      <w:marBottom w:val="0"/>
      <w:divBdr>
        <w:top w:val="none" w:sz="0" w:space="0" w:color="auto"/>
        <w:left w:val="none" w:sz="0" w:space="0" w:color="auto"/>
        <w:bottom w:val="none" w:sz="0" w:space="0" w:color="auto"/>
        <w:right w:val="none" w:sz="0" w:space="0" w:color="auto"/>
      </w:divBdr>
    </w:div>
    <w:div w:id="1519735274">
      <w:bodyDiv w:val="1"/>
      <w:marLeft w:val="0"/>
      <w:marRight w:val="0"/>
      <w:marTop w:val="0"/>
      <w:marBottom w:val="0"/>
      <w:divBdr>
        <w:top w:val="none" w:sz="0" w:space="0" w:color="auto"/>
        <w:left w:val="none" w:sz="0" w:space="0" w:color="auto"/>
        <w:bottom w:val="none" w:sz="0" w:space="0" w:color="auto"/>
        <w:right w:val="none" w:sz="0" w:space="0" w:color="auto"/>
      </w:divBdr>
    </w:div>
    <w:div w:id="1542395547">
      <w:bodyDiv w:val="1"/>
      <w:marLeft w:val="0"/>
      <w:marRight w:val="0"/>
      <w:marTop w:val="0"/>
      <w:marBottom w:val="0"/>
      <w:divBdr>
        <w:top w:val="none" w:sz="0" w:space="0" w:color="auto"/>
        <w:left w:val="none" w:sz="0" w:space="0" w:color="auto"/>
        <w:bottom w:val="none" w:sz="0" w:space="0" w:color="auto"/>
        <w:right w:val="none" w:sz="0" w:space="0" w:color="auto"/>
      </w:divBdr>
    </w:div>
    <w:div w:id="1545366639">
      <w:bodyDiv w:val="1"/>
      <w:marLeft w:val="0"/>
      <w:marRight w:val="0"/>
      <w:marTop w:val="0"/>
      <w:marBottom w:val="0"/>
      <w:divBdr>
        <w:top w:val="none" w:sz="0" w:space="0" w:color="auto"/>
        <w:left w:val="none" w:sz="0" w:space="0" w:color="auto"/>
        <w:bottom w:val="none" w:sz="0" w:space="0" w:color="auto"/>
        <w:right w:val="none" w:sz="0" w:space="0" w:color="auto"/>
      </w:divBdr>
    </w:div>
    <w:div w:id="1556355239">
      <w:bodyDiv w:val="1"/>
      <w:marLeft w:val="0"/>
      <w:marRight w:val="0"/>
      <w:marTop w:val="0"/>
      <w:marBottom w:val="0"/>
      <w:divBdr>
        <w:top w:val="none" w:sz="0" w:space="0" w:color="auto"/>
        <w:left w:val="none" w:sz="0" w:space="0" w:color="auto"/>
        <w:bottom w:val="none" w:sz="0" w:space="0" w:color="auto"/>
        <w:right w:val="none" w:sz="0" w:space="0" w:color="auto"/>
      </w:divBdr>
    </w:div>
    <w:div w:id="1605263492">
      <w:bodyDiv w:val="1"/>
      <w:marLeft w:val="0"/>
      <w:marRight w:val="0"/>
      <w:marTop w:val="0"/>
      <w:marBottom w:val="0"/>
      <w:divBdr>
        <w:top w:val="none" w:sz="0" w:space="0" w:color="auto"/>
        <w:left w:val="none" w:sz="0" w:space="0" w:color="auto"/>
        <w:bottom w:val="none" w:sz="0" w:space="0" w:color="auto"/>
        <w:right w:val="none" w:sz="0" w:space="0" w:color="auto"/>
      </w:divBdr>
    </w:div>
    <w:div w:id="1607730404">
      <w:bodyDiv w:val="1"/>
      <w:marLeft w:val="0"/>
      <w:marRight w:val="0"/>
      <w:marTop w:val="0"/>
      <w:marBottom w:val="0"/>
      <w:divBdr>
        <w:top w:val="none" w:sz="0" w:space="0" w:color="auto"/>
        <w:left w:val="none" w:sz="0" w:space="0" w:color="auto"/>
        <w:bottom w:val="none" w:sz="0" w:space="0" w:color="auto"/>
        <w:right w:val="none" w:sz="0" w:space="0" w:color="auto"/>
      </w:divBdr>
    </w:div>
    <w:div w:id="1656303485">
      <w:bodyDiv w:val="1"/>
      <w:marLeft w:val="0"/>
      <w:marRight w:val="0"/>
      <w:marTop w:val="0"/>
      <w:marBottom w:val="0"/>
      <w:divBdr>
        <w:top w:val="none" w:sz="0" w:space="0" w:color="auto"/>
        <w:left w:val="none" w:sz="0" w:space="0" w:color="auto"/>
        <w:bottom w:val="none" w:sz="0" w:space="0" w:color="auto"/>
        <w:right w:val="none" w:sz="0" w:space="0" w:color="auto"/>
      </w:divBdr>
    </w:div>
    <w:div w:id="1658146977">
      <w:bodyDiv w:val="1"/>
      <w:marLeft w:val="0"/>
      <w:marRight w:val="0"/>
      <w:marTop w:val="0"/>
      <w:marBottom w:val="0"/>
      <w:divBdr>
        <w:top w:val="none" w:sz="0" w:space="0" w:color="auto"/>
        <w:left w:val="none" w:sz="0" w:space="0" w:color="auto"/>
        <w:bottom w:val="none" w:sz="0" w:space="0" w:color="auto"/>
        <w:right w:val="none" w:sz="0" w:space="0" w:color="auto"/>
      </w:divBdr>
    </w:div>
    <w:div w:id="1678338916">
      <w:bodyDiv w:val="1"/>
      <w:marLeft w:val="0"/>
      <w:marRight w:val="0"/>
      <w:marTop w:val="0"/>
      <w:marBottom w:val="0"/>
      <w:divBdr>
        <w:top w:val="none" w:sz="0" w:space="0" w:color="auto"/>
        <w:left w:val="none" w:sz="0" w:space="0" w:color="auto"/>
        <w:bottom w:val="none" w:sz="0" w:space="0" w:color="auto"/>
        <w:right w:val="none" w:sz="0" w:space="0" w:color="auto"/>
      </w:divBdr>
    </w:div>
    <w:div w:id="1694499858">
      <w:bodyDiv w:val="1"/>
      <w:marLeft w:val="0"/>
      <w:marRight w:val="0"/>
      <w:marTop w:val="0"/>
      <w:marBottom w:val="0"/>
      <w:divBdr>
        <w:top w:val="none" w:sz="0" w:space="0" w:color="auto"/>
        <w:left w:val="none" w:sz="0" w:space="0" w:color="auto"/>
        <w:bottom w:val="none" w:sz="0" w:space="0" w:color="auto"/>
        <w:right w:val="none" w:sz="0" w:space="0" w:color="auto"/>
      </w:divBdr>
    </w:div>
    <w:div w:id="1702709162">
      <w:bodyDiv w:val="1"/>
      <w:marLeft w:val="0"/>
      <w:marRight w:val="0"/>
      <w:marTop w:val="0"/>
      <w:marBottom w:val="0"/>
      <w:divBdr>
        <w:top w:val="none" w:sz="0" w:space="0" w:color="auto"/>
        <w:left w:val="none" w:sz="0" w:space="0" w:color="auto"/>
        <w:bottom w:val="none" w:sz="0" w:space="0" w:color="auto"/>
        <w:right w:val="none" w:sz="0" w:space="0" w:color="auto"/>
      </w:divBdr>
    </w:div>
    <w:div w:id="1714844850">
      <w:bodyDiv w:val="1"/>
      <w:marLeft w:val="0"/>
      <w:marRight w:val="0"/>
      <w:marTop w:val="0"/>
      <w:marBottom w:val="0"/>
      <w:divBdr>
        <w:top w:val="none" w:sz="0" w:space="0" w:color="auto"/>
        <w:left w:val="none" w:sz="0" w:space="0" w:color="auto"/>
        <w:bottom w:val="none" w:sz="0" w:space="0" w:color="auto"/>
        <w:right w:val="none" w:sz="0" w:space="0" w:color="auto"/>
      </w:divBdr>
    </w:div>
    <w:div w:id="1721977484">
      <w:bodyDiv w:val="1"/>
      <w:marLeft w:val="0"/>
      <w:marRight w:val="0"/>
      <w:marTop w:val="0"/>
      <w:marBottom w:val="0"/>
      <w:divBdr>
        <w:top w:val="none" w:sz="0" w:space="0" w:color="auto"/>
        <w:left w:val="none" w:sz="0" w:space="0" w:color="auto"/>
        <w:bottom w:val="none" w:sz="0" w:space="0" w:color="auto"/>
        <w:right w:val="none" w:sz="0" w:space="0" w:color="auto"/>
      </w:divBdr>
    </w:div>
    <w:div w:id="1752893809">
      <w:bodyDiv w:val="1"/>
      <w:marLeft w:val="0"/>
      <w:marRight w:val="0"/>
      <w:marTop w:val="0"/>
      <w:marBottom w:val="0"/>
      <w:divBdr>
        <w:top w:val="none" w:sz="0" w:space="0" w:color="auto"/>
        <w:left w:val="none" w:sz="0" w:space="0" w:color="auto"/>
        <w:bottom w:val="none" w:sz="0" w:space="0" w:color="auto"/>
        <w:right w:val="none" w:sz="0" w:space="0" w:color="auto"/>
      </w:divBdr>
    </w:div>
    <w:div w:id="1784153259">
      <w:bodyDiv w:val="1"/>
      <w:marLeft w:val="0"/>
      <w:marRight w:val="0"/>
      <w:marTop w:val="0"/>
      <w:marBottom w:val="0"/>
      <w:divBdr>
        <w:top w:val="none" w:sz="0" w:space="0" w:color="auto"/>
        <w:left w:val="none" w:sz="0" w:space="0" w:color="auto"/>
        <w:bottom w:val="none" w:sz="0" w:space="0" w:color="auto"/>
        <w:right w:val="none" w:sz="0" w:space="0" w:color="auto"/>
      </w:divBdr>
    </w:div>
    <w:div w:id="1785150178">
      <w:bodyDiv w:val="1"/>
      <w:marLeft w:val="0"/>
      <w:marRight w:val="0"/>
      <w:marTop w:val="0"/>
      <w:marBottom w:val="0"/>
      <w:divBdr>
        <w:top w:val="none" w:sz="0" w:space="0" w:color="auto"/>
        <w:left w:val="none" w:sz="0" w:space="0" w:color="auto"/>
        <w:bottom w:val="none" w:sz="0" w:space="0" w:color="auto"/>
        <w:right w:val="none" w:sz="0" w:space="0" w:color="auto"/>
      </w:divBdr>
    </w:div>
    <w:div w:id="1808670321">
      <w:bodyDiv w:val="1"/>
      <w:marLeft w:val="0"/>
      <w:marRight w:val="0"/>
      <w:marTop w:val="0"/>
      <w:marBottom w:val="0"/>
      <w:divBdr>
        <w:top w:val="none" w:sz="0" w:space="0" w:color="auto"/>
        <w:left w:val="none" w:sz="0" w:space="0" w:color="auto"/>
        <w:bottom w:val="none" w:sz="0" w:space="0" w:color="auto"/>
        <w:right w:val="none" w:sz="0" w:space="0" w:color="auto"/>
      </w:divBdr>
    </w:div>
    <w:div w:id="1838880036">
      <w:bodyDiv w:val="1"/>
      <w:marLeft w:val="0"/>
      <w:marRight w:val="0"/>
      <w:marTop w:val="0"/>
      <w:marBottom w:val="0"/>
      <w:divBdr>
        <w:top w:val="none" w:sz="0" w:space="0" w:color="auto"/>
        <w:left w:val="none" w:sz="0" w:space="0" w:color="auto"/>
        <w:bottom w:val="none" w:sz="0" w:space="0" w:color="auto"/>
        <w:right w:val="none" w:sz="0" w:space="0" w:color="auto"/>
      </w:divBdr>
    </w:div>
    <w:div w:id="1852915008">
      <w:bodyDiv w:val="1"/>
      <w:marLeft w:val="0"/>
      <w:marRight w:val="0"/>
      <w:marTop w:val="0"/>
      <w:marBottom w:val="0"/>
      <w:divBdr>
        <w:top w:val="none" w:sz="0" w:space="0" w:color="auto"/>
        <w:left w:val="none" w:sz="0" w:space="0" w:color="auto"/>
        <w:bottom w:val="none" w:sz="0" w:space="0" w:color="auto"/>
        <w:right w:val="none" w:sz="0" w:space="0" w:color="auto"/>
      </w:divBdr>
    </w:div>
    <w:div w:id="1867937421">
      <w:bodyDiv w:val="1"/>
      <w:marLeft w:val="0"/>
      <w:marRight w:val="0"/>
      <w:marTop w:val="0"/>
      <w:marBottom w:val="0"/>
      <w:divBdr>
        <w:top w:val="none" w:sz="0" w:space="0" w:color="auto"/>
        <w:left w:val="none" w:sz="0" w:space="0" w:color="auto"/>
        <w:bottom w:val="none" w:sz="0" w:space="0" w:color="auto"/>
        <w:right w:val="none" w:sz="0" w:space="0" w:color="auto"/>
      </w:divBdr>
    </w:div>
    <w:div w:id="1875146262">
      <w:bodyDiv w:val="1"/>
      <w:marLeft w:val="0"/>
      <w:marRight w:val="0"/>
      <w:marTop w:val="0"/>
      <w:marBottom w:val="0"/>
      <w:divBdr>
        <w:top w:val="none" w:sz="0" w:space="0" w:color="auto"/>
        <w:left w:val="none" w:sz="0" w:space="0" w:color="auto"/>
        <w:bottom w:val="none" w:sz="0" w:space="0" w:color="auto"/>
        <w:right w:val="none" w:sz="0" w:space="0" w:color="auto"/>
      </w:divBdr>
    </w:div>
    <w:div w:id="1882327536">
      <w:bodyDiv w:val="1"/>
      <w:marLeft w:val="0"/>
      <w:marRight w:val="0"/>
      <w:marTop w:val="0"/>
      <w:marBottom w:val="0"/>
      <w:divBdr>
        <w:top w:val="none" w:sz="0" w:space="0" w:color="auto"/>
        <w:left w:val="none" w:sz="0" w:space="0" w:color="auto"/>
        <w:bottom w:val="none" w:sz="0" w:space="0" w:color="auto"/>
        <w:right w:val="none" w:sz="0" w:space="0" w:color="auto"/>
      </w:divBdr>
      <w:divsChild>
        <w:div w:id="2073459970">
          <w:marLeft w:val="0"/>
          <w:marRight w:val="0"/>
          <w:marTop w:val="0"/>
          <w:marBottom w:val="75"/>
          <w:divBdr>
            <w:top w:val="none" w:sz="0" w:space="0" w:color="auto"/>
            <w:left w:val="none" w:sz="0" w:space="0" w:color="auto"/>
            <w:bottom w:val="none" w:sz="0" w:space="0" w:color="auto"/>
            <w:right w:val="none" w:sz="0" w:space="0" w:color="auto"/>
          </w:divBdr>
        </w:div>
      </w:divsChild>
    </w:div>
    <w:div w:id="1885605550">
      <w:bodyDiv w:val="1"/>
      <w:marLeft w:val="0"/>
      <w:marRight w:val="0"/>
      <w:marTop w:val="0"/>
      <w:marBottom w:val="0"/>
      <w:divBdr>
        <w:top w:val="none" w:sz="0" w:space="0" w:color="auto"/>
        <w:left w:val="none" w:sz="0" w:space="0" w:color="auto"/>
        <w:bottom w:val="none" w:sz="0" w:space="0" w:color="auto"/>
        <w:right w:val="none" w:sz="0" w:space="0" w:color="auto"/>
      </w:divBdr>
    </w:div>
    <w:div w:id="1893341897">
      <w:bodyDiv w:val="1"/>
      <w:marLeft w:val="0"/>
      <w:marRight w:val="0"/>
      <w:marTop w:val="0"/>
      <w:marBottom w:val="0"/>
      <w:divBdr>
        <w:top w:val="none" w:sz="0" w:space="0" w:color="auto"/>
        <w:left w:val="none" w:sz="0" w:space="0" w:color="auto"/>
        <w:bottom w:val="none" w:sz="0" w:space="0" w:color="auto"/>
        <w:right w:val="none" w:sz="0" w:space="0" w:color="auto"/>
      </w:divBdr>
    </w:div>
    <w:div w:id="1899242749">
      <w:bodyDiv w:val="1"/>
      <w:marLeft w:val="0"/>
      <w:marRight w:val="0"/>
      <w:marTop w:val="0"/>
      <w:marBottom w:val="0"/>
      <w:divBdr>
        <w:top w:val="none" w:sz="0" w:space="0" w:color="auto"/>
        <w:left w:val="none" w:sz="0" w:space="0" w:color="auto"/>
        <w:bottom w:val="none" w:sz="0" w:space="0" w:color="auto"/>
        <w:right w:val="none" w:sz="0" w:space="0" w:color="auto"/>
      </w:divBdr>
    </w:div>
    <w:div w:id="1913419762">
      <w:bodyDiv w:val="1"/>
      <w:marLeft w:val="0"/>
      <w:marRight w:val="0"/>
      <w:marTop w:val="0"/>
      <w:marBottom w:val="0"/>
      <w:divBdr>
        <w:top w:val="none" w:sz="0" w:space="0" w:color="auto"/>
        <w:left w:val="none" w:sz="0" w:space="0" w:color="auto"/>
        <w:bottom w:val="none" w:sz="0" w:space="0" w:color="auto"/>
        <w:right w:val="none" w:sz="0" w:space="0" w:color="auto"/>
      </w:divBdr>
    </w:div>
    <w:div w:id="1919778480">
      <w:bodyDiv w:val="1"/>
      <w:marLeft w:val="0"/>
      <w:marRight w:val="0"/>
      <w:marTop w:val="0"/>
      <w:marBottom w:val="0"/>
      <w:divBdr>
        <w:top w:val="none" w:sz="0" w:space="0" w:color="auto"/>
        <w:left w:val="none" w:sz="0" w:space="0" w:color="auto"/>
        <w:bottom w:val="none" w:sz="0" w:space="0" w:color="auto"/>
        <w:right w:val="none" w:sz="0" w:space="0" w:color="auto"/>
      </w:divBdr>
    </w:div>
    <w:div w:id="1925382390">
      <w:bodyDiv w:val="1"/>
      <w:marLeft w:val="0"/>
      <w:marRight w:val="0"/>
      <w:marTop w:val="0"/>
      <w:marBottom w:val="0"/>
      <w:divBdr>
        <w:top w:val="none" w:sz="0" w:space="0" w:color="auto"/>
        <w:left w:val="none" w:sz="0" w:space="0" w:color="auto"/>
        <w:bottom w:val="none" w:sz="0" w:space="0" w:color="auto"/>
        <w:right w:val="none" w:sz="0" w:space="0" w:color="auto"/>
      </w:divBdr>
    </w:div>
    <w:div w:id="1934775077">
      <w:bodyDiv w:val="1"/>
      <w:marLeft w:val="0"/>
      <w:marRight w:val="0"/>
      <w:marTop w:val="0"/>
      <w:marBottom w:val="0"/>
      <w:divBdr>
        <w:top w:val="none" w:sz="0" w:space="0" w:color="auto"/>
        <w:left w:val="none" w:sz="0" w:space="0" w:color="auto"/>
        <w:bottom w:val="none" w:sz="0" w:space="0" w:color="auto"/>
        <w:right w:val="none" w:sz="0" w:space="0" w:color="auto"/>
      </w:divBdr>
    </w:div>
    <w:div w:id="1951155865">
      <w:bodyDiv w:val="1"/>
      <w:marLeft w:val="0"/>
      <w:marRight w:val="0"/>
      <w:marTop w:val="0"/>
      <w:marBottom w:val="0"/>
      <w:divBdr>
        <w:top w:val="none" w:sz="0" w:space="0" w:color="auto"/>
        <w:left w:val="none" w:sz="0" w:space="0" w:color="auto"/>
        <w:bottom w:val="none" w:sz="0" w:space="0" w:color="auto"/>
        <w:right w:val="none" w:sz="0" w:space="0" w:color="auto"/>
      </w:divBdr>
      <w:divsChild>
        <w:div w:id="399405080">
          <w:marLeft w:val="0"/>
          <w:marRight w:val="0"/>
          <w:marTop w:val="0"/>
          <w:marBottom w:val="75"/>
          <w:divBdr>
            <w:top w:val="none" w:sz="0" w:space="0" w:color="auto"/>
            <w:left w:val="none" w:sz="0" w:space="0" w:color="auto"/>
            <w:bottom w:val="none" w:sz="0" w:space="0" w:color="auto"/>
            <w:right w:val="none" w:sz="0" w:space="0" w:color="auto"/>
          </w:divBdr>
        </w:div>
      </w:divsChild>
    </w:div>
    <w:div w:id="1951233393">
      <w:bodyDiv w:val="1"/>
      <w:marLeft w:val="0"/>
      <w:marRight w:val="0"/>
      <w:marTop w:val="0"/>
      <w:marBottom w:val="0"/>
      <w:divBdr>
        <w:top w:val="none" w:sz="0" w:space="0" w:color="auto"/>
        <w:left w:val="none" w:sz="0" w:space="0" w:color="auto"/>
        <w:bottom w:val="none" w:sz="0" w:space="0" w:color="auto"/>
        <w:right w:val="none" w:sz="0" w:space="0" w:color="auto"/>
      </w:divBdr>
    </w:div>
    <w:div w:id="1979912986">
      <w:bodyDiv w:val="1"/>
      <w:marLeft w:val="0"/>
      <w:marRight w:val="0"/>
      <w:marTop w:val="0"/>
      <w:marBottom w:val="0"/>
      <w:divBdr>
        <w:top w:val="none" w:sz="0" w:space="0" w:color="auto"/>
        <w:left w:val="none" w:sz="0" w:space="0" w:color="auto"/>
        <w:bottom w:val="none" w:sz="0" w:space="0" w:color="auto"/>
        <w:right w:val="none" w:sz="0" w:space="0" w:color="auto"/>
      </w:divBdr>
    </w:div>
    <w:div w:id="1986885092">
      <w:bodyDiv w:val="1"/>
      <w:marLeft w:val="0"/>
      <w:marRight w:val="0"/>
      <w:marTop w:val="0"/>
      <w:marBottom w:val="0"/>
      <w:divBdr>
        <w:top w:val="none" w:sz="0" w:space="0" w:color="auto"/>
        <w:left w:val="none" w:sz="0" w:space="0" w:color="auto"/>
        <w:bottom w:val="none" w:sz="0" w:space="0" w:color="auto"/>
        <w:right w:val="none" w:sz="0" w:space="0" w:color="auto"/>
      </w:divBdr>
    </w:div>
    <w:div w:id="2002348096">
      <w:bodyDiv w:val="1"/>
      <w:marLeft w:val="0"/>
      <w:marRight w:val="0"/>
      <w:marTop w:val="0"/>
      <w:marBottom w:val="0"/>
      <w:divBdr>
        <w:top w:val="none" w:sz="0" w:space="0" w:color="auto"/>
        <w:left w:val="none" w:sz="0" w:space="0" w:color="auto"/>
        <w:bottom w:val="none" w:sz="0" w:space="0" w:color="auto"/>
        <w:right w:val="none" w:sz="0" w:space="0" w:color="auto"/>
      </w:divBdr>
    </w:div>
    <w:div w:id="2010059475">
      <w:bodyDiv w:val="1"/>
      <w:marLeft w:val="0"/>
      <w:marRight w:val="0"/>
      <w:marTop w:val="0"/>
      <w:marBottom w:val="0"/>
      <w:divBdr>
        <w:top w:val="none" w:sz="0" w:space="0" w:color="auto"/>
        <w:left w:val="none" w:sz="0" w:space="0" w:color="auto"/>
        <w:bottom w:val="none" w:sz="0" w:space="0" w:color="auto"/>
        <w:right w:val="none" w:sz="0" w:space="0" w:color="auto"/>
      </w:divBdr>
    </w:div>
    <w:div w:id="2012558104">
      <w:bodyDiv w:val="1"/>
      <w:marLeft w:val="0"/>
      <w:marRight w:val="0"/>
      <w:marTop w:val="0"/>
      <w:marBottom w:val="0"/>
      <w:divBdr>
        <w:top w:val="none" w:sz="0" w:space="0" w:color="auto"/>
        <w:left w:val="none" w:sz="0" w:space="0" w:color="auto"/>
        <w:bottom w:val="none" w:sz="0" w:space="0" w:color="auto"/>
        <w:right w:val="none" w:sz="0" w:space="0" w:color="auto"/>
      </w:divBdr>
    </w:div>
    <w:div w:id="2025090269">
      <w:bodyDiv w:val="1"/>
      <w:marLeft w:val="0"/>
      <w:marRight w:val="0"/>
      <w:marTop w:val="0"/>
      <w:marBottom w:val="0"/>
      <w:divBdr>
        <w:top w:val="none" w:sz="0" w:space="0" w:color="auto"/>
        <w:left w:val="none" w:sz="0" w:space="0" w:color="auto"/>
        <w:bottom w:val="none" w:sz="0" w:space="0" w:color="auto"/>
        <w:right w:val="none" w:sz="0" w:space="0" w:color="auto"/>
      </w:divBdr>
    </w:div>
    <w:div w:id="2035841433">
      <w:bodyDiv w:val="1"/>
      <w:marLeft w:val="0"/>
      <w:marRight w:val="0"/>
      <w:marTop w:val="0"/>
      <w:marBottom w:val="0"/>
      <w:divBdr>
        <w:top w:val="none" w:sz="0" w:space="0" w:color="auto"/>
        <w:left w:val="none" w:sz="0" w:space="0" w:color="auto"/>
        <w:bottom w:val="none" w:sz="0" w:space="0" w:color="auto"/>
        <w:right w:val="none" w:sz="0" w:space="0" w:color="auto"/>
      </w:divBdr>
    </w:div>
    <w:div w:id="2044207377">
      <w:bodyDiv w:val="1"/>
      <w:marLeft w:val="0"/>
      <w:marRight w:val="0"/>
      <w:marTop w:val="0"/>
      <w:marBottom w:val="0"/>
      <w:divBdr>
        <w:top w:val="none" w:sz="0" w:space="0" w:color="auto"/>
        <w:left w:val="none" w:sz="0" w:space="0" w:color="auto"/>
        <w:bottom w:val="none" w:sz="0" w:space="0" w:color="auto"/>
        <w:right w:val="none" w:sz="0" w:space="0" w:color="auto"/>
      </w:divBdr>
    </w:div>
    <w:div w:id="2045790435">
      <w:bodyDiv w:val="1"/>
      <w:marLeft w:val="0"/>
      <w:marRight w:val="0"/>
      <w:marTop w:val="0"/>
      <w:marBottom w:val="0"/>
      <w:divBdr>
        <w:top w:val="none" w:sz="0" w:space="0" w:color="auto"/>
        <w:left w:val="none" w:sz="0" w:space="0" w:color="auto"/>
        <w:bottom w:val="none" w:sz="0" w:space="0" w:color="auto"/>
        <w:right w:val="none" w:sz="0" w:space="0" w:color="auto"/>
      </w:divBdr>
    </w:div>
    <w:div w:id="2060129173">
      <w:bodyDiv w:val="1"/>
      <w:marLeft w:val="0"/>
      <w:marRight w:val="0"/>
      <w:marTop w:val="0"/>
      <w:marBottom w:val="0"/>
      <w:divBdr>
        <w:top w:val="none" w:sz="0" w:space="0" w:color="auto"/>
        <w:left w:val="none" w:sz="0" w:space="0" w:color="auto"/>
        <w:bottom w:val="none" w:sz="0" w:space="0" w:color="auto"/>
        <w:right w:val="none" w:sz="0" w:space="0" w:color="auto"/>
      </w:divBdr>
    </w:div>
    <w:div w:id="2087922381">
      <w:bodyDiv w:val="1"/>
      <w:marLeft w:val="0"/>
      <w:marRight w:val="0"/>
      <w:marTop w:val="0"/>
      <w:marBottom w:val="0"/>
      <w:divBdr>
        <w:top w:val="none" w:sz="0" w:space="0" w:color="auto"/>
        <w:left w:val="none" w:sz="0" w:space="0" w:color="auto"/>
        <w:bottom w:val="none" w:sz="0" w:space="0" w:color="auto"/>
        <w:right w:val="none" w:sz="0" w:space="0" w:color="auto"/>
      </w:divBdr>
    </w:div>
    <w:div w:id="2101296231">
      <w:bodyDiv w:val="1"/>
      <w:marLeft w:val="0"/>
      <w:marRight w:val="0"/>
      <w:marTop w:val="0"/>
      <w:marBottom w:val="0"/>
      <w:divBdr>
        <w:top w:val="none" w:sz="0" w:space="0" w:color="auto"/>
        <w:left w:val="none" w:sz="0" w:space="0" w:color="auto"/>
        <w:bottom w:val="none" w:sz="0" w:space="0" w:color="auto"/>
        <w:right w:val="none" w:sz="0" w:space="0" w:color="auto"/>
      </w:divBdr>
    </w:div>
    <w:div w:id="2101875059">
      <w:bodyDiv w:val="1"/>
      <w:marLeft w:val="0"/>
      <w:marRight w:val="0"/>
      <w:marTop w:val="0"/>
      <w:marBottom w:val="0"/>
      <w:divBdr>
        <w:top w:val="none" w:sz="0" w:space="0" w:color="auto"/>
        <w:left w:val="none" w:sz="0" w:space="0" w:color="auto"/>
        <w:bottom w:val="none" w:sz="0" w:space="0" w:color="auto"/>
        <w:right w:val="none" w:sz="0" w:space="0" w:color="auto"/>
      </w:divBdr>
    </w:div>
    <w:div w:id="2108379907">
      <w:bodyDiv w:val="1"/>
      <w:marLeft w:val="0"/>
      <w:marRight w:val="0"/>
      <w:marTop w:val="0"/>
      <w:marBottom w:val="0"/>
      <w:divBdr>
        <w:top w:val="none" w:sz="0" w:space="0" w:color="auto"/>
        <w:left w:val="none" w:sz="0" w:space="0" w:color="auto"/>
        <w:bottom w:val="none" w:sz="0" w:space="0" w:color="auto"/>
        <w:right w:val="none" w:sz="0" w:space="0" w:color="auto"/>
      </w:divBdr>
    </w:div>
    <w:div w:id="2109160349">
      <w:bodyDiv w:val="1"/>
      <w:marLeft w:val="0"/>
      <w:marRight w:val="0"/>
      <w:marTop w:val="0"/>
      <w:marBottom w:val="0"/>
      <w:divBdr>
        <w:top w:val="none" w:sz="0" w:space="0" w:color="auto"/>
        <w:left w:val="none" w:sz="0" w:space="0" w:color="auto"/>
        <w:bottom w:val="none" w:sz="0" w:space="0" w:color="auto"/>
        <w:right w:val="none" w:sz="0" w:space="0" w:color="auto"/>
      </w:divBdr>
    </w:div>
    <w:div w:id="2115052083">
      <w:bodyDiv w:val="1"/>
      <w:marLeft w:val="0"/>
      <w:marRight w:val="0"/>
      <w:marTop w:val="0"/>
      <w:marBottom w:val="0"/>
      <w:divBdr>
        <w:top w:val="none" w:sz="0" w:space="0" w:color="auto"/>
        <w:left w:val="none" w:sz="0" w:space="0" w:color="auto"/>
        <w:bottom w:val="none" w:sz="0" w:space="0" w:color="auto"/>
        <w:right w:val="none" w:sz="0" w:space="0" w:color="auto"/>
      </w:divBdr>
    </w:div>
    <w:div w:id="2143494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image" Target="media/image5.png" Id="rId18" /><Relationship Type="http://schemas.openxmlformats.org/officeDocument/2006/relationships/image" Target="media/image9.png" Id="rId26" /><Relationship Type="http://schemas.openxmlformats.org/officeDocument/2006/relationships/image" Target="media/image15.png" Id="rId39" /><Relationship Type="http://schemas.openxmlformats.org/officeDocument/2006/relationships/hyperlink" Target="https://naturescot.nexus.objective.co.uk/documents/A3918504/details" TargetMode="External" Id="rId21" /><Relationship Type="http://schemas.openxmlformats.org/officeDocument/2006/relationships/image" Target="media/image13.png" Id="rId34" /><Relationship Type="http://schemas.openxmlformats.org/officeDocument/2006/relationships/hyperlink" Target="https://naturescot.nexus.objective.co.uk/documents/A3955829/details" TargetMode="External" Id="rId42" /><Relationship Type="http://schemas.openxmlformats.org/officeDocument/2006/relationships/image" Target="media/image20.png" Id="rId47" /><Relationship Type="http://schemas.openxmlformats.org/officeDocument/2006/relationships/image" Target="media/image22.png" Id="rId50" /><Relationship Type="http://schemas.openxmlformats.org/officeDocument/2006/relationships/image" Target="media/image24.png" Id="rId55" /><Relationship Type="http://schemas.openxmlformats.org/officeDocument/2006/relationships/fontTable" Target="fontTable.xml" Id="rId63" /><Relationship Type="http://schemas.openxmlformats.org/officeDocument/2006/relationships/footnotes" Target="footnotes.xml" Id="rId7" /><Relationship Type="http://schemas.openxmlformats.org/officeDocument/2006/relationships/hyperlink" Target="https://naturescot.nexus.objective.co.uk/documents/A3972998/details" TargetMode="External" Id="rId16" /><Relationship Type="http://schemas.openxmlformats.org/officeDocument/2006/relationships/hyperlink" Target="https://naturescot.nexus.objective.co.uk/documents/A3736347/details" TargetMode="External" Id="rId29" /><Relationship Type="http://schemas.openxmlformats.org/officeDocument/2006/relationships/footer" Target="footer1.xml" Id="rId11" /><Relationship Type="http://schemas.openxmlformats.org/officeDocument/2006/relationships/image" Target="media/image8.png" Id="rId24" /><Relationship Type="http://schemas.openxmlformats.org/officeDocument/2006/relationships/image" Target="media/image12.png" Id="rId32" /><Relationship Type="http://schemas.openxmlformats.org/officeDocument/2006/relationships/image" Target="media/image14.png" Id="rId37" /><Relationship Type="http://schemas.openxmlformats.org/officeDocument/2006/relationships/hyperlink" Target="https://naturescot.nexus.objective.co.uk/documents/A3736345/details" TargetMode="External" Id="rId40" /><Relationship Type="http://schemas.openxmlformats.org/officeDocument/2006/relationships/image" Target="media/image18.png" Id="rId45" /><Relationship Type="http://schemas.openxmlformats.org/officeDocument/2006/relationships/footer" Target="footer2.xml" Id="rId53" /><Relationship Type="http://schemas.openxmlformats.org/officeDocument/2006/relationships/image" Target="media/image27.png" Id="rId58" /><Relationship Type="http://schemas.openxmlformats.org/officeDocument/2006/relationships/settings" Target="settings.xml" Id="rId5" /><Relationship Type="http://schemas.openxmlformats.org/officeDocument/2006/relationships/image" Target="media/image30.png" Id="rId61" /><Relationship Type="http://schemas.openxmlformats.org/officeDocument/2006/relationships/hyperlink" Target="https://naturescot.nexus.objective.co.uk/documents/A3920275/details" TargetMode="External" Id="rId19" /><Relationship Type="http://schemas.openxmlformats.org/officeDocument/2006/relationships/hyperlink" Target="https://naturescot.nexus.objective.co.uk/documents/A3938660/details" TargetMode="External" Id="rId14" /><Relationship Type="http://schemas.openxmlformats.org/officeDocument/2006/relationships/image" Target="media/image7.png" Id="rId22" /><Relationship Type="http://schemas.openxmlformats.org/officeDocument/2006/relationships/hyperlink" Target="https://naturescot.nexus.objective.co.uk/documents/A4124199/details" TargetMode="External" Id="rId27" /><Relationship Type="http://schemas.openxmlformats.org/officeDocument/2006/relationships/image" Target="media/image11.png" Id="rId30" /><Relationship Type="http://schemas.openxmlformats.org/officeDocument/2006/relationships/hyperlink" Target="https://naturescot.nexus.objective.co.uk/documents/A3919298/details" TargetMode="External" Id="rId35" /><Relationship Type="http://schemas.openxmlformats.org/officeDocument/2006/relationships/image" Target="media/image17.png" Id="rId43" /><Relationship Type="http://schemas.openxmlformats.org/officeDocument/2006/relationships/image" Target="media/image21.png" Id="rId48" /><Relationship Type="http://schemas.openxmlformats.org/officeDocument/2006/relationships/image" Target="media/image25.png" Id="rId56" /><Relationship Type="http://schemas.openxmlformats.org/officeDocument/2006/relationships/theme" Target="theme/theme1.xml" Id="rId64" /><Relationship Type="http://schemas.openxmlformats.org/officeDocument/2006/relationships/endnotes" Target="endnotes.xml" Id="rId8" /><Relationship Type="http://schemas.openxmlformats.org/officeDocument/2006/relationships/hyperlink" Target="https://naturescot.nexus.objective.co.uk/documents/A4862272/details" TargetMode="External" Id="rId51" /><Relationship Type="http://schemas.openxmlformats.org/officeDocument/2006/relationships/numbering" Target="numbering.xml" Id="rId3" /><Relationship Type="http://schemas.openxmlformats.org/officeDocument/2006/relationships/hyperlink" Target="https://naturescot.nexus.objective.co.uk/documents/A3962324/details" TargetMode="External" Id="rId12" /><Relationship Type="http://schemas.openxmlformats.org/officeDocument/2006/relationships/image" Target="media/image4.png" Id="rId17" /><Relationship Type="http://schemas.openxmlformats.org/officeDocument/2006/relationships/hyperlink" Target="https://naturescot.nexus.objective.co.uk/documents/A3920434/details" TargetMode="External" Id="rId25" /><Relationship Type="http://schemas.openxmlformats.org/officeDocument/2006/relationships/hyperlink" Target="https://naturescot.nexus.objective.co.uk/documents/A3920259/details" TargetMode="External" Id="rId33" /><Relationship Type="http://schemas.openxmlformats.org/officeDocument/2006/relationships/hyperlink" Target="https://naturescot.nexus.objective.co.uk/documents/A4379404/details" TargetMode="External" Id="rId38" /><Relationship Type="http://schemas.openxmlformats.org/officeDocument/2006/relationships/image" Target="media/image19.png" Id="rId46" /><Relationship Type="http://schemas.openxmlformats.org/officeDocument/2006/relationships/image" Target="media/image28.png" Id="rId59" /><Relationship Type="http://schemas.openxmlformats.org/officeDocument/2006/relationships/image" Target="media/image6.png" Id="rId20" /><Relationship Type="http://schemas.openxmlformats.org/officeDocument/2006/relationships/image" Target="media/image16.png" Id="rId41" /><Relationship Type="http://schemas.openxmlformats.org/officeDocument/2006/relationships/image" Target="media/image23.png" Id="rId54" /><Relationship Type="http://schemas.openxmlformats.org/officeDocument/2006/relationships/footer" Target="footer3.xml" Id="rId6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5" /><Relationship Type="http://schemas.openxmlformats.org/officeDocument/2006/relationships/hyperlink" Target="https://naturescot.nexus.objective.co.uk/documents/A3920272/details" TargetMode="External" Id="rId23" /><Relationship Type="http://schemas.openxmlformats.org/officeDocument/2006/relationships/image" Target="media/image10.png" Id="rId28" /><Relationship Type="http://schemas.openxmlformats.org/officeDocument/2006/relationships/hyperlink" Target="https://naturescot.nexus.objective.co.uk/documents/A3736341/details" TargetMode="External" Id="rId36" /><Relationship Type="http://schemas.openxmlformats.org/officeDocument/2006/relationships/hyperlink" Target="https://naturescot.nexus.objective.co.uk/documents/A3920956/details" TargetMode="External" Id="rId49" /><Relationship Type="http://schemas.openxmlformats.org/officeDocument/2006/relationships/image" Target="media/image26.png" Id="rId57" /><Relationship Type="http://schemas.openxmlformats.org/officeDocument/2006/relationships/header" Target="header1.xml" Id="rId10" /><Relationship Type="http://schemas.openxmlformats.org/officeDocument/2006/relationships/hyperlink" Target="https://naturescot.nexus.objective.co.uk/documents/A3736343/details" TargetMode="External" Id="rId31" /><Relationship Type="http://schemas.openxmlformats.org/officeDocument/2006/relationships/hyperlink" Target="https://naturescot.nexus.objective.co.uk/documents/A3724366/details" TargetMode="External" Id="rId44" /><Relationship Type="http://schemas.openxmlformats.org/officeDocument/2006/relationships/chart" Target="charts/chart1.xml" Id="rId52" /><Relationship Type="http://schemas.openxmlformats.org/officeDocument/2006/relationships/image" Target="media/image29.png" Id="rId6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customXml" Target="/customXml/item3.xml" Id="Rcaa3cdb320d14970" /></Relationships>
</file>

<file path=word/charts/_rels/chart1.xml.rels><?xml version="1.0" encoding="UTF-8" standalone="yes"?>
<Relationships xmlns="http://schemas.openxmlformats.org/package/2006/relationships"><Relationship Id="rId3" Type="http://schemas.openxmlformats.org/officeDocument/2006/relationships/oleObject" Target="file:///C:\Users\BASC2\Director\Cache\naturescot.nexus.objective.co.uk%20uA1806\A3920956\Measure%20No.%2027%20-%20CP%20-%20Audit%20Measures%20-%20%25%20of%20Implemented%20Recommendations%20(A392095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800" b="1" i="0" baseline="0">
                <a:effectLst/>
              </a:rPr>
              <a:t>% of Priority 1 recomendations that have been implemented successfully</a:t>
            </a:r>
            <a:endParaRPr lang="en-GB">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multiLvlStrRef>
              <c:f>XMR!$Q$10:$R$25</c:f>
              <c:multiLvlStrCache>
                <c:ptCount val="16"/>
                <c:lvl>
                  <c:pt idx="0">
                    <c:v>Q1 2021/22</c:v>
                  </c:pt>
                  <c:pt idx="1">
                    <c:v>Q2 2021/22</c:v>
                  </c:pt>
                  <c:pt idx="2">
                    <c:v>Q3 2021/22</c:v>
                  </c:pt>
                  <c:pt idx="3">
                    <c:v>Q4 2021/22</c:v>
                  </c:pt>
                  <c:pt idx="4">
                    <c:v>Q1 2022/23</c:v>
                  </c:pt>
                  <c:pt idx="5">
                    <c:v>Q2 2022/23</c:v>
                  </c:pt>
                  <c:pt idx="6">
                    <c:v>Q3 2022/23</c:v>
                  </c:pt>
                  <c:pt idx="7">
                    <c:v>Q4 2022/23</c:v>
                  </c:pt>
                  <c:pt idx="8">
                    <c:v>Q1 2023/24</c:v>
                  </c:pt>
                  <c:pt idx="9">
                    <c:v>Q2 2023/24</c:v>
                  </c:pt>
                  <c:pt idx="10">
                    <c:v>Q3 2023/24</c:v>
                  </c:pt>
                  <c:pt idx="11">
                    <c:v>Q4 2023/24</c:v>
                  </c:pt>
                  <c:pt idx="12">
                    <c:v>Q1 2024/25</c:v>
                  </c:pt>
                  <c:pt idx="13">
                    <c:v>Q2 2024/25</c:v>
                  </c:pt>
                  <c:pt idx="14">
                    <c:v>Q3 2024/25</c:v>
                  </c:pt>
                  <c:pt idx="15">
                    <c:v>Q4 2024/25</c:v>
                  </c:pt>
                </c:lvl>
                <c:lvl>
                  <c:pt idx="0">
                    <c:v>21/22</c:v>
                  </c:pt>
                  <c:pt idx="4">
                    <c:v>22/23</c:v>
                  </c:pt>
                  <c:pt idx="8">
                    <c:v>23/24</c:v>
                  </c:pt>
                  <c:pt idx="12">
                    <c:v>24/25</c:v>
                  </c:pt>
                </c:lvl>
              </c:multiLvlStrCache>
            </c:multiLvlStrRef>
          </c:cat>
          <c:val>
            <c:numRef>
              <c:f>XMR!$S$10:$S$25</c:f>
              <c:numCache>
                <c:formatCode>0%</c:formatCode>
                <c:ptCount val="16"/>
                <c:pt idx="0">
                  <c:v>1</c:v>
                </c:pt>
                <c:pt idx="1">
                  <c:v>0.5</c:v>
                </c:pt>
                <c:pt idx="2">
                  <c:v>0.67</c:v>
                </c:pt>
                <c:pt idx="3">
                  <c:v>1</c:v>
                </c:pt>
                <c:pt idx="4">
                  <c:v>1</c:v>
                </c:pt>
                <c:pt idx="5">
                  <c:v>0.5</c:v>
                </c:pt>
                <c:pt idx="6">
                  <c:v>0.2</c:v>
                </c:pt>
                <c:pt idx="7">
                  <c:v>1</c:v>
                </c:pt>
                <c:pt idx="8">
                  <c:v>1</c:v>
                </c:pt>
                <c:pt idx="9">
                  <c:v>1</c:v>
                </c:pt>
                <c:pt idx="10">
                  <c:v>1</c:v>
                </c:pt>
                <c:pt idx="11">
                  <c:v>0.86</c:v>
                </c:pt>
                <c:pt idx="12">
                  <c:v>0.8</c:v>
                </c:pt>
                <c:pt idx="13">
                  <c:v>0.71</c:v>
                </c:pt>
                <c:pt idx="14">
                  <c:v>1</c:v>
                </c:pt>
              </c:numCache>
            </c:numRef>
          </c:val>
          <c:extLst>
            <c:ext xmlns:c16="http://schemas.microsoft.com/office/drawing/2014/chart" uri="{C3380CC4-5D6E-409C-BE32-E72D297353CC}">
              <c16:uniqueId val="{00000000-9B37-42F1-B084-D5E4F3ED85D7}"/>
            </c:ext>
          </c:extLst>
        </c:ser>
        <c:dLbls>
          <c:showLegendKey val="0"/>
          <c:showVal val="0"/>
          <c:showCatName val="0"/>
          <c:showSerName val="0"/>
          <c:showPercent val="0"/>
          <c:showBubbleSize val="0"/>
        </c:dLbls>
        <c:gapWidth val="182"/>
        <c:axId val="956936095"/>
        <c:axId val="956938591"/>
      </c:barChart>
      <c:catAx>
        <c:axId val="956936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6938591"/>
        <c:crosses val="autoZero"/>
        <c:auto val="1"/>
        <c:lblAlgn val="ctr"/>
        <c:lblOffset val="100"/>
        <c:noMultiLvlLbl val="0"/>
      </c:catAx>
      <c:valAx>
        <c:axId val="95693859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6936095"/>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71FFD1B571BE2883E0537D20C80A46C7" version="1.0.0">
  <systemFields>
    <field name="Objective-Id">
      <value order="0">A4986287</value>
    </field>
    <field name="Objective-Title">
      <value order="0">11. Q3 Performance Report 2024/25</value>
    </field>
    <field name="Objective-Description">
      <value order="0"/>
    </field>
    <field name="Objective-CreationStamp">
      <value order="0">2025-02-05T14:42:15Z</value>
    </field>
    <field name="Objective-IsApproved">
      <value order="0">false</value>
    </field>
    <field name="Objective-IsPublished">
      <value order="0">true</value>
    </field>
    <field name="Objective-DatePublished">
      <value order="0">2025-02-06T09:41:42Z</value>
    </field>
    <field name="Objective-ModificationStamp">
      <value order="0">2025-02-06T09:41:42Z</value>
    </field>
    <field name="Objective-Owner">
      <value order="0">Rosa Donaldson</value>
    </field>
    <field name="Objective-Path">
      <value order="0">Objective Global Folder:NatureScot Fileplan:MAN - Management:EO - Executive Office:BD - Board:SNH Board - Meetings:Board of NatureScot Meetings - 2025:217 - Board of NatureScot - 12 February 2025</value>
    </field>
    <field name="Objective-Parent">
      <value order="0">217 - Board of NatureScot - 12 February 2025</value>
    </field>
    <field name="Objective-State">
      <value order="0">Published</value>
    </field>
    <field name="Objective-VersionId">
      <value order="0">vA8716001</value>
    </field>
    <field name="Objective-Version">
      <value order="0">2.0</value>
    </field>
    <field name="Objective-VersionNumber">
      <value order="0">2</value>
    </field>
    <field name="Objective-VersionComment">
      <value order="0"/>
    </field>
    <field name="Objective-FileNumber">
      <value order="0">qA187920</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28F6BD34-FFEE-472D-8F95-809335ABE5FD}">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8247</Words>
  <Characters>47010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Rosa Donaldson</cp:lastModifiedBy>
  <cp:revision>19</cp:revision>
  <cp:lastPrinted>2024-06-25T07:38:00Z</cp:lastPrinted>
  <dcterms:created xsi:type="dcterms:W3CDTF">2025-01-23T09:31:00Z</dcterms:created>
  <dcterms:modified xsi:type="dcterms:W3CDTF">2025-02-06T09:41:00Z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MSIP_Label_ad6aba11-eede-4e5b-a79a-2f2784cd251f_Enabled">
    <vt:lpwstr>true</vt:lpwstr>
  </op:property>
  <op:property fmtid="{D5CDD505-2E9C-101B-9397-08002B2CF9AE}" pid="17" name="MSIP_Label_ad6aba11-eede-4e5b-a79a-2f2784cd251f_SetDate">
    <vt:lpwstr>2024-09-02T13:20:20Z</vt:lpwstr>
  </op:property>
  <op:property fmtid="{D5CDD505-2E9C-101B-9397-08002B2CF9AE}" pid="18" name="MSIP_Label_ad6aba11-eede-4e5b-a79a-2f2784cd251f_Method">
    <vt:lpwstr>Standard</vt:lpwstr>
  </op:property>
  <op:property fmtid="{D5CDD505-2E9C-101B-9397-08002B2CF9AE}" pid="19" name="MSIP_Label_ad6aba11-eede-4e5b-a79a-2f2784cd251f_Name">
    <vt:lpwstr>defa4170-0d19-0005-0004-bc88714345d2</vt:lpwstr>
  </op:property>
  <op:property fmtid="{D5CDD505-2E9C-101B-9397-08002B2CF9AE}" pid="20" name="MSIP_Label_ad6aba11-eede-4e5b-a79a-2f2784cd251f_SiteId">
    <vt:lpwstr>074028c0-e165-4999-99ad-31603ad73bac</vt:lpwstr>
  </op:property>
  <op:property fmtid="{D5CDD505-2E9C-101B-9397-08002B2CF9AE}" pid="21" name="MSIP_Label_ad6aba11-eede-4e5b-a79a-2f2784cd251f_ActionId">
    <vt:lpwstr>00989989-b2af-480d-8b3f-174b96a22620</vt:lpwstr>
  </op:property>
  <op:property fmtid="{D5CDD505-2E9C-101B-9397-08002B2CF9AE}" pid="22" name="MSIP_Label_ad6aba11-eede-4e5b-a79a-2f2784cd251f_ContentBits">
    <vt:lpwstr>0</vt:lpwstr>
  </op:property>
  <op:property fmtid="{D5CDD505-2E9C-101B-9397-08002B2CF9AE}" pid="23" name="Customer-Id">
    <vt:lpwstr>71FFD1B571BE2883E0537D20C80A46C7</vt:lpwstr>
  </op:property>
  <op:property fmtid="{D5CDD505-2E9C-101B-9397-08002B2CF9AE}" pid="24" name="Objective-Id">
    <vt:lpwstr>A4986287</vt:lpwstr>
  </op:property>
  <op:property fmtid="{D5CDD505-2E9C-101B-9397-08002B2CF9AE}" pid="25" name="Objective-Title">
    <vt:lpwstr>11. Q3 Performance Report 2024/25</vt:lpwstr>
  </op:property>
  <op:property fmtid="{D5CDD505-2E9C-101B-9397-08002B2CF9AE}" pid="26" name="Objective-Description">
    <vt:lpwstr/>
  </op:property>
  <op:property fmtid="{D5CDD505-2E9C-101B-9397-08002B2CF9AE}" pid="27" name="Objective-CreationStamp">
    <vt:filetime>2025-02-05T14:42:15Z</vt:filetime>
  </op:property>
  <op:property fmtid="{D5CDD505-2E9C-101B-9397-08002B2CF9AE}" pid="28" name="Objective-IsApproved">
    <vt:bool>false</vt:bool>
  </op:property>
  <op:property fmtid="{D5CDD505-2E9C-101B-9397-08002B2CF9AE}" pid="29" name="Objective-IsPublished">
    <vt:bool>true</vt:bool>
  </op:property>
  <op:property fmtid="{D5CDD505-2E9C-101B-9397-08002B2CF9AE}" pid="30" name="Objective-DatePublished">
    <vt:filetime>2025-02-06T09:41:42Z</vt:filetime>
  </op:property>
  <op:property fmtid="{D5CDD505-2E9C-101B-9397-08002B2CF9AE}" pid="31" name="Objective-ModificationStamp">
    <vt:filetime>2025-02-06T09:41:42Z</vt:filetime>
  </op:property>
  <op:property fmtid="{D5CDD505-2E9C-101B-9397-08002B2CF9AE}" pid="32" name="Objective-Owner">
    <vt:lpwstr>Rosa Donaldson</vt:lpwstr>
  </op:property>
  <op:property fmtid="{D5CDD505-2E9C-101B-9397-08002B2CF9AE}" pid="33" name="Objective-Path">
    <vt:lpwstr>Objective Global Folder:NatureScot Fileplan:MAN - Management:EO - Executive Office:BD - Board:SNH Board - Meetings:Board of NatureScot Meetings - 2025:217 - Board of NatureScot - 12 February 2025</vt:lpwstr>
  </op:property>
  <op:property fmtid="{D5CDD505-2E9C-101B-9397-08002B2CF9AE}" pid="34" name="Objective-Parent">
    <vt:lpwstr>217 - Board of NatureScot - 12 February 2025</vt:lpwstr>
  </op:property>
  <op:property fmtid="{D5CDD505-2E9C-101B-9397-08002B2CF9AE}" pid="35" name="Objective-State">
    <vt:lpwstr>Published</vt:lpwstr>
  </op:property>
  <op:property fmtid="{D5CDD505-2E9C-101B-9397-08002B2CF9AE}" pid="36" name="Objective-VersionId">
    <vt:lpwstr>vA8716001</vt:lpwstr>
  </op:property>
  <op:property fmtid="{D5CDD505-2E9C-101B-9397-08002B2CF9AE}" pid="37" name="Objective-Version">
    <vt:lpwstr>2.0</vt:lpwstr>
  </op:property>
  <op:property fmtid="{D5CDD505-2E9C-101B-9397-08002B2CF9AE}" pid="38" name="Objective-VersionNumber">
    <vt:r8>2</vt:r8>
  </op:property>
  <op:property fmtid="{D5CDD505-2E9C-101B-9397-08002B2CF9AE}" pid="39" name="Objective-VersionComment">
    <vt:lpwstr/>
  </op:property>
  <op:property fmtid="{D5CDD505-2E9C-101B-9397-08002B2CF9AE}" pid="40" name="Objective-FileNumber">
    <vt:lpwstr>qA187920</vt:lpwstr>
  </op:property>
  <op:property fmtid="{D5CDD505-2E9C-101B-9397-08002B2CF9AE}" pid="41" name="Objective-Classification">
    <vt:lpwstr/>
  </op:property>
  <op:property fmtid="{D5CDD505-2E9C-101B-9397-08002B2CF9AE}" pid="42" name="Objective-Caveats">
    <vt:lpwstr/>
  </op:property>
  <op:property fmtid="{D5CDD505-2E9C-101B-9397-08002B2CF9AE}" pid="43" name="Objective-Date of Original">
    <vt:lpwstr/>
  </op:property>
  <op:property fmtid="{D5CDD505-2E9C-101B-9397-08002B2CF9AE}" pid="44" name="Objective-Sensitivity Review Date">
    <vt:lpwstr/>
  </op:property>
  <op:property fmtid="{D5CDD505-2E9C-101B-9397-08002B2CF9AE}" pid="45" name="Objective-FOI Exemption">
    <vt:lpwstr>Release</vt:lpwstr>
  </op:property>
  <op:property fmtid="{D5CDD505-2E9C-101B-9397-08002B2CF9AE}" pid="46" name="Objective-DPA Exemption">
    <vt:lpwstr>Release</vt:lpwstr>
  </op:property>
  <op:property fmtid="{D5CDD505-2E9C-101B-9397-08002B2CF9AE}" pid="47" name="Objective-EIR Exception">
    <vt:lpwstr>Release</vt:lpwstr>
  </op:property>
  <op:property fmtid="{D5CDD505-2E9C-101B-9397-08002B2CF9AE}" pid="48" name="Objective-Justification">
    <vt:lpwstr/>
  </op:property>
  <op:property fmtid="{D5CDD505-2E9C-101B-9397-08002B2CF9AE}" pid="49" name="Objective-Date of Request">
    <vt:lpwstr/>
  </op:property>
  <op:property fmtid="{D5CDD505-2E9C-101B-9397-08002B2CF9AE}" pid="50" name="Objective-Date of Release">
    <vt:lpwstr/>
  </op:property>
  <op:property fmtid="{D5CDD505-2E9C-101B-9397-08002B2CF9AE}" pid="51" name="Objective-FOI/EIR Disclosure Date">
    <vt:lpwstr/>
  </op:property>
  <op:property fmtid="{D5CDD505-2E9C-101B-9397-08002B2CF9AE}" pid="52" name="Objective-FOI/EIR Dissemination Date">
    <vt:lpwstr/>
  </op:property>
  <op:property fmtid="{D5CDD505-2E9C-101B-9397-08002B2CF9AE}" pid="53" name="Objective-FOI Release Details">
    <vt:lpwstr/>
  </op:property>
  <op:property fmtid="{D5CDD505-2E9C-101B-9397-08002B2CF9AE}" pid="54" name="Objective-Connect Creator">
    <vt:lpwstr/>
  </op:property>
</op:Properties>
</file>