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FC18" w14:textId="71FE71FA" w:rsidR="00506E5C" w:rsidRPr="008D20BE" w:rsidRDefault="003A0BAA" w:rsidP="008D20BE">
      <w:pPr>
        <w:rPr>
          <w:rFonts w:cstheme="minorHAnsi"/>
          <w:color w:val="FF0000"/>
          <w:sz w:val="22"/>
        </w:rPr>
      </w:pPr>
      <w:r>
        <w:rPr>
          <w:rFonts w:cstheme="minorHAnsi"/>
          <w:noProof/>
          <w:color w:val="FF0000"/>
          <w:sz w:val="22"/>
          <w:lang w:eastAsia="en-GB"/>
        </w:rPr>
        <w:drawing>
          <wp:inline distT="0" distB="0" distL="0" distR="0" wp14:anchorId="48C815CC" wp14:editId="3F67C5E5">
            <wp:extent cx="1408298" cy="1182727"/>
            <wp:effectExtent l="0" t="0" r="1905" b="0"/>
            <wp:docPr id="1" name="Picture 1"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9">
                      <a:extLst>
                        <a:ext uri="{28A0092B-C50C-407E-A947-70E740481C1C}">
                          <a14:useLocalDpi xmlns:a14="http://schemas.microsoft.com/office/drawing/2010/main" val="0"/>
                        </a:ext>
                      </a:extLst>
                    </a:blip>
                    <a:stretch>
                      <a:fillRect/>
                    </a:stretch>
                  </pic:blipFill>
                  <pic:spPr>
                    <a:xfrm>
                      <a:off x="0" y="0"/>
                      <a:ext cx="1408298" cy="1182727"/>
                    </a:xfrm>
                    <a:prstGeom prst="rect">
                      <a:avLst/>
                    </a:prstGeom>
                  </pic:spPr>
                </pic:pic>
              </a:graphicData>
            </a:graphic>
          </wp:inline>
        </w:drawing>
      </w:r>
      <w:r w:rsidR="005D0E4E" w:rsidRPr="00C04412">
        <w:rPr>
          <w:rFonts w:ascii="Calibri" w:hAnsi="Calibri" w:cs="Calibri"/>
          <w:color w:val="FF0000"/>
          <w:szCs w:val="24"/>
        </w:rPr>
        <w:t xml:space="preserve"> </w:t>
      </w:r>
    </w:p>
    <w:p w14:paraId="169DCCEC" w14:textId="5BB401AE" w:rsidR="003E22BB" w:rsidRPr="003E22BB" w:rsidRDefault="003E22BB" w:rsidP="003E22BB">
      <w:pPr>
        <w:pStyle w:val="Heading1"/>
        <w:rPr>
          <w:rFonts w:ascii="Calibri" w:hAnsi="Calibri" w:cs="Calibri"/>
          <w:sz w:val="24"/>
          <w:szCs w:val="24"/>
        </w:rPr>
      </w:pPr>
      <w:r w:rsidRPr="003E22BB">
        <w:rPr>
          <w:rFonts w:ascii="Calibri" w:hAnsi="Calibri" w:cs="Calibri"/>
          <w:sz w:val="24"/>
          <w:szCs w:val="24"/>
        </w:rPr>
        <w:t xml:space="preserve">Title:  </w:t>
      </w:r>
      <w:r w:rsidRPr="003E22BB">
        <w:rPr>
          <w:rFonts w:ascii="Calibri" w:hAnsi="Calibri" w:cs="Calibri"/>
          <w:sz w:val="24"/>
          <w:szCs w:val="24"/>
        </w:rPr>
        <w:tab/>
      </w:r>
      <w:r w:rsidR="008D20BE">
        <w:rPr>
          <w:rFonts w:ascii="Calibri" w:hAnsi="Calibri" w:cs="Calibri"/>
          <w:sz w:val="24"/>
          <w:szCs w:val="24"/>
        </w:rPr>
        <w:t>Q2 Performance Report 2023/24</w:t>
      </w:r>
      <w:r w:rsidRPr="003E22BB">
        <w:rPr>
          <w:rFonts w:ascii="Calibri" w:hAnsi="Calibri" w:cs="Calibri"/>
          <w:sz w:val="24"/>
          <w:szCs w:val="24"/>
        </w:rPr>
        <w:tab/>
      </w:r>
    </w:p>
    <w:p w14:paraId="51C7F278" w14:textId="77E316BC" w:rsidR="003E22BB" w:rsidRDefault="003E22BB" w:rsidP="003A0BAA">
      <w:pPr>
        <w:spacing w:after="0" w:line="240" w:lineRule="auto"/>
        <w:rPr>
          <w:rFonts w:cstheme="minorHAnsi"/>
          <w:b/>
          <w:color w:val="000000" w:themeColor="text1"/>
        </w:rPr>
      </w:pPr>
      <w:r w:rsidRPr="003E22BB">
        <w:rPr>
          <w:rFonts w:cstheme="minorHAnsi"/>
          <w:b/>
          <w:color w:val="000000" w:themeColor="text1"/>
        </w:rPr>
        <w:t>Date:</w:t>
      </w:r>
      <w:r w:rsidRPr="003E22BB">
        <w:rPr>
          <w:rFonts w:cstheme="minorHAnsi"/>
          <w:b/>
          <w:color w:val="000000" w:themeColor="text1"/>
        </w:rPr>
        <w:tab/>
      </w:r>
      <w:r w:rsidR="001E2683">
        <w:rPr>
          <w:rFonts w:cstheme="minorHAnsi"/>
          <w:b/>
          <w:color w:val="000000" w:themeColor="text1"/>
        </w:rPr>
        <w:t>6</w:t>
      </w:r>
      <w:r w:rsidR="001E2683" w:rsidRPr="001E2683">
        <w:rPr>
          <w:rFonts w:cstheme="minorHAnsi"/>
          <w:b/>
          <w:color w:val="000000" w:themeColor="text1"/>
          <w:vertAlign w:val="superscript"/>
        </w:rPr>
        <w:t>th</w:t>
      </w:r>
      <w:r w:rsidR="001E2683">
        <w:rPr>
          <w:rFonts w:cstheme="minorHAnsi"/>
          <w:b/>
          <w:color w:val="000000" w:themeColor="text1"/>
        </w:rPr>
        <w:t xml:space="preserve"> December</w:t>
      </w:r>
      <w:r w:rsidR="008D20BE">
        <w:rPr>
          <w:rFonts w:cstheme="minorHAnsi"/>
          <w:b/>
          <w:color w:val="000000" w:themeColor="text1"/>
        </w:rPr>
        <w:t xml:space="preserve"> 2023</w:t>
      </w:r>
    </w:p>
    <w:p w14:paraId="4974125B" w14:textId="77777777" w:rsidR="003A0BAA" w:rsidRPr="003A0BAA" w:rsidRDefault="003A0BAA" w:rsidP="003A0BAA">
      <w:pPr>
        <w:spacing w:after="0" w:line="240" w:lineRule="auto"/>
        <w:rPr>
          <w:rFonts w:cstheme="minorHAnsi"/>
          <w:b/>
          <w:color w:val="000000" w:themeColor="text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er page "/>
        <w:tblDescription w:val="Summary of information provided in the subsequent pages of the paper"/>
      </w:tblPr>
      <w:tblGrid>
        <w:gridCol w:w="2694"/>
        <w:gridCol w:w="6469"/>
      </w:tblGrid>
      <w:tr w:rsidR="005D0E4E" w:rsidRPr="005D0E4E" w14:paraId="20BAAF19" w14:textId="77777777" w:rsidTr="001428C1">
        <w:trPr>
          <w:tblHeader/>
        </w:trPr>
        <w:tc>
          <w:tcPr>
            <w:tcW w:w="2694" w:type="dxa"/>
          </w:tcPr>
          <w:p w14:paraId="36567900" w14:textId="4E40470D" w:rsidR="005D0E4E" w:rsidRPr="005D0E4E" w:rsidRDefault="005D0E4E" w:rsidP="001428C1">
            <w:pPr>
              <w:spacing w:after="0" w:line="240" w:lineRule="auto"/>
              <w:rPr>
                <w:szCs w:val="24"/>
              </w:rPr>
            </w:pPr>
            <w:r w:rsidRPr="005D0E4E">
              <w:rPr>
                <w:rStyle w:val="Heading3Char"/>
                <w:rFonts w:ascii="Calibri" w:hAnsi="Calibri" w:cs="Calibri"/>
                <w:b/>
                <w:color w:val="auto"/>
              </w:rPr>
              <w:t>Purpose:</w:t>
            </w:r>
          </w:p>
        </w:tc>
        <w:tc>
          <w:tcPr>
            <w:tcW w:w="6469" w:type="dxa"/>
          </w:tcPr>
          <w:p w14:paraId="2E6CD882" w14:textId="352CF8FF" w:rsidR="005D0E4E" w:rsidRPr="00C04412" w:rsidRDefault="0032429D" w:rsidP="001428C1">
            <w:pPr>
              <w:spacing w:after="0" w:line="240" w:lineRule="auto"/>
              <w:contextualSpacing/>
              <w:rPr>
                <w:rFonts w:ascii="Calibri" w:eastAsia="Arial" w:hAnsi="Calibri" w:cs="Times New Roman"/>
                <w:szCs w:val="24"/>
              </w:rPr>
            </w:pPr>
            <w:r w:rsidRPr="00C04412">
              <w:rPr>
                <w:rFonts w:ascii="Calibri" w:eastAsia="Arial" w:hAnsi="Calibri" w:cs="Times New Roman"/>
                <w:szCs w:val="24"/>
              </w:rPr>
              <w:t>Decision</w:t>
            </w:r>
          </w:p>
        </w:tc>
      </w:tr>
      <w:tr w:rsidR="005D0E4E" w:rsidRPr="005D0E4E" w14:paraId="13CE33D4" w14:textId="77777777" w:rsidTr="001428C1">
        <w:tc>
          <w:tcPr>
            <w:tcW w:w="2694" w:type="dxa"/>
          </w:tcPr>
          <w:p w14:paraId="34DC0A94" w14:textId="1FAE133F" w:rsidR="005D0E4E" w:rsidRPr="005D0E4E" w:rsidRDefault="005D0E4E" w:rsidP="001428C1">
            <w:pPr>
              <w:spacing w:after="0" w:line="240" w:lineRule="auto"/>
              <w:rPr>
                <w:rFonts w:ascii="Calibri" w:eastAsia="Arial" w:hAnsi="Calibri" w:cs="Times New Roman"/>
                <w:szCs w:val="24"/>
              </w:rPr>
            </w:pPr>
            <w:r w:rsidRPr="005D0E4E">
              <w:rPr>
                <w:rFonts w:ascii="Calibri" w:eastAsia="Arial" w:hAnsi="Calibri" w:cs="Times New Roman"/>
                <w:b/>
                <w:szCs w:val="24"/>
              </w:rPr>
              <w:t>How does this link with our corporate priorities of improving biodiversity or delivering nature-based solutions to climate change:</w:t>
            </w:r>
          </w:p>
        </w:tc>
        <w:tc>
          <w:tcPr>
            <w:tcW w:w="6469" w:type="dxa"/>
          </w:tcPr>
          <w:p w14:paraId="788EA7F4" w14:textId="328759C3" w:rsidR="005D0E4E" w:rsidRPr="00C04412" w:rsidRDefault="008D20BE" w:rsidP="001428C1">
            <w:pPr>
              <w:spacing w:after="0" w:line="240" w:lineRule="auto"/>
              <w:contextualSpacing/>
              <w:rPr>
                <w:rFonts w:ascii="Calibri" w:eastAsia="Arial" w:hAnsi="Calibri" w:cs="Times New Roman"/>
                <w:szCs w:val="24"/>
              </w:rPr>
            </w:pPr>
            <w:r>
              <w:rPr>
                <w:rFonts w:ascii="Calibri" w:eastAsia="Arial" w:hAnsi="Calibri" w:cs="Times New Roman"/>
                <w:szCs w:val="24"/>
              </w:rPr>
              <w:t>This paper presents Q2</w:t>
            </w:r>
            <w:r w:rsidRPr="008D20BE">
              <w:rPr>
                <w:rFonts w:ascii="Calibri" w:eastAsia="Arial" w:hAnsi="Calibri" w:cs="Times New Roman"/>
                <w:szCs w:val="24"/>
              </w:rPr>
              <w:t xml:space="preserve"> progress towards delivery of our corporate priorities as laid out in our Business Plan, A Nature-rich future for all: Year 2.</w:t>
            </w:r>
          </w:p>
        </w:tc>
      </w:tr>
      <w:tr w:rsidR="005D0E4E" w:rsidRPr="005D0E4E" w14:paraId="5F6879B4" w14:textId="77777777" w:rsidTr="001428C1">
        <w:tc>
          <w:tcPr>
            <w:tcW w:w="2694" w:type="dxa"/>
          </w:tcPr>
          <w:p w14:paraId="278D0DA3" w14:textId="3D465FF9" w:rsidR="005D0E4E" w:rsidRPr="005D0E4E" w:rsidRDefault="005D0E4E" w:rsidP="001428C1">
            <w:pPr>
              <w:spacing w:after="0" w:line="240" w:lineRule="auto"/>
              <w:rPr>
                <w:rFonts w:ascii="Calibri" w:eastAsia="Arial" w:hAnsi="Calibri" w:cs="Times New Roman"/>
                <w:szCs w:val="24"/>
              </w:rPr>
            </w:pPr>
            <w:r w:rsidRPr="005D0E4E">
              <w:rPr>
                <w:rFonts w:ascii="Calibri" w:eastAsia="Arial" w:hAnsi="Calibri" w:cs="Times New Roman"/>
                <w:b/>
                <w:szCs w:val="24"/>
              </w:rPr>
              <w:t>Summary:</w:t>
            </w:r>
          </w:p>
        </w:tc>
        <w:tc>
          <w:tcPr>
            <w:tcW w:w="6469" w:type="dxa"/>
          </w:tcPr>
          <w:p w14:paraId="6950E4DA" w14:textId="422485DD" w:rsidR="005D0E4E" w:rsidRPr="00C04412" w:rsidRDefault="008D20BE" w:rsidP="000965F5">
            <w:pPr>
              <w:spacing w:after="0" w:line="240" w:lineRule="auto"/>
              <w:contextualSpacing/>
              <w:rPr>
                <w:rFonts w:ascii="Calibri" w:eastAsia="Arial" w:hAnsi="Calibri" w:cs="Times New Roman"/>
                <w:szCs w:val="24"/>
              </w:rPr>
            </w:pPr>
            <w:r>
              <w:rPr>
                <w:rFonts w:ascii="Calibri" w:eastAsia="Arial" w:hAnsi="Calibri" w:cs="Times New Roman"/>
                <w:szCs w:val="24"/>
              </w:rPr>
              <w:t>At the end of Q2</w:t>
            </w:r>
            <w:r w:rsidRPr="008D20BE">
              <w:rPr>
                <w:rFonts w:ascii="Calibri" w:eastAsia="Arial" w:hAnsi="Calibri" w:cs="Times New Roman"/>
                <w:szCs w:val="24"/>
              </w:rPr>
              <w:t xml:space="preserve">, performance for </w:t>
            </w:r>
            <w:r w:rsidR="00794997" w:rsidRPr="00A15D6F">
              <w:rPr>
                <w:rFonts w:ascii="Calibri" w:eastAsia="Arial" w:hAnsi="Calibri" w:cs="Times New Roman"/>
                <w:szCs w:val="24"/>
              </w:rPr>
              <w:t>1</w:t>
            </w:r>
            <w:r w:rsidR="00030D53" w:rsidRPr="00A15D6F">
              <w:rPr>
                <w:rFonts w:ascii="Calibri" w:eastAsia="Arial" w:hAnsi="Calibri" w:cs="Times New Roman"/>
                <w:szCs w:val="24"/>
              </w:rPr>
              <w:t>4</w:t>
            </w:r>
            <w:r w:rsidRPr="00A15D6F">
              <w:rPr>
                <w:rFonts w:ascii="Calibri" w:eastAsia="Arial" w:hAnsi="Calibri" w:cs="Times New Roman"/>
                <w:szCs w:val="24"/>
              </w:rPr>
              <w:t xml:space="preserve"> </w:t>
            </w:r>
            <w:r w:rsidRPr="008D20BE">
              <w:rPr>
                <w:rFonts w:ascii="Calibri" w:eastAsia="Arial" w:hAnsi="Calibri" w:cs="Times New Roman"/>
                <w:szCs w:val="24"/>
              </w:rPr>
              <w:t xml:space="preserve">of our 15 Corporate plan objectives </w:t>
            </w:r>
            <w:r w:rsidR="00756BCF">
              <w:rPr>
                <w:rFonts w:ascii="Calibri" w:eastAsia="Arial" w:hAnsi="Calibri" w:cs="Times New Roman"/>
                <w:szCs w:val="24"/>
              </w:rPr>
              <w:t>is</w:t>
            </w:r>
            <w:r w:rsidRPr="008D20BE">
              <w:rPr>
                <w:rFonts w:ascii="Calibri" w:eastAsia="Arial" w:hAnsi="Calibri" w:cs="Times New Roman"/>
                <w:szCs w:val="24"/>
              </w:rPr>
              <w:t xml:space="preserve"> rated as ‘on track’. </w:t>
            </w:r>
            <w:r w:rsidR="00030D53">
              <w:rPr>
                <w:rFonts w:ascii="Calibri" w:eastAsia="Arial" w:hAnsi="Calibri" w:cs="Times New Roman"/>
                <w:szCs w:val="24"/>
              </w:rPr>
              <w:t>O</w:t>
            </w:r>
            <w:r w:rsidR="00030D53">
              <w:rPr>
                <w:rStyle w:val="ui-provider"/>
              </w:rPr>
              <w:t xml:space="preserve">ur Resource and Capital budgets are currently expected to outturn within tolerance at year end. The large programmes continue to be managed and monitored to ensure full budget spend is achieved.  </w:t>
            </w:r>
            <w:r w:rsidRPr="00030D53">
              <w:rPr>
                <w:rFonts w:ascii="Calibri" w:eastAsia="Arial" w:hAnsi="Calibri" w:cs="Times New Roman"/>
                <w:szCs w:val="24"/>
              </w:rPr>
              <w:t>There ha</w:t>
            </w:r>
            <w:r w:rsidR="00756BCF">
              <w:rPr>
                <w:rFonts w:ascii="Calibri" w:eastAsia="Arial" w:hAnsi="Calibri" w:cs="Times New Roman"/>
                <w:szCs w:val="24"/>
              </w:rPr>
              <w:t>ve</w:t>
            </w:r>
            <w:r w:rsidRPr="00030D53">
              <w:rPr>
                <w:rFonts w:ascii="Calibri" w:eastAsia="Arial" w:hAnsi="Calibri" w:cs="Times New Roman"/>
                <w:szCs w:val="24"/>
              </w:rPr>
              <w:t xml:space="preserve"> been two changes to </w:t>
            </w:r>
            <w:r w:rsidRPr="00A4300C">
              <w:rPr>
                <w:rFonts w:ascii="Calibri" w:eastAsia="Arial" w:hAnsi="Calibri" w:cs="Times New Roman"/>
                <w:szCs w:val="24"/>
              </w:rPr>
              <w:t>corporate risk</w:t>
            </w:r>
            <w:r w:rsidR="00EB7DD9">
              <w:rPr>
                <w:rFonts w:ascii="Calibri" w:eastAsia="Arial" w:hAnsi="Calibri" w:cs="Times New Roman"/>
                <w:szCs w:val="24"/>
              </w:rPr>
              <w:t>s</w:t>
            </w:r>
            <w:r w:rsidRPr="00A4300C">
              <w:rPr>
                <w:rFonts w:ascii="Calibri" w:eastAsia="Arial" w:hAnsi="Calibri" w:cs="Times New Roman"/>
                <w:szCs w:val="24"/>
              </w:rPr>
              <w:t xml:space="preserve"> this quarter</w:t>
            </w:r>
            <w:r w:rsidR="00EB7DD9">
              <w:rPr>
                <w:rFonts w:ascii="Calibri" w:eastAsia="Arial" w:hAnsi="Calibri" w:cs="Times New Roman"/>
                <w:szCs w:val="24"/>
              </w:rPr>
              <w:t>; one</w:t>
            </w:r>
            <w:r w:rsidRPr="00A4300C">
              <w:rPr>
                <w:rFonts w:ascii="Calibri" w:eastAsia="Arial" w:hAnsi="Calibri" w:cs="Times New Roman"/>
                <w:szCs w:val="24"/>
              </w:rPr>
              <w:t xml:space="preserve"> </w:t>
            </w:r>
            <w:r w:rsidR="00EB7DD9">
              <w:rPr>
                <w:rFonts w:ascii="Calibri" w:eastAsia="Arial" w:hAnsi="Calibri" w:cs="Times New Roman"/>
                <w:szCs w:val="24"/>
              </w:rPr>
              <w:t xml:space="preserve">risk </w:t>
            </w:r>
            <w:r w:rsidR="00030D53" w:rsidRPr="00A4300C">
              <w:rPr>
                <w:rFonts w:ascii="Calibri" w:eastAsia="Arial" w:hAnsi="Calibri" w:cs="Times New Roman"/>
                <w:szCs w:val="24"/>
              </w:rPr>
              <w:t>increase</w:t>
            </w:r>
            <w:r w:rsidR="00EB7DD9">
              <w:rPr>
                <w:rFonts w:ascii="Calibri" w:eastAsia="Arial" w:hAnsi="Calibri" w:cs="Times New Roman"/>
                <w:szCs w:val="24"/>
              </w:rPr>
              <w:t>d (586</w:t>
            </w:r>
            <w:r w:rsidR="00030D53" w:rsidRPr="00A4300C">
              <w:rPr>
                <w:rFonts w:ascii="Calibri" w:eastAsia="Arial" w:hAnsi="Calibri" w:cs="Times New Roman"/>
                <w:szCs w:val="24"/>
              </w:rPr>
              <w:t xml:space="preserve">) </w:t>
            </w:r>
            <w:r w:rsidRPr="00A4300C">
              <w:rPr>
                <w:rFonts w:ascii="Calibri" w:eastAsia="Arial" w:hAnsi="Calibri" w:cs="Times New Roman"/>
                <w:szCs w:val="24"/>
              </w:rPr>
              <w:t xml:space="preserve">and one risk </w:t>
            </w:r>
            <w:r w:rsidR="00030D53" w:rsidRPr="00A4300C">
              <w:rPr>
                <w:rFonts w:ascii="Calibri" w:eastAsia="Arial" w:hAnsi="Calibri" w:cs="Times New Roman"/>
                <w:szCs w:val="24"/>
              </w:rPr>
              <w:t xml:space="preserve">(21) reduced in </w:t>
            </w:r>
            <w:r w:rsidR="003E0AFA" w:rsidRPr="00A4300C">
              <w:rPr>
                <w:rFonts w:ascii="Calibri" w:eastAsia="Arial" w:hAnsi="Calibri" w:cs="Times New Roman"/>
                <w:szCs w:val="24"/>
              </w:rPr>
              <w:t>likelihood</w:t>
            </w:r>
            <w:r w:rsidR="003E0AFA">
              <w:rPr>
                <w:rFonts w:ascii="Calibri" w:eastAsia="Arial" w:hAnsi="Calibri" w:cs="Times New Roman"/>
                <w:szCs w:val="24"/>
              </w:rPr>
              <w:t xml:space="preserve"> but</w:t>
            </w:r>
            <w:r w:rsidR="00030D53" w:rsidRPr="00A4300C">
              <w:rPr>
                <w:rFonts w:ascii="Calibri" w:eastAsia="Arial" w:hAnsi="Calibri" w:cs="Times New Roman"/>
                <w:szCs w:val="24"/>
              </w:rPr>
              <w:t xml:space="preserve"> had no overall change in score</w:t>
            </w:r>
            <w:r w:rsidRPr="00A4300C">
              <w:rPr>
                <w:rFonts w:ascii="Calibri" w:eastAsia="Arial" w:hAnsi="Calibri" w:cs="Times New Roman"/>
                <w:szCs w:val="24"/>
              </w:rPr>
              <w:t xml:space="preserve">. In the People Report, </w:t>
            </w:r>
            <w:r w:rsidR="00A4300C">
              <w:rPr>
                <w:rFonts w:ascii="Calibri" w:eastAsia="Arial" w:hAnsi="Calibri" w:cs="Times New Roman"/>
                <w:szCs w:val="24"/>
              </w:rPr>
              <w:t>four</w:t>
            </w:r>
            <w:r w:rsidRPr="00A4300C">
              <w:rPr>
                <w:rFonts w:ascii="Calibri" w:eastAsia="Arial" w:hAnsi="Calibri" w:cs="Times New Roman"/>
                <w:szCs w:val="24"/>
              </w:rPr>
              <w:t xml:space="preserve"> of the </w:t>
            </w:r>
            <w:r w:rsidR="00A4300C">
              <w:rPr>
                <w:rFonts w:ascii="Calibri" w:eastAsia="Arial" w:hAnsi="Calibri" w:cs="Times New Roman"/>
                <w:szCs w:val="24"/>
              </w:rPr>
              <w:t>seven</w:t>
            </w:r>
            <w:r w:rsidRPr="00A4300C">
              <w:rPr>
                <w:rFonts w:ascii="Calibri" w:eastAsia="Arial" w:hAnsi="Calibri" w:cs="Times New Roman"/>
                <w:szCs w:val="24"/>
              </w:rPr>
              <w:t xml:space="preserve"> indicators are green and </w:t>
            </w:r>
            <w:r w:rsidR="00A4300C" w:rsidRPr="00A4300C">
              <w:rPr>
                <w:rFonts w:ascii="Calibri" w:eastAsia="Arial" w:hAnsi="Calibri" w:cs="Times New Roman"/>
                <w:szCs w:val="24"/>
              </w:rPr>
              <w:t>three</w:t>
            </w:r>
            <w:r w:rsidRPr="00A4300C">
              <w:rPr>
                <w:rFonts w:ascii="Calibri" w:eastAsia="Arial" w:hAnsi="Calibri" w:cs="Times New Roman"/>
                <w:szCs w:val="24"/>
              </w:rPr>
              <w:t xml:space="preserve"> </w:t>
            </w:r>
            <w:r w:rsidR="00A4300C" w:rsidRPr="00A4300C">
              <w:rPr>
                <w:rFonts w:ascii="Calibri" w:eastAsia="Arial" w:hAnsi="Calibri" w:cs="Times New Roman"/>
                <w:szCs w:val="24"/>
              </w:rPr>
              <w:t>are</w:t>
            </w:r>
            <w:r w:rsidRPr="00A4300C">
              <w:rPr>
                <w:rFonts w:ascii="Calibri" w:eastAsia="Arial" w:hAnsi="Calibri" w:cs="Times New Roman"/>
                <w:szCs w:val="24"/>
              </w:rPr>
              <w:t xml:space="preserve"> amber.</w:t>
            </w:r>
          </w:p>
        </w:tc>
      </w:tr>
      <w:tr w:rsidR="005D0E4E" w:rsidRPr="005D0E4E" w14:paraId="54B0CF3D" w14:textId="77777777" w:rsidTr="001428C1">
        <w:tc>
          <w:tcPr>
            <w:tcW w:w="2694" w:type="dxa"/>
          </w:tcPr>
          <w:p w14:paraId="2D2BC4B2" w14:textId="6D6BB7EC" w:rsidR="005D0E4E" w:rsidRPr="005D0E4E" w:rsidRDefault="005D0E4E" w:rsidP="001428C1">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Actions:</w:t>
            </w:r>
            <w:r w:rsidRPr="005D0E4E">
              <w:rPr>
                <w:rFonts w:ascii="Calibri" w:eastAsia="Arial" w:hAnsi="Calibri" w:cs="Times New Roman"/>
                <w:szCs w:val="24"/>
              </w:rPr>
              <w:t xml:space="preserve"> </w:t>
            </w:r>
          </w:p>
        </w:tc>
        <w:tc>
          <w:tcPr>
            <w:tcW w:w="6469" w:type="dxa"/>
          </w:tcPr>
          <w:p w14:paraId="03259AD0" w14:textId="5B44ADB0" w:rsidR="005D0E4E" w:rsidRPr="00C04412" w:rsidRDefault="008D20BE" w:rsidP="001428C1">
            <w:pPr>
              <w:spacing w:after="0" w:line="240" w:lineRule="auto"/>
              <w:rPr>
                <w:rFonts w:ascii="Calibri" w:eastAsia="Arial" w:hAnsi="Calibri" w:cs="Times New Roman"/>
                <w:szCs w:val="24"/>
              </w:rPr>
            </w:pPr>
            <w:r w:rsidRPr="008D20BE">
              <w:rPr>
                <w:rFonts w:ascii="Calibri" w:eastAsia="Arial" w:hAnsi="Calibri" w:cs="Times New Roman"/>
                <w:szCs w:val="24"/>
              </w:rPr>
              <w:t>To agree the recommendations below</w:t>
            </w:r>
          </w:p>
        </w:tc>
      </w:tr>
      <w:tr w:rsidR="005D0E4E" w:rsidRPr="005D0E4E" w14:paraId="187A143B" w14:textId="77777777" w:rsidTr="001428C1">
        <w:tc>
          <w:tcPr>
            <w:tcW w:w="2694" w:type="dxa"/>
          </w:tcPr>
          <w:p w14:paraId="1E0B416A" w14:textId="5808D500" w:rsidR="005D0E4E" w:rsidRPr="005D0E4E" w:rsidRDefault="005D0E4E" w:rsidP="001428C1">
            <w:pPr>
              <w:spacing w:after="0" w:line="240" w:lineRule="auto"/>
              <w:contextualSpacing/>
              <w:rPr>
                <w:rFonts w:ascii="Calibri" w:eastAsia="Arial" w:hAnsi="Calibri" w:cs="Times New Roman"/>
                <w:szCs w:val="24"/>
              </w:rPr>
            </w:pPr>
            <w:r w:rsidRPr="005D0E4E">
              <w:rPr>
                <w:rFonts w:ascii="Calibri" w:eastAsia="Arial" w:hAnsi="Calibri" w:cs="Times New Roman"/>
                <w:b/>
                <w:szCs w:val="24"/>
              </w:rPr>
              <w:t>Recommendations:</w:t>
            </w:r>
            <w:r w:rsidRPr="005D0E4E">
              <w:rPr>
                <w:rFonts w:ascii="Calibri" w:eastAsia="Arial" w:hAnsi="Calibri" w:cs="Times New Roman"/>
                <w:szCs w:val="24"/>
              </w:rPr>
              <w:t xml:space="preserve"> </w:t>
            </w:r>
          </w:p>
        </w:tc>
        <w:tc>
          <w:tcPr>
            <w:tcW w:w="6469" w:type="dxa"/>
          </w:tcPr>
          <w:p w14:paraId="587E0EEC" w14:textId="3D1CE8F6" w:rsidR="008D20BE" w:rsidRPr="008D20BE" w:rsidRDefault="00BE4366" w:rsidP="001428C1">
            <w:pPr>
              <w:spacing w:after="0" w:line="240" w:lineRule="auto"/>
              <w:rPr>
                <w:rFonts w:ascii="Calibri" w:eastAsia="Arial" w:hAnsi="Calibri" w:cs="Times New Roman"/>
                <w:i/>
                <w:szCs w:val="24"/>
              </w:rPr>
            </w:pPr>
            <w:r>
              <w:rPr>
                <w:rFonts w:ascii="Calibri" w:eastAsia="Arial" w:hAnsi="Calibri" w:cs="Times New Roman"/>
                <w:szCs w:val="24"/>
              </w:rPr>
              <w:t>Board</w:t>
            </w:r>
            <w:r w:rsidR="008D20BE" w:rsidRPr="008D20BE">
              <w:rPr>
                <w:rFonts w:ascii="Calibri" w:eastAsia="Arial" w:hAnsi="Calibri" w:cs="Times New Roman"/>
                <w:szCs w:val="24"/>
              </w:rPr>
              <w:t xml:space="preserve"> are asked to</w:t>
            </w:r>
            <w:r>
              <w:rPr>
                <w:rFonts w:ascii="Calibri" w:eastAsia="Arial" w:hAnsi="Calibri" w:cs="Times New Roman"/>
                <w:szCs w:val="24"/>
              </w:rPr>
              <w:t xml:space="preserve"> sign off on</w:t>
            </w:r>
            <w:r w:rsidR="008D20BE" w:rsidRPr="008D20BE">
              <w:rPr>
                <w:rFonts w:ascii="Calibri" w:eastAsia="Arial" w:hAnsi="Calibri" w:cs="Times New Roman"/>
                <w:szCs w:val="24"/>
              </w:rPr>
              <w:t>:</w:t>
            </w:r>
          </w:p>
          <w:p w14:paraId="770F6BC4" w14:textId="301B88A9" w:rsidR="008D20BE" w:rsidRPr="008D20BE" w:rsidRDefault="00BE4366" w:rsidP="00025C49">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008D20BE" w:rsidRPr="008D20BE">
              <w:rPr>
                <w:rFonts w:ascii="Calibri" w:eastAsia="Arial" w:hAnsi="Calibri" w:cs="Times New Roman"/>
                <w:szCs w:val="24"/>
              </w:rPr>
              <w:t>he overall performance of the Corporate Plan objectives (Performance Report)</w:t>
            </w:r>
          </w:p>
          <w:p w14:paraId="25A63DF5" w14:textId="3A6C777B" w:rsidR="008D20BE" w:rsidRPr="008D20BE" w:rsidRDefault="00BE4366" w:rsidP="00025C49">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008D20BE" w:rsidRPr="008D20BE">
              <w:rPr>
                <w:rFonts w:ascii="Calibri" w:eastAsia="Arial" w:hAnsi="Calibri" w:cs="Times New Roman"/>
                <w:szCs w:val="24"/>
              </w:rPr>
              <w:t xml:space="preserve">he position of the </w:t>
            </w:r>
            <w:r w:rsidR="00EB7DD9">
              <w:rPr>
                <w:rFonts w:ascii="Calibri" w:eastAsia="Arial" w:hAnsi="Calibri" w:cs="Times New Roman"/>
                <w:szCs w:val="24"/>
              </w:rPr>
              <w:t>resource</w:t>
            </w:r>
            <w:r w:rsidR="008D20BE" w:rsidRPr="008D20BE">
              <w:rPr>
                <w:rFonts w:ascii="Calibri" w:eastAsia="Arial" w:hAnsi="Calibri" w:cs="Times New Roman"/>
                <w:szCs w:val="24"/>
              </w:rPr>
              <w:t xml:space="preserve"> and capital budgets (Finance Report)</w:t>
            </w:r>
          </w:p>
          <w:p w14:paraId="75A3AE4D" w14:textId="601FF385" w:rsidR="008D20BE" w:rsidRDefault="00BE4366" w:rsidP="00025C49">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008D20BE" w:rsidRPr="008D20BE">
              <w:rPr>
                <w:rFonts w:ascii="Calibri" w:eastAsia="Arial" w:hAnsi="Calibri" w:cs="Times New Roman"/>
                <w:szCs w:val="24"/>
              </w:rPr>
              <w:t>he performance of the corporate risks (Risk Report)</w:t>
            </w:r>
          </w:p>
          <w:p w14:paraId="30D9395B" w14:textId="2BCF8276" w:rsidR="005D0E4E" w:rsidRPr="008D20BE" w:rsidRDefault="00BE4366" w:rsidP="00025C49">
            <w:pPr>
              <w:numPr>
                <w:ilvl w:val="1"/>
                <w:numId w:val="2"/>
              </w:numPr>
              <w:spacing w:after="0" w:line="240" w:lineRule="auto"/>
              <w:rPr>
                <w:rFonts w:ascii="Calibri" w:eastAsia="Arial" w:hAnsi="Calibri" w:cs="Times New Roman"/>
                <w:szCs w:val="24"/>
              </w:rPr>
            </w:pPr>
            <w:r>
              <w:rPr>
                <w:rFonts w:ascii="Calibri" w:eastAsia="Arial" w:hAnsi="Calibri" w:cs="Times New Roman"/>
                <w:szCs w:val="24"/>
              </w:rPr>
              <w:t>T</w:t>
            </w:r>
            <w:r w:rsidR="008D20BE" w:rsidRPr="008D20BE">
              <w:rPr>
                <w:rFonts w:ascii="Calibri" w:eastAsia="Arial" w:hAnsi="Calibri" w:cs="Times New Roman"/>
                <w:szCs w:val="24"/>
              </w:rPr>
              <w:t>he overall performance of the People Measures (People Report)</w:t>
            </w:r>
          </w:p>
        </w:tc>
      </w:tr>
      <w:tr w:rsidR="005D0E4E" w:rsidRPr="005D0E4E" w14:paraId="1611D4CD" w14:textId="77777777" w:rsidTr="001428C1">
        <w:tc>
          <w:tcPr>
            <w:tcW w:w="2694" w:type="dxa"/>
          </w:tcPr>
          <w:p w14:paraId="1E66C971" w14:textId="77777777" w:rsidR="005D0E4E" w:rsidRPr="005D0E4E" w:rsidRDefault="005D0E4E" w:rsidP="001428C1">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Report Author(s):</w:t>
            </w:r>
          </w:p>
        </w:tc>
        <w:tc>
          <w:tcPr>
            <w:tcW w:w="6469" w:type="dxa"/>
          </w:tcPr>
          <w:p w14:paraId="684ABBC1" w14:textId="7E1E97E6" w:rsidR="005D0E4E" w:rsidRPr="005D0E4E" w:rsidRDefault="008D20BE" w:rsidP="001428C1">
            <w:pPr>
              <w:spacing w:after="0" w:line="240" w:lineRule="auto"/>
              <w:rPr>
                <w:rFonts w:ascii="Calibri" w:eastAsia="Arial" w:hAnsi="Calibri" w:cs="Times New Roman"/>
                <w:szCs w:val="24"/>
              </w:rPr>
            </w:pPr>
            <w:r w:rsidRPr="008D20BE">
              <w:rPr>
                <w:rFonts w:ascii="Calibri" w:eastAsia="Arial" w:hAnsi="Calibri" w:cs="Times New Roman"/>
                <w:szCs w:val="24"/>
              </w:rPr>
              <w:t>Authors – Directors, Deputy Directors, Outcomes Managers, Finance, Planning &amp; Performance Team, People &amp; OD Team</w:t>
            </w:r>
          </w:p>
        </w:tc>
      </w:tr>
      <w:tr w:rsidR="005D0E4E" w:rsidRPr="005D0E4E" w14:paraId="28B18A8B" w14:textId="77777777" w:rsidTr="001428C1">
        <w:tc>
          <w:tcPr>
            <w:tcW w:w="2694" w:type="dxa"/>
          </w:tcPr>
          <w:p w14:paraId="451D6F59" w14:textId="155CB8F5" w:rsidR="005D0E4E" w:rsidRPr="005D0E4E" w:rsidRDefault="005D0E4E" w:rsidP="001428C1">
            <w:pPr>
              <w:spacing w:after="0" w:line="240" w:lineRule="auto"/>
              <w:contextualSpacing/>
              <w:rPr>
                <w:rFonts w:ascii="Calibri" w:eastAsia="Arial" w:hAnsi="Calibri" w:cs="Times New Roman"/>
                <w:b/>
                <w:szCs w:val="24"/>
              </w:rPr>
            </w:pPr>
            <w:r w:rsidRPr="005D0E4E">
              <w:rPr>
                <w:rFonts w:ascii="Calibri" w:eastAsia="Arial" w:hAnsi="Calibri" w:cs="Times New Roman"/>
                <w:b/>
                <w:szCs w:val="24"/>
              </w:rPr>
              <w:t>Sponsor</w:t>
            </w:r>
            <w:r w:rsidR="00306458">
              <w:rPr>
                <w:rFonts w:ascii="Calibri" w:eastAsia="Arial" w:hAnsi="Calibri" w:cs="Times New Roman"/>
                <w:b/>
                <w:szCs w:val="24"/>
              </w:rPr>
              <w:t>s</w:t>
            </w:r>
            <w:r w:rsidRPr="005D0E4E">
              <w:rPr>
                <w:rFonts w:ascii="Calibri" w:eastAsia="Arial" w:hAnsi="Calibri" w:cs="Times New Roman"/>
                <w:b/>
                <w:szCs w:val="24"/>
              </w:rPr>
              <w:t>:</w:t>
            </w:r>
            <w:r w:rsidRPr="005D0E4E">
              <w:rPr>
                <w:rFonts w:ascii="Calibri" w:eastAsia="Arial" w:hAnsi="Calibri" w:cs="Times New Roman"/>
                <w:b/>
                <w:szCs w:val="24"/>
              </w:rPr>
              <w:tab/>
            </w:r>
          </w:p>
        </w:tc>
        <w:tc>
          <w:tcPr>
            <w:tcW w:w="6469" w:type="dxa"/>
          </w:tcPr>
          <w:p w14:paraId="15458FFD" w14:textId="2704D64A" w:rsidR="005D0E4E" w:rsidRPr="005D0E4E" w:rsidRDefault="008D20BE" w:rsidP="001428C1">
            <w:pPr>
              <w:spacing w:after="0" w:line="240" w:lineRule="auto"/>
              <w:rPr>
                <w:rFonts w:ascii="Calibri" w:eastAsia="Arial" w:hAnsi="Calibri" w:cs="Times New Roman"/>
                <w:szCs w:val="24"/>
              </w:rPr>
            </w:pPr>
            <w:r w:rsidRPr="008D20BE">
              <w:rPr>
                <w:rFonts w:ascii="Calibri" w:eastAsia="Arial" w:hAnsi="Calibri" w:cs="Times New Roman"/>
                <w:szCs w:val="24"/>
              </w:rPr>
              <w:t>Stuart MacQuarrie, Jane Macdonald</w:t>
            </w:r>
          </w:p>
        </w:tc>
      </w:tr>
      <w:tr w:rsidR="00A4300C" w:rsidRPr="00A4300C" w14:paraId="7ECAF5B7" w14:textId="77777777" w:rsidTr="001428C1">
        <w:tc>
          <w:tcPr>
            <w:tcW w:w="2694" w:type="dxa"/>
          </w:tcPr>
          <w:p w14:paraId="3E1CC1B9" w14:textId="66C78079" w:rsidR="005D0E4E" w:rsidRPr="00A4300C" w:rsidRDefault="005D0E4E" w:rsidP="001428C1">
            <w:pPr>
              <w:spacing w:after="0" w:line="240" w:lineRule="auto"/>
              <w:contextualSpacing/>
              <w:rPr>
                <w:rFonts w:ascii="Calibri" w:eastAsia="Arial" w:hAnsi="Calibri" w:cs="Times New Roman"/>
                <w:szCs w:val="24"/>
              </w:rPr>
            </w:pPr>
            <w:r w:rsidRPr="00A4300C">
              <w:rPr>
                <w:rFonts w:ascii="Calibri" w:eastAsia="Arial" w:hAnsi="Calibri" w:cs="Times New Roman"/>
                <w:b/>
                <w:szCs w:val="24"/>
              </w:rPr>
              <w:t>Appendices</w:t>
            </w:r>
            <w:r w:rsidRPr="00A4300C">
              <w:rPr>
                <w:rFonts w:ascii="Calibri" w:eastAsia="Arial" w:hAnsi="Calibri" w:cs="Times New Roman"/>
                <w:szCs w:val="24"/>
              </w:rPr>
              <w:t>: Please note all appendices.</w:t>
            </w:r>
          </w:p>
        </w:tc>
        <w:tc>
          <w:tcPr>
            <w:tcW w:w="6469" w:type="dxa"/>
          </w:tcPr>
          <w:p w14:paraId="32782936" w14:textId="77777777" w:rsidR="005D0E4E" w:rsidRDefault="00554D77" w:rsidP="001428C1">
            <w:pPr>
              <w:spacing w:after="0" w:line="240" w:lineRule="auto"/>
              <w:contextualSpacing/>
              <w:rPr>
                <w:rFonts w:ascii="Calibri" w:eastAsia="Arial" w:hAnsi="Calibri" w:cs="Times New Roman"/>
                <w:szCs w:val="24"/>
              </w:rPr>
            </w:pPr>
            <w:r>
              <w:rPr>
                <w:rFonts w:ascii="Calibri" w:eastAsia="Arial" w:hAnsi="Calibri" w:cs="Times New Roman"/>
                <w:szCs w:val="24"/>
              </w:rPr>
              <w:t>Annex A – Corporate Risk Register</w:t>
            </w:r>
          </w:p>
          <w:p w14:paraId="7040BE21" w14:textId="1CE12057" w:rsidR="00521801" w:rsidRPr="00A4300C" w:rsidRDefault="00521801" w:rsidP="001428C1">
            <w:pPr>
              <w:spacing w:after="0" w:line="240" w:lineRule="auto"/>
              <w:contextualSpacing/>
              <w:rPr>
                <w:rFonts w:ascii="Calibri" w:eastAsia="Arial" w:hAnsi="Calibri" w:cs="Times New Roman"/>
                <w:szCs w:val="24"/>
              </w:rPr>
            </w:pPr>
          </w:p>
        </w:tc>
      </w:tr>
    </w:tbl>
    <w:p w14:paraId="6FE1DDAA" w14:textId="77777777" w:rsidR="000965F5" w:rsidRDefault="000965F5" w:rsidP="003B170D">
      <w:pPr>
        <w:sectPr w:rsidR="000965F5" w:rsidSect="00604DB9">
          <w:headerReference w:type="default" r:id="rId10"/>
          <w:footerReference w:type="default" r:id="rId11"/>
          <w:pgSz w:w="11906" w:h="16838"/>
          <w:pgMar w:top="993" w:right="1440" w:bottom="1440" w:left="1440" w:header="567" w:footer="708" w:gutter="0"/>
          <w:cols w:space="708"/>
          <w:docGrid w:linePitch="360"/>
        </w:sectPr>
      </w:pPr>
    </w:p>
    <w:p w14:paraId="0382B476" w14:textId="25629A00" w:rsidR="008D20BE" w:rsidRPr="00B6615A" w:rsidRDefault="008D20BE" w:rsidP="008D20BE">
      <w:pPr>
        <w:pStyle w:val="Heading2"/>
        <w:rPr>
          <w:rFonts w:ascii="Calibri" w:eastAsia="Times New Roman" w:hAnsi="Calibri" w:cs="Calibri"/>
          <w:szCs w:val="24"/>
        </w:rPr>
      </w:pPr>
      <w:r w:rsidRPr="00B6615A">
        <w:rPr>
          <w:rFonts w:ascii="Calibri" w:eastAsia="Times New Roman" w:hAnsi="Calibri" w:cs="Calibri"/>
          <w:szCs w:val="24"/>
        </w:rPr>
        <w:lastRenderedPageBreak/>
        <w:t xml:space="preserve">Purpose </w:t>
      </w:r>
    </w:p>
    <w:p w14:paraId="4851BC74" w14:textId="29C49414" w:rsidR="008D20BE" w:rsidRPr="00CD5336" w:rsidRDefault="008D20BE" w:rsidP="00025C49">
      <w:pPr>
        <w:pStyle w:val="ListParagraph"/>
        <w:numPr>
          <w:ilvl w:val="0"/>
          <w:numId w:val="1"/>
        </w:numPr>
        <w:ind w:left="357" w:hanging="357"/>
        <w:rPr>
          <w:rFonts w:ascii="Calibri" w:eastAsia="Calibri" w:hAnsi="Calibri" w:cs="Calibri"/>
          <w:color w:val="000000" w:themeColor="text1"/>
          <w:szCs w:val="24"/>
        </w:rPr>
      </w:pPr>
      <w:r w:rsidRPr="00B6615A">
        <w:rPr>
          <w:rFonts w:ascii="Calibri" w:eastAsia="Calibri" w:hAnsi="Calibri" w:cs="Calibri"/>
          <w:szCs w:val="24"/>
        </w:rPr>
        <w:t xml:space="preserve">This paper presents </w:t>
      </w:r>
      <w:proofErr w:type="spellStart"/>
      <w:r w:rsidRPr="00B6615A">
        <w:rPr>
          <w:rFonts w:ascii="Calibri" w:eastAsia="Calibri" w:hAnsi="Calibri" w:cs="Calibri"/>
          <w:szCs w:val="24"/>
        </w:rPr>
        <w:t>NatureScot’s</w:t>
      </w:r>
      <w:proofErr w:type="spellEnd"/>
      <w:r w:rsidRPr="00B6615A">
        <w:rPr>
          <w:rFonts w:ascii="Calibri" w:eastAsia="Calibri" w:hAnsi="Calibri" w:cs="Calibri"/>
          <w:szCs w:val="24"/>
        </w:rPr>
        <w:t xml:space="preserve"> performance for the </w:t>
      </w:r>
      <w:r>
        <w:rPr>
          <w:rFonts w:ascii="Calibri" w:eastAsia="Calibri" w:hAnsi="Calibri" w:cs="Calibri"/>
          <w:szCs w:val="24"/>
        </w:rPr>
        <w:t>second</w:t>
      </w:r>
      <w:r w:rsidRPr="00B6615A">
        <w:rPr>
          <w:rFonts w:ascii="Calibri" w:eastAsia="Calibri" w:hAnsi="Calibri" w:cs="Calibri"/>
          <w:szCs w:val="24"/>
        </w:rPr>
        <w:t xml:space="preserve"> quarter of 20</w:t>
      </w:r>
      <w:r>
        <w:rPr>
          <w:rFonts w:ascii="Calibri" w:eastAsia="Calibri" w:hAnsi="Calibri" w:cs="Calibri"/>
          <w:szCs w:val="24"/>
        </w:rPr>
        <w:t xml:space="preserve">23/24. </w:t>
      </w:r>
      <w:r w:rsidRPr="00B6615A">
        <w:rPr>
          <w:rFonts w:ascii="Calibri" w:eastAsia="Calibri" w:hAnsi="Calibri" w:cs="Calibri"/>
          <w:szCs w:val="24"/>
        </w:rPr>
        <w:t>It addresses delivery of our corporate priorities by reviewing</w:t>
      </w:r>
      <w:r>
        <w:rPr>
          <w:rFonts w:ascii="Calibri" w:eastAsia="Calibri" w:hAnsi="Calibri" w:cs="Calibri"/>
          <w:szCs w:val="24"/>
        </w:rPr>
        <w:t>;</w:t>
      </w:r>
      <w:r w:rsidRPr="00B6615A">
        <w:rPr>
          <w:rFonts w:ascii="Calibri" w:eastAsia="Calibri" w:hAnsi="Calibri" w:cs="Calibri"/>
          <w:szCs w:val="24"/>
        </w:rPr>
        <w:t xml:space="preserve"> the alignment of performance against our Business Plan, </w:t>
      </w:r>
      <w:r>
        <w:rPr>
          <w:rFonts w:ascii="Calibri" w:eastAsia="Calibri" w:hAnsi="Calibri" w:cs="Calibri"/>
          <w:szCs w:val="24"/>
        </w:rPr>
        <w:t>a Nature-rich future for all: Year 2;</w:t>
      </w:r>
      <w:r w:rsidRPr="00B6615A">
        <w:rPr>
          <w:rFonts w:ascii="Calibri" w:eastAsia="Calibri" w:hAnsi="Calibri" w:cs="Calibri"/>
          <w:szCs w:val="24"/>
        </w:rPr>
        <w:t xml:space="preserve"> progress towards </w:t>
      </w:r>
      <w:r>
        <w:rPr>
          <w:rFonts w:ascii="Calibri" w:eastAsia="Calibri" w:hAnsi="Calibri" w:cs="Calibri"/>
          <w:szCs w:val="24"/>
        </w:rPr>
        <w:t>maximising our available budget;</w:t>
      </w:r>
      <w:r w:rsidRPr="00B6615A">
        <w:rPr>
          <w:rFonts w:ascii="Calibri" w:eastAsia="Calibri" w:hAnsi="Calibri" w:cs="Calibri"/>
          <w:szCs w:val="24"/>
        </w:rPr>
        <w:t xml:space="preserve"> assessing risks for delivery</w:t>
      </w:r>
      <w:r>
        <w:rPr>
          <w:rFonts w:ascii="Calibri" w:eastAsia="Calibri" w:hAnsi="Calibri" w:cs="Calibri"/>
          <w:szCs w:val="24"/>
        </w:rPr>
        <w:t>;</w:t>
      </w:r>
      <w:r w:rsidRPr="00B6615A">
        <w:rPr>
          <w:rFonts w:ascii="Calibri" w:eastAsia="Calibri" w:hAnsi="Calibri" w:cs="Calibri"/>
          <w:szCs w:val="24"/>
        </w:rPr>
        <w:t xml:space="preserve"> and reviewing people information </w:t>
      </w:r>
      <w:r w:rsidRPr="00CD5336">
        <w:rPr>
          <w:rFonts w:ascii="Calibri" w:eastAsia="Calibri" w:hAnsi="Calibri" w:cs="Calibri"/>
          <w:color w:val="000000" w:themeColor="text1"/>
          <w:szCs w:val="24"/>
        </w:rPr>
        <w:t>supporting the resourcing of our work.  These support delive</w:t>
      </w:r>
      <w:r>
        <w:rPr>
          <w:rFonts w:ascii="Calibri" w:eastAsia="Calibri" w:hAnsi="Calibri" w:cs="Calibri"/>
          <w:color w:val="000000" w:themeColor="text1"/>
          <w:szCs w:val="24"/>
        </w:rPr>
        <w:t>ry of our Corporate Plan 2022-26</w:t>
      </w:r>
      <w:r w:rsidRPr="00CD5336">
        <w:rPr>
          <w:rFonts w:ascii="Calibri" w:eastAsia="Calibri" w:hAnsi="Calibri" w:cs="Calibri"/>
          <w:color w:val="000000" w:themeColor="text1"/>
          <w:szCs w:val="24"/>
        </w:rPr>
        <w:t>, A Nature-rich future for all.</w:t>
      </w:r>
    </w:p>
    <w:p w14:paraId="206CCEE3" w14:textId="213CBBF8" w:rsidR="008D20BE" w:rsidRPr="00A4300C" w:rsidRDefault="008D20BE" w:rsidP="00A4300C">
      <w:pPr>
        <w:pStyle w:val="Heading2"/>
        <w:spacing w:line="276" w:lineRule="auto"/>
        <w:rPr>
          <w:rFonts w:ascii="Calibri" w:eastAsia="Times New Roman" w:hAnsi="Calibri" w:cs="Calibri"/>
          <w:color w:val="000000" w:themeColor="text1"/>
          <w:szCs w:val="24"/>
        </w:rPr>
      </w:pPr>
      <w:r w:rsidRPr="00CD5336">
        <w:rPr>
          <w:rFonts w:ascii="Calibri" w:eastAsia="Times New Roman" w:hAnsi="Calibri" w:cs="Calibri"/>
          <w:color w:val="000000" w:themeColor="text1"/>
          <w:szCs w:val="24"/>
        </w:rPr>
        <w:t>Summary</w:t>
      </w:r>
      <w:r>
        <w:rPr>
          <w:rFonts w:ascii="Calibri" w:eastAsia="Times New Roman" w:hAnsi="Calibri" w:cs="Calibri"/>
          <w:color w:val="000000" w:themeColor="text1"/>
          <w:szCs w:val="24"/>
        </w:rPr>
        <w:t xml:space="preserve"> </w:t>
      </w:r>
    </w:p>
    <w:p w14:paraId="3B3CF0AC" w14:textId="69F531C7" w:rsidR="00D05C40" w:rsidRPr="00DE6935" w:rsidRDefault="00106424" w:rsidP="00025C49">
      <w:pPr>
        <w:pStyle w:val="ListParagraph"/>
        <w:numPr>
          <w:ilvl w:val="0"/>
          <w:numId w:val="1"/>
        </w:numPr>
        <w:spacing w:after="0"/>
        <w:rPr>
          <w:rFonts w:ascii="Calibri" w:eastAsia="Calibri" w:hAnsi="Calibri" w:cs="Calibri"/>
          <w:color w:val="000000" w:themeColor="text1"/>
          <w:szCs w:val="24"/>
        </w:rPr>
      </w:pPr>
      <w:r>
        <w:rPr>
          <w:rFonts w:ascii="Calibri" w:eastAsia="Calibri" w:hAnsi="Calibri" w:cs="Calibri"/>
          <w:color w:val="000000" w:themeColor="text1"/>
          <w:szCs w:val="24"/>
        </w:rPr>
        <w:t>Q2 saw</w:t>
      </w:r>
      <w:r w:rsidR="00D05C40" w:rsidRPr="00D05C40">
        <w:rPr>
          <w:rFonts w:ascii="Calibri" w:eastAsia="Calibri" w:hAnsi="Calibri" w:cs="Calibri"/>
          <w:color w:val="000000" w:themeColor="text1"/>
          <w:szCs w:val="24"/>
        </w:rPr>
        <w:t xml:space="preserve"> First Minister Humza Yousaf announce his first Programme for Government (</w:t>
      </w:r>
      <w:proofErr w:type="spellStart"/>
      <w:r w:rsidR="00D05C40" w:rsidRPr="00D05C40">
        <w:rPr>
          <w:rFonts w:ascii="Calibri" w:eastAsia="Calibri" w:hAnsi="Calibri" w:cs="Calibri"/>
          <w:color w:val="000000" w:themeColor="text1"/>
          <w:szCs w:val="24"/>
        </w:rPr>
        <w:t>PfG</w:t>
      </w:r>
      <w:proofErr w:type="spellEnd"/>
      <w:r w:rsidR="00D05C40" w:rsidRPr="00D05C40">
        <w:rPr>
          <w:rFonts w:ascii="Calibri" w:eastAsia="Calibri" w:hAnsi="Calibri" w:cs="Calibri"/>
          <w:color w:val="000000" w:themeColor="text1"/>
          <w:szCs w:val="24"/>
        </w:rPr>
        <w:t>).</w:t>
      </w:r>
      <w:r w:rsidR="00D05C40">
        <w:rPr>
          <w:rFonts w:ascii="Calibri" w:eastAsia="Calibri" w:hAnsi="Calibri" w:cs="Calibri"/>
          <w:color w:val="000000" w:themeColor="text1"/>
          <w:szCs w:val="24"/>
        </w:rPr>
        <w:t xml:space="preserve"> </w:t>
      </w:r>
      <w:r w:rsidR="00DE6935">
        <w:rPr>
          <w:lang w:eastAsia="en-GB"/>
        </w:rPr>
        <w:t xml:space="preserve">The Scottish Government </w:t>
      </w:r>
      <w:r w:rsidR="00357FB8">
        <w:rPr>
          <w:lang w:eastAsia="en-GB"/>
        </w:rPr>
        <w:t xml:space="preserve">(SG) </w:t>
      </w:r>
      <w:r w:rsidR="00DE6935">
        <w:rPr>
          <w:lang w:eastAsia="en-GB"/>
        </w:rPr>
        <w:t>maintained its commitment to</w:t>
      </w:r>
      <w:r w:rsidR="00DE6935" w:rsidRPr="00032251">
        <w:rPr>
          <w:lang w:eastAsia="en-GB"/>
        </w:rPr>
        <w:t xml:space="preserve"> </w:t>
      </w:r>
      <w:r w:rsidR="00DE6935">
        <w:rPr>
          <w:lang w:eastAsia="en-GB"/>
        </w:rPr>
        <w:t>spending</w:t>
      </w:r>
      <w:r w:rsidR="00441B5A">
        <w:rPr>
          <w:lang w:eastAsia="en-GB"/>
        </w:rPr>
        <w:t xml:space="preserve"> £500 million o</w:t>
      </w:r>
      <w:r w:rsidR="00DE6935" w:rsidRPr="00032251">
        <w:rPr>
          <w:lang w:eastAsia="en-GB"/>
        </w:rPr>
        <w:t xml:space="preserve">n our natural environment to drive landscape scale change, including through </w:t>
      </w:r>
      <w:r w:rsidR="00DE6935">
        <w:rPr>
          <w:lang w:eastAsia="en-GB"/>
        </w:rPr>
        <w:t>the</w:t>
      </w:r>
      <w:r w:rsidR="00DE6935" w:rsidRPr="00032251">
        <w:rPr>
          <w:lang w:eastAsia="en-GB"/>
        </w:rPr>
        <w:t xml:space="preserve"> £65 million Nature Restoration Fund and through new financial support for Nature Networks</w:t>
      </w:r>
      <w:r w:rsidR="00441B5A">
        <w:rPr>
          <w:lang w:eastAsia="en-GB"/>
        </w:rPr>
        <w:t>.</w:t>
      </w:r>
    </w:p>
    <w:p w14:paraId="2EDD771A" w14:textId="121C4A41" w:rsidR="00106424" w:rsidRDefault="00357FB8" w:rsidP="00025C49">
      <w:pPr>
        <w:pStyle w:val="ListParagraph"/>
        <w:numPr>
          <w:ilvl w:val="0"/>
          <w:numId w:val="1"/>
        </w:numPr>
        <w:spacing w:after="0"/>
        <w:rPr>
          <w:rFonts w:ascii="Calibri" w:eastAsia="Calibri" w:hAnsi="Calibri" w:cs="Calibri"/>
          <w:color w:val="000000" w:themeColor="text1"/>
          <w:szCs w:val="24"/>
        </w:rPr>
      </w:pPr>
      <w:r>
        <w:rPr>
          <w:rFonts w:ascii="Calibri" w:eastAsia="Calibri" w:hAnsi="Calibri" w:cs="Calibri"/>
          <w:color w:val="000000" w:themeColor="text1"/>
          <w:szCs w:val="24"/>
        </w:rPr>
        <w:t>SG</w:t>
      </w:r>
      <w:r w:rsidR="008F6296" w:rsidRPr="008F6296">
        <w:rPr>
          <w:rFonts w:ascii="Calibri" w:eastAsia="Calibri" w:hAnsi="Calibri" w:cs="Calibri"/>
          <w:color w:val="000000" w:themeColor="text1"/>
          <w:szCs w:val="24"/>
        </w:rPr>
        <w:t xml:space="preserve"> launch</w:t>
      </w:r>
      <w:r w:rsidR="00D05C40">
        <w:rPr>
          <w:rFonts w:ascii="Calibri" w:eastAsia="Calibri" w:hAnsi="Calibri" w:cs="Calibri"/>
          <w:color w:val="000000" w:themeColor="text1"/>
          <w:szCs w:val="24"/>
        </w:rPr>
        <w:t>ed</w:t>
      </w:r>
      <w:r w:rsidR="008F6296" w:rsidRPr="008F6296">
        <w:rPr>
          <w:rFonts w:ascii="Calibri" w:eastAsia="Calibri" w:hAnsi="Calibri" w:cs="Calibri"/>
          <w:color w:val="000000" w:themeColor="text1"/>
          <w:szCs w:val="24"/>
        </w:rPr>
        <w:t xml:space="preserve"> the consultation on the Scottish Biodiversity Strategy, the Strategy's first five-year Delivery Plan</w:t>
      </w:r>
      <w:r w:rsidR="008F6296" w:rsidRPr="0086120C">
        <w:rPr>
          <w:rFonts w:ascii="Calibri" w:eastAsia="Calibri" w:hAnsi="Calibri" w:cs="Calibri"/>
          <w:color w:val="000000" w:themeColor="text1"/>
          <w:szCs w:val="24"/>
        </w:rPr>
        <w:t>, 30</w:t>
      </w:r>
      <w:r>
        <w:rPr>
          <w:rFonts w:ascii="Calibri" w:eastAsia="Calibri" w:hAnsi="Calibri" w:cs="Calibri"/>
          <w:color w:val="000000" w:themeColor="text1"/>
          <w:szCs w:val="24"/>
        </w:rPr>
        <w:t>x3</w:t>
      </w:r>
      <w:r w:rsidR="008F6296" w:rsidRPr="0086120C">
        <w:rPr>
          <w:rFonts w:ascii="Calibri" w:eastAsia="Calibri" w:hAnsi="Calibri" w:cs="Calibri"/>
          <w:color w:val="000000" w:themeColor="text1"/>
          <w:szCs w:val="24"/>
        </w:rPr>
        <w:t xml:space="preserve">0, Nature Networks, National Parks, and statutory nature targets, marking the culmination of a huge amount of effort from </w:t>
      </w:r>
      <w:r w:rsidR="008F6296">
        <w:rPr>
          <w:rFonts w:ascii="Calibri" w:eastAsia="Calibri" w:hAnsi="Calibri" w:cs="Calibri"/>
          <w:color w:val="000000" w:themeColor="text1"/>
          <w:szCs w:val="24"/>
        </w:rPr>
        <w:t xml:space="preserve">NatureScot, working closely with colleagues in </w:t>
      </w:r>
      <w:r w:rsidR="008F6296" w:rsidRPr="008F6296">
        <w:rPr>
          <w:rFonts w:ascii="Calibri" w:eastAsia="Calibri" w:hAnsi="Calibri" w:cs="Calibri"/>
          <w:color w:val="000000" w:themeColor="text1"/>
          <w:szCs w:val="24"/>
        </w:rPr>
        <w:t>Scottish Government</w:t>
      </w:r>
      <w:r w:rsidR="008F6296">
        <w:rPr>
          <w:rFonts w:ascii="Calibri" w:eastAsia="Calibri" w:hAnsi="Calibri" w:cs="Calibri"/>
          <w:color w:val="000000" w:themeColor="text1"/>
          <w:szCs w:val="24"/>
        </w:rPr>
        <w:t>.</w:t>
      </w:r>
    </w:p>
    <w:p w14:paraId="436DD4B1" w14:textId="20AE4554" w:rsidR="00DE6935" w:rsidRDefault="00DE6935" w:rsidP="00025C49">
      <w:pPr>
        <w:pStyle w:val="ListParagraph"/>
        <w:numPr>
          <w:ilvl w:val="0"/>
          <w:numId w:val="1"/>
        </w:numPr>
        <w:spacing w:after="0"/>
        <w:rPr>
          <w:rFonts w:ascii="Calibri" w:eastAsia="Calibri" w:hAnsi="Calibri" w:cs="Calibri"/>
          <w:color w:val="000000" w:themeColor="text1"/>
          <w:szCs w:val="24"/>
        </w:rPr>
      </w:pPr>
      <w:r w:rsidRPr="00DE6935">
        <w:rPr>
          <w:rFonts w:ascii="Calibri" w:eastAsia="Calibri" w:hAnsi="Calibri" w:cs="Calibri"/>
          <w:color w:val="000000" w:themeColor="text1"/>
          <w:szCs w:val="24"/>
        </w:rPr>
        <w:t>The Scottish Parliament has voted to approve changes to secondary legislation relating to deer management in Scotland</w:t>
      </w:r>
      <w:r>
        <w:rPr>
          <w:rFonts w:ascii="Calibri" w:eastAsia="Calibri" w:hAnsi="Calibri" w:cs="Calibri"/>
          <w:color w:val="000000" w:themeColor="text1"/>
          <w:szCs w:val="24"/>
        </w:rPr>
        <w:t xml:space="preserve">. </w:t>
      </w:r>
      <w:r w:rsidRPr="00DE6935">
        <w:rPr>
          <w:rFonts w:ascii="Calibri" w:eastAsia="Calibri" w:hAnsi="Calibri" w:cs="Calibri"/>
          <w:color w:val="000000" w:themeColor="text1"/>
          <w:szCs w:val="24"/>
        </w:rPr>
        <w:t>The move implements recommendations of the Deer Working Group that were accepted by the Scottish Government</w:t>
      </w:r>
      <w:r w:rsidR="00B95587">
        <w:rPr>
          <w:rFonts w:ascii="Calibri" w:eastAsia="Calibri" w:hAnsi="Calibri" w:cs="Calibri"/>
          <w:color w:val="000000" w:themeColor="text1"/>
          <w:szCs w:val="24"/>
        </w:rPr>
        <w:t>. They</w:t>
      </w:r>
      <w:r w:rsidRPr="00DE6935">
        <w:rPr>
          <w:rFonts w:ascii="Calibri" w:eastAsia="Calibri" w:hAnsi="Calibri" w:cs="Calibri"/>
          <w:color w:val="000000" w:themeColor="text1"/>
          <w:szCs w:val="24"/>
        </w:rPr>
        <w:t xml:space="preserve"> are a signal to the deer sector that the Scottish Government and NatureScot are pressing ahead with changes to deer management </w:t>
      </w:r>
      <w:r w:rsidR="009617CA" w:rsidRPr="00DE6935">
        <w:rPr>
          <w:rFonts w:ascii="Calibri" w:eastAsia="Calibri" w:hAnsi="Calibri" w:cs="Calibri"/>
          <w:color w:val="000000" w:themeColor="text1"/>
          <w:szCs w:val="24"/>
        </w:rPr>
        <w:t>to</w:t>
      </w:r>
      <w:r w:rsidRPr="00DE6935">
        <w:rPr>
          <w:rFonts w:ascii="Calibri" w:eastAsia="Calibri" w:hAnsi="Calibri" w:cs="Calibri"/>
          <w:color w:val="000000" w:themeColor="text1"/>
          <w:szCs w:val="24"/>
        </w:rPr>
        <w:t xml:space="preserve"> meet the ambitions of the Scottish Biodiversity Strategy and tackle the </w:t>
      </w:r>
      <w:r w:rsidR="009617CA" w:rsidRPr="00DE6935">
        <w:rPr>
          <w:rFonts w:ascii="Calibri" w:eastAsia="Calibri" w:hAnsi="Calibri" w:cs="Calibri"/>
          <w:color w:val="000000" w:themeColor="text1"/>
          <w:szCs w:val="24"/>
        </w:rPr>
        <w:t xml:space="preserve">nature </w:t>
      </w:r>
      <w:r w:rsidRPr="00DE6935">
        <w:rPr>
          <w:rFonts w:ascii="Calibri" w:eastAsia="Calibri" w:hAnsi="Calibri" w:cs="Calibri"/>
          <w:color w:val="000000" w:themeColor="text1"/>
          <w:szCs w:val="24"/>
        </w:rPr>
        <w:t xml:space="preserve">and </w:t>
      </w:r>
      <w:r w:rsidR="009617CA" w:rsidRPr="00DE6935">
        <w:rPr>
          <w:rFonts w:ascii="Calibri" w:eastAsia="Calibri" w:hAnsi="Calibri" w:cs="Calibri"/>
          <w:color w:val="000000" w:themeColor="text1"/>
          <w:szCs w:val="24"/>
        </w:rPr>
        <w:t xml:space="preserve">climate </w:t>
      </w:r>
      <w:r w:rsidRPr="00DE6935">
        <w:rPr>
          <w:rFonts w:ascii="Calibri" w:eastAsia="Calibri" w:hAnsi="Calibri" w:cs="Calibri"/>
          <w:color w:val="000000" w:themeColor="text1"/>
          <w:szCs w:val="24"/>
        </w:rPr>
        <w:t>crises.</w:t>
      </w:r>
    </w:p>
    <w:p w14:paraId="49780F75" w14:textId="2ED2224F" w:rsidR="00912C08" w:rsidRPr="004C1FC7" w:rsidRDefault="00106424" w:rsidP="00025C49">
      <w:pPr>
        <w:pStyle w:val="ListParagraph"/>
        <w:numPr>
          <w:ilvl w:val="0"/>
          <w:numId w:val="1"/>
        </w:numPr>
        <w:spacing w:after="0"/>
        <w:rPr>
          <w:rFonts w:ascii="Calibri" w:eastAsia="Calibri" w:hAnsi="Calibri" w:cs="Calibri"/>
          <w:color w:val="000000" w:themeColor="text1"/>
        </w:rPr>
      </w:pPr>
      <w:r>
        <w:rPr>
          <w:rFonts w:ascii="Calibri" w:eastAsia="Calibri" w:hAnsi="Calibri" w:cs="Calibri"/>
          <w:color w:val="000000" w:themeColor="text1"/>
          <w:szCs w:val="24"/>
        </w:rPr>
        <w:t xml:space="preserve">Internally, </w:t>
      </w:r>
      <w:r w:rsidR="00912C08" w:rsidRPr="00912C08">
        <w:rPr>
          <w:rFonts w:ascii="Calibri" w:eastAsia="Calibri" w:hAnsi="Calibri" w:cs="Calibri"/>
          <w:color w:val="000000" w:themeColor="text1"/>
        </w:rPr>
        <w:t>our intranet has won a silver award at this year’s Intranet and Digital Workplace Awards.</w:t>
      </w:r>
      <w:r w:rsidR="00912C08">
        <w:rPr>
          <w:rFonts w:ascii="Calibri" w:eastAsia="Calibri" w:hAnsi="Calibri" w:cs="Calibri"/>
          <w:color w:val="000000" w:themeColor="text1"/>
        </w:rPr>
        <w:t xml:space="preserve"> T</w:t>
      </w:r>
      <w:r w:rsidR="00912C08" w:rsidRPr="00912C08">
        <w:rPr>
          <w:rFonts w:ascii="Calibri" w:eastAsia="Calibri" w:hAnsi="Calibri" w:cs="Calibri"/>
          <w:color w:val="000000" w:themeColor="text1"/>
          <w:szCs w:val="24"/>
        </w:rPr>
        <w:t>he annual global awards, run by Step Two Designs, recognise outstanding contributions to the fields of intranets, digital workplaces, and digital employee experience.</w:t>
      </w:r>
      <w:r w:rsidR="00912C08">
        <w:rPr>
          <w:rFonts w:ascii="Calibri" w:eastAsia="Calibri" w:hAnsi="Calibri" w:cs="Calibri"/>
          <w:color w:val="000000" w:themeColor="text1"/>
          <w:szCs w:val="24"/>
        </w:rPr>
        <w:t xml:space="preserve"> </w:t>
      </w:r>
      <w:r w:rsidR="00912C08" w:rsidRPr="00912C08">
        <w:rPr>
          <w:rFonts w:ascii="Calibri" w:eastAsia="Calibri" w:hAnsi="Calibri" w:cs="Calibri"/>
          <w:color w:val="000000" w:themeColor="text1"/>
          <w:szCs w:val="24"/>
        </w:rPr>
        <w:t>This is the second time we’ve won a silver award in the “essential intranet” category. On this occasion we are the only UK winners.</w:t>
      </w:r>
    </w:p>
    <w:p w14:paraId="6B4292AC" w14:textId="71C3C241" w:rsidR="004C1FC7" w:rsidRPr="000965F5" w:rsidRDefault="004C1FC7" w:rsidP="00025C49">
      <w:pPr>
        <w:pStyle w:val="ListParagraph"/>
        <w:numPr>
          <w:ilvl w:val="0"/>
          <w:numId w:val="1"/>
        </w:numPr>
        <w:spacing w:after="0"/>
        <w:rPr>
          <w:rFonts w:ascii="Calibri" w:eastAsia="Calibri" w:hAnsi="Calibri" w:cs="Calibri"/>
        </w:rPr>
      </w:pPr>
      <w:r w:rsidRPr="000965F5">
        <w:rPr>
          <w:rFonts w:ascii="Calibri" w:eastAsia="Calibri" w:hAnsi="Calibri" w:cs="Calibri"/>
          <w:szCs w:val="24"/>
        </w:rPr>
        <w:t>Generally, performance has held up well in the year to date so far reflected in the positive position reflected in this report. There may have be</w:t>
      </w:r>
      <w:r w:rsidR="000965F5" w:rsidRPr="000965F5">
        <w:rPr>
          <w:rFonts w:ascii="Calibri" w:eastAsia="Calibri" w:hAnsi="Calibri" w:cs="Calibri"/>
          <w:szCs w:val="24"/>
        </w:rPr>
        <w:t>en</w:t>
      </w:r>
      <w:r w:rsidRPr="000965F5">
        <w:rPr>
          <w:rFonts w:ascii="Calibri" w:eastAsia="Calibri" w:hAnsi="Calibri" w:cs="Calibri"/>
          <w:szCs w:val="24"/>
        </w:rPr>
        <w:t xml:space="preserve"> scope to achieve even more had we, for example, had further funding for more deer officers or to support projects aimed at the 30x30 objective.</w:t>
      </w:r>
    </w:p>
    <w:p w14:paraId="43257044" w14:textId="77777777" w:rsidR="00420BCA" w:rsidRPr="004C1FC7" w:rsidRDefault="00420BCA" w:rsidP="00420BCA">
      <w:pPr>
        <w:pStyle w:val="ListParagraph"/>
        <w:spacing w:after="0"/>
        <w:ind w:left="360"/>
        <w:rPr>
          <w:rFonts w:ascii="Calibri" w:eastAsia="Calibri" w:hAnsi="Calibri" w:cs="Calibri"/>
          <w:color w:val="FF0000"/>
        </w:rPr>
      </w:pPr>
    </w:p>
    <w:p w14:paraId="442E91AB" w14:textId="680A340A" w:rsidR="004C1FC7" w:rsidRPr="004C1FC7" w:rsidRDefault="004C1FC7" w:rsidP="004C1FC7">
      <w:pPr>
        <w:pStyle w:val="Heading2"/>
        <w:spacing w:line="276" w:lineRule="auto"/>
        <w:rPr>
          <w:rFonts w:ascii="Calibri" w:eastAsia="Times New Roman" w:hAnsi="Calibri" w:cs="Calibri"/>
          <w:color w:val="000000" w:themeColor="text1"/>
          <w:szCs w:val="24"/>
        </w:rPr>
      </w:pPr>
      <w:r w:rsidRPr="004C1FC7">
        <w:rPr>
          <w:rFonts w:ascii="Calibri" w:eastAsia="Times New Roman" w:hAnsi="Calibri" w:cs="Calibri"/>
          <w:color w:val="000000" w:themeColor="text1"/>
          <w:szCs w:val="24"/>
        </w:rPr>
        <w:t>Forward Look</w:t>
      </w:r>
    </w:p>
    <w:p w14:paraId="4E7B0CEF" w14:textId="38ECEE23" w:rsidR="002A5DDE" w:rsidRPr="000965F5" w:rsidRDefault="002A5DDE" w:rsidP="00025C49">
      <w:pPr>
        <w:pStyle w:val="ListParagraph"/>
        <w:numPr>
          <w:ilvl w:val="0"/>
          <w:numId w:val="1"/>
        </w:numPr>
        <w:spacing w:after="0"/>
        <w:rPr>
          <w:rFonts w:ascii="Calibri" w:eastAsia="Calibri" w:hAnsi="Calibri" w:cs="Calibri"/>
        </w:rPr>
      </w:pPr>
      <w:r w:rsidRPr="000965F5">
        <w:rPr>
          <w:rFonts w:ascii="Calibri" w:eastAsia="Calibri" w:hAnsi="Calibri" w:cs="Calibri"/>
          <w:szCs w:val="24"/>
        </w:rPr>
        <w:t xml:space="preserve">While budget challenges will cause additional pressure on our resources as we </w:t>
      </w:r>
      <w:r w:rsidR="001F6ABE" w:rsidRPr="000965F5">
        <w:rPr>
          <w:rFonts w:ascii="Calibri" w:eastAsia="Calibri" w:hAnsi="Calibri" w:cs="Calibri"/>
          <w:szCs w:val="24"/>
        </w:rPr>
        <w:t>plan for</w:t>
      </w:r>
      <w:r w:rsidRPr="000965F5">
        <w:rPr>
          <w:rFonts w:ascii="Calibri" w:eastAsia="Calibri" w:hAnsi="Calibri" w:cs="Calibri"/>
          <w:szCs w:val="24"/>
        </w:rPr>
        <w:t xml:space="preserve"> 2024/25, most of our metrics are </w:t>
      </w:r>
      <w:r w:rsidR="001F6ABE" w:rsidRPr="000965F5">
        <w:rPr>
          <w:rFonts w:ascii="Calibri" w:eastAsia="Calibri" w:hAnsi="Calibri" w:cs="Calibri"/>
          <w:szCs w:val="24"/>
        </w:rPr>
        <w:t xml:space="preserve">currently </w:t>
      </w:r>
      <w:r w:rsidRPr="000965F5">
        <w:rPr>
          <w:rFonts w:ascii="Calibri" w:eastAsia="Calibri" w:hAnsi="Calibri" w:cs="Calibri"/>
          <w:szCs w:val="24"/>
        </w:rPr>
        <w:t>rated</w:t>
      </w:r>
      <w:r w:rsidR="001F6ABE" w:rsidRPr="000965F5">
        <w:rPr>
          <w:rFonts w:ascii="Calibri" w:eastAsia="Calibri" w:hAnsi="Calibri" w:cs="Calibri"/>
          <w:szCs w:val="24"/>
        </w:rPr>
        <w:t xml:space="preserve"> </w:t>
      </w:r>
      <w:r w:rsidRPr="000965F5">
        <w:rPr>
          <w:rFonts w:ascii="Calibri" w:eastAsia="Calibri" w:hAnsi="Calibri" w:cs="Calibri"/>
          <w:szCs w:val="24"/>
        </w:rPr>
        <w:t xml:space="preserve">green as we are progressing well against the targets we have planned for current available resources. </w:t>
      </w:r>
      <w:r w:rsidR="001F6ABE" w:rsidRPr="000965F5">
        <w:rPr>
          <w:rFonts w:ascii="Calibri" w:eastAsia="Calibri" w:hAnsi="Calibri" w:cs="Calibri"/>
          <w:szCs w:val="24"/>
        </w:rPr>
        <w:t>Pressure on resources will lead to challenges in maintaining performance and progress at current levels in the short to medium term.</w:t>
      </w:r>
    </w:p>
    <w:p w14:paraId="722DD4D9" w14:textId="1DF5CB74" w:rsidR="00106424" w:rsidRPr="00106424" w:rsidRDefault="00106424" w:rsidP="00A15D6F">
      <w:pPr>
        <w:pStyle w:val="ListParagraph"/>
        <w:spacing w:after="0"/>
        <w:ind w:left="360"/>
        <w:rPr>
          <w:rFonts w:ascii="Calibri" w:eastAsia="Calibri" w:hAnsi="Calibri" w:cs="Calibri"/>
          <w:color w:val="000000" w:themeColor="text1"/>
          <w:szCs w:val="24"/>
        </w:rPr>
      </w:pPr>
    </w:p>
    <w:tbl>
      <w:tblPr>
        <w:tblStyle w:val="GridTable4-Accent1"/>
        <w:tblpPr w:leftFromText="180" w:rightFromText="180" w:vertAnchor="text" w:horzAnchor="margin" w:tblpY="12"/>
        <w:tblW w:w="9351" w:type="dxa"/>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8D20BE" w:rsidRPr="00B6615A" w14:paraId="035CF796" w14:textId="77777777" w:rsidTr="008D20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4" w:type="dxa"/>
          </w:tcPr>
          <w:p w14:paraId="09499F07" w14:textId="77777777" w:rsidR="008D20BE" w:rsidRPr="00B6615A" w:rsidRDefault="008D20BE" w:rsidP="008D20BE">
            <w:pPr>
              <w:spacing w:line="276" w:lineRule="auto"/>
              <w:jc w:val="center"/>
              <w:rPr>
                <w:rFonts w:ascii="Calibri" w:hAnsi="Calibri" w:cs="Calibri"/>
                <w:szCs w:val="24"/>
              </w:rPr>
            </w:pPr>
            <w:bookmarkStart w:id="0" w:name="_Hlk147301372"/>
            <w:r w:rsidRPr="00B6615A">
              <w:rPr>
                <w:rFonts w:ascii="Calibri" w:hAnsi="Calibri" w:cs="Calibri"/>
                <w:color w:val="000000" w:themeColor="text1"/>
                <w:szCs w:val="24"/>
              </w:rPr>
              <w:lastRenderedPageBreak/>
              <w:t>PRIORITY PERFORMANCE</w:t>
            </w:r>
          </w:p>
        </w:tc>
        <w:tc>
          <w:tcPr>
            <w:tcW w:w="2136" w:type="dxa"/>
          </w:tcPr>
          <w:p w14:paraId="68668A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c>
          <w:tcPr>
            <w:tcW w:w="2443" w:type="dxa"/>
          </w:tcPr>
          <w:p w14:paraId="40E53B2B"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CORPORATE RISK</w:t>
            </w:r>
          </w:p>
        </w:tc>
        <w:tc>
          <w:tcPr>
            <w:tcW w:w="1948" w:type="dxa"/>
          </w:tcPr>
          <w:p w14:paraId="351BB78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color w:val="000000" w:themeColor="text1"/>
                <w:szCs w:val="24"/>
              </w:rPr>
              <w:t>NUMBER</w:t>
            </w:r>
          </w:p>
        </w:tc>
      </w:tr>
      <w:tr w:rsidR="008D20BE" w:rsidRPr="00B6615A" w14:paraId="0A2CD7C0"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2092EFCA" w14:textId="77777777" w:rsidR="008D20BE" w:rsidRPr="00B6615A" w:rsidRDefault="008D20BE" w:rsidP="008D20BE">
            <w:pPr>
              <w:spacing w:line="276" w:lineRule="auto"/>
              <w:jc w:val="center"/>
              <w:rPr>
                <w:rFonts w:ascii="Calibri" w:hAnsi="Calibri" w:cs="Calibri"/>
                <w:szCs w:val="24"/>
              </w:rPr>
            </w:pPr>
            <w:r>
              <w:rPr>
                <w:rFonts w:ascii="Calibri" w:hAnsi="Calibri" w:cs="Calibri"/>
                <w:szCs w:val="24"/>
              </w:rPr>
              <w:t>Objectives</w:t>
            </w:r>
          </w:p>
        </w:tc>
        <w:tc>
          <w:tcPr>
            <w:tcW w:w="2136" w:type="dxa"/>
          </w:tcPr>
          <w:p w14:paraId="4005D7FF" w14:textId="77777777" w:rsidR="008D20BE" w:rsidRPr="00794997"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DE6935">
              <w:rPr>
                <w:rFonts w:ascii="Calibri" w:hAnsi="Calibri" w:cs="Calibri"/>
                <w:b/>
                <w:szCs w:val="24"/>
              </w:rPr>
              <w:t>15</w:t>
            </w:r>
          </w:p>
        </w:tc>
        <w:tc>
          <w:tcPr>
            <w:tcW w:w="2443" w:type="dxa"/>
          </w:tcPr>
          <w:p w14:paraId="3B3C33A5"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B6615A">
              <w:rPr>
                <w:rFonts w:ascii="Calibri" w:hAnsi="Calibri" w:cs="Calibri"/>
                <w:b/>
                <w:szCs w:val="24"/>
              </w:rPr>
              <w:t>Corporate Risks</w:t>
            </w:r>
          </w:p>
        </w:tc>
        <w:tc>
          <w:tcPr>
            <w:tcW w:w="1948" w:type="dxa"/>
          </w:tcPr>
          <w:p w14:paraId="0F960AE6" w14:textId="1E16EBF6" w:rsidR="008D20BE" w:rsidRPr="00032678" w:rsidRDefault="00930721"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szCs w:val="24"/>
              </w:rPr>
            </w:pPr>
            <w:r w:rsidRPr="00930721">
              <w:rPr>
                <w:rFonts w:ascii="Calibri" w:hAnsi="Calibri" w:cs="Calibri"/>
                <w:b/>
                <w:szCs w:val="24"/>
              </w:rPr>
              <w:t>10</w:t>
            </w:r>
          </w:p>
        </w:tc>
      </w:tr>
      <w:tr w:rsidR="008D20BE" w:rsidRPr="00B6615A" w14:paraId="03F70509" w14:textId="77777777" w:rsidTr="008D20BE">
        <w:tc>
          <w:tcPr>
            <w:cnfStyle w:val="001000000000" w:firstRow="0" w:lastRow="0" w:firstColumn="1" w:lastColumn="0" w:oddVBand="0" w:evenVBand="0" w:oddHBand="0" w:evenHBand="0" w:firstRowFirstColumn="0" w:firstRowLastColumn="0" w:lastRowFirstColumn="0" w:lastRowLastColumn="0"/>
            <w:tcW w:w="2824" w:type="dxa"/>
          </w:tcPr>
          <w:p w14:paraId="755D8B15"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00B050"/>
                <w:szCs w:val="24"/>
              </w:rPr>
              <w:t>On Track</w:t>
            </w:r>
          </w:p>
        </w:tc>
        <w:tc>
          <w:tcPr>
            <w:tcW w:w="2136" w:type="dxa"/>
          </w:tcPr>
          <w:p w14:paraId="20AD9686" w14:textId="2C074E6A" w:rsidR="008D20BE" w:rsidRPr="00A45D71" w:rsidRDefault="00794997"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A45D71">
              <w:rPr>
                <w:rFonts w:ascii="Calibri" w:hAnsi="Calibri" w:cs="Calibri"/>
                <w:szCs w:val="24"/>
              </w:rPr>
              <w:t>1</w:t>
            </w:r>
            <w:r w:rsidR="00B71A8F">
              <w:rPr>
                <w:rFonts w:ascii="Calibri" w:hAnsi="Calibri" w:cs="Calibri"/>
                <w:szCs w:val="24"/>
              </w:rPr>
              <w:t>4</w:t>
            </w:r>
          </w:p>
        </w:tc>
        <w:tc>
          <w:tcPr>
            <w:tcW w:w="2443" w:type="dxa"/>
          </w:tcPr>
          <w:p w14:paraId="3E7449C1" w14:textId="77777777" w:rsidR="008D20BE" w:rsidRPr="00B6615A" w:rsidRDefault="008D20BE"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Increased Score</w:t>
            </w:r>
          </w:p>
        </w:tc>
        <w:tc>
          <w:tcPr>
            <w:tcW w:w="1948" w:type="dxa"/>
          </w:tcPr>
          <w:p w14:paraId="0E3E3800" w14:textId="7F1E0FD7" w:rsidR="008D20BE" w:rsidRPr="00E46A6D" w:rsidRDefault="00E241B1" w:rsidP="008D20BE">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1</w:t>
            </w:r>
          </w:p>
        </w:tc>
      </w:tr>
      <w:tr w:rsidR="008D20BE" w:rsidRPr="00B6615A" w14:paraId="6A10B312" w14:textId="77777777" w:rsidTr="008D20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4" w:type="dxa"/>
          </w:tcPr>
          <w:p w14:paraId="3688E41D" w14:textId="77777777" w:rsidR="008D20BE" w:rsidRPr="00E52E7B" w:rsidRDefault="008D20BE" w:rsidP="008D20BE">
            <w:pPr>
              <w:spacing w:line="276" w:lineRule="auto"/>
              <w:jc w:val="center"/>
              <w:rPr>
                <w:rFonts w:ascii="Calibri" w:hAnsi="Calibri" w:cs="Calibri"/>
                <w:szCs w:val="24"/>
              </w:rPr>
            </w:pPr>
            <w:r w:rsidRPr="00E52E7B">
              <w:rPr>
                <w:rFonts w:ascii="Calibri" w:hAnsi="Calibri" w:cs="Calibri"/>
                <w:color w:val="F79646" w:themeColor="accent6"/>
                <w:szCs w:val="24"/>
              </w:rPr>
              <w:t>Minor Slippage</w:t>
            </w:r>
          </w:p>
        </w:tc>
        <w:tc>
          <w:tcPr>
            <w:tcW w:w="2136" w:type="dxa"/>
          </w:tcPr>
          <w:p w14:paraId="3CA40F11" w14:textId="7DFB18E4" w:rsidR="008D20BE" w:rsidRPr="00A45D71" w:rsidRDefault="00794997"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A45D71">
              <w:rPr>
                <w:rFonts w:ascii="Calibri" w:hAnsi="Calibri" w:cs="Calibri"/>
                <w:szCs w:val="24"/>
              </w:rPr>
              <w:t>1</w:t>
            </w:r>
          </w:p>
        </w:tc>
        <w:tc>
          <w:tcPr>
            <w:tcW w:w="2443" w:type="dxa"/>
          </w:tcPr>
          <w:p w14:paraId="7CE2D38B" w14:textId="77777777" w:rsidR="008D20BE" w:rsidRPr="00B6615A" w:rsidRDefault="008D20BE"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Decreased Score</w:t>
            </w:r>
          </w:p>
        </w:tc>
        <w:tc>
          <w:tcPr>
            <w:tcW w:w="1948" w:type="dxa"/>
          </w:tcPr>
          <w:p w14:paraId="24DA6991" w14:textId="7AA814DC" w:rsidR="008D20BE" w:rsidRPr="00E46A6D" w:rsidRDefault="00930721" w:rsidP="008D20BE">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0</w:t>
            </w:r>
          </w:p>
        </w:tc>
      </w:tr>
    </w:tbl>
    <w:tbl>
      <w:tblPr>
        <w:tblStyle w:val="GridTable4-Accent1"/>
        <w:tblpPr w:leftFromText="180" w:rightFromText="180" w:vertAnchor="text" w:horzAnchor="margin" w:tblpY="1616"/>
        <w:tblW w:w="9351" w:type="dxa"/>
        <w:tblLook w:val="04A0" w:firstRow="1" w:lastRow="0" w:firstColumn="1" w:lastColumn="0" w:noHBand="0" w:noVBand="1"/>
        <w:tblCaption w:val="Priority and risk performance"/>
        <w:tblDescription w:val="Summary of performance on the priorities and risks"/>
      </w:tblPr>
      <w:tblGrid>
        <w:gridCol w:w="2824"/>
        <w:gridCol w:w="2136"/>
        <w:gridCol w:w="2443"/>
        <w:gridCol w:w="1948"/>
      </w:tblGrid>
      <w:tr w:rsidR="008D20BE" w:rsidRPr="00B6615A" w14:paraId="20722A55" w14:textId="77777777" w:rsidTr="008D20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24" w:type="dxa"/>
          </w:tcPr>
          <w:bookmarkEnd w:id="0"/>
          <w:p w14:paraId="1DB299C0" w14:textId="77777777" w:rsidR="008D20BE" w:rsidRPr="00B6615A" w:rsidRDefault="008D20BE" w:rsidP="008D20BE">
            <w:pPr>
              <w:spacing w:line="276" w:lineRule="auto"/>
              <w:jc w:val="center"/>
              <w:rPr>
                <w:rFonts w:ascii="Calibri" w:hAnsi="Calibri" w:cs="Calibri"/>
                <w:color w:val="auto"/>
                <w:szCs w:val="24"/>
              </w:rPr>
            </w:pPr>
            <w:r w:rsidRPr="00B6615A">
              <w:rPr>
                <w:rFonts w:ascii="Calibri" w:hAnsi="Calibri" w:cs="Calibri"/>
                <w:color w:val="auto"/>
                <w:szCs w:val="24"/>
              </w:rPr>
              <w:t>FINANCIAL METRICS</w:t>
            </w:r>
          </w:p>
        </w:tc>
        <w:tc>
          <w:tcPr>
            <w:tcW w:w="2136" w:type="dxa"/>
          </w:tcPr>
          <w:p w14:paraId="67C116EA"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c>
          <w:tcPr>
            <w:tcW w:w="2443" w:type="dxa"/>
          </w:tcPr>
          <w:p w14:paraId="759909BD"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PEOPLE METRICS</w:t>
            </w:r>
          </w:p>
        </w:tc>
        <w:tc>
          <w:tcPr>
            <w:tcW w:w="1948" w:type="dxa"/>
          </w:tcPr>
          <w:p w14:paraId="0B1785BC" w14:textId="77777777" w:rsidR="008D20BE" w:rsidRPr="00B6615A" w:rsidRDefault="008D20BE" w:rsidP="008D20BE">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Cs w:val="24"/>
              </w:rPr>
            </w:pPr>
            <w:r w:rsidRPr="00B6615A">
              <w:rPr>
                <w:rFonts w:ascii="Calibri" w:hAnsi="Calibri" w:cs="Calibri"/>
                <w:color w:val="auto"/>
                <w:szCs w:val="24"/>
              </w:rPr>
              <w:t>STATUS</w:t>
            </w:r>
          </w:p>
        </w:tc>
      </w:tr>
      <w:tr w:rsidR="00300974" w:rsidRPr="00B6615A" w14:paraId="5D1E0A5B" w14:textId="77777777" w:rsidTr="00E80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56CEB8B9" w14:textId="260931BC" w:rsidR="00300974" w:rsidRPr="00300974" w:rsidRDefault="00300974" w:rsidP="00300974">
            <w:pPr>
              <w:spacing w:line="276" w:lineRule="auto"/>
              <w:jc w:val="center"/>
              <w:rPr>
                <w:rFonts w:ascii="Calibri" w:hAnsi="Calibri" w:cs="Calibri"/>
                <w:b w:val="0"/>
                <w:bCs w:val="0"/>
                <w:szCs w:val="24"/>
              </w:rPr>
            </w:pPr>
            <w:r w:rsidRPr="00300974">
              <w:rPr>
                <w:rFonts w:ascii="Calibri" w:eastAsia="Times New Roman" w:hAnsi="Calibri" w:cs="Calibri"/>
                <w:b w:val="0"/>
                <w:bCs w:val="0"/>
                <w:color w:val="000000" w:themeColor="dark1"/>
                <w:kern w:val="24"/>
                <w:szCs w:val="24"/>
                <w:lang w:eastAsia="en-GB"/>
              </w:rPr>
              <w:t>Resource Budget</w:t>
            </w:r>
          </w:p>
        </w:tc>
        <w:tc>
          <w:tcPr>
            <w:tcW w:w="2136" w:type="dxa"/>
            <w:vAlign w:val="center"/>
          </w:tcPr>
          <w:p w14:paraId="539173BD" w14:textId="7230A1C7" w:rsidR="00300974" w:rsidRPr="00E52E7B"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B050"/>
                <w:szCs w:val="24"/>
                <w:lang w:eastAsia="en-GB"/>
              </w:rPr>
            </w:pPr>
            <w:r>
              <w:rPr>
                <w:rFonts w:ascii="Calibri" w:eastAsia="Times New Roman" w:hAnsi="Calibri" w:cs="Calibri"/>
                <w:b/>
                <w:color w:val="00B050"/>
                <w:szCs w:val="24"/>
                <w:lang w:eastAsia="en-GB"/>
              </w:rPr>
              <w:t>GREEN</w:t>
            </w:r>
          </w:p>
        </w:tc>
        <w:tc>
          <w:tcPr>
            <w:tcW w:w="2443" w:type="dxa"/>
          </w:tcPr>
          <w:p w14:paraId="0E11EE08" w14:textId="77777777" w:rsidR="00300974" w:rsidRPr="00B6615A"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Wellbeing</w:t>
            </w:r>
          </w:p>
        </w:tc>
        <w:tc>
          <w:tcPr>
            <w:tcW w:w="1948" w:type="dxa"/>
          </w:tcPr>
          <w:p w14:paraId="60E5709C" w14:textId="4580C0C3" w:rsidR="00300974" w:rsidRPr="00A4300C"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B050"/>
                <w:szCs w:val="24"/>
              </w:rPr>
            </w:pPr>
            <w:r w:rsidRPr="00A4300C">
              <w:rPr>
                <w:rFonts w:ascii="Calibri" w:hAnsi="Calibri" w:cs="Calibri"/>
                <w:b/>
                <w:bCs/>
                <w:color w:val="F79646" w:themeColor="accent6"/>
                <w:szCs w:val="24"/>
              </w:rPr>
              <w:t>AMBER</w:t>
            </w:r>
          </w:p>
        </w:tc>
      </w:tr>
      <w:tr w:rsidR="00300974" w:rsidRPr="00B6615A" w14:paraId="015CDD45" w14:textId="77777777" w:rsidTr="00E80188">
        <w:trPr>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30FFFB28" w14:textId="3FB2D767" w:rsidR="00300974" w:rsidRPr="00300974" w:rsidRDefault="00300974" w:rsidP="00300974">
            <w:pPr>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Capital</w:t>
            </w:r>
          </w:p>
        </w:tc>
        <w:tc>
          <w:tcPr>
            <w:tcW w:w="2136" w:type="dxa"/>
            <w:vAlign w:val="center"/>
          </w:tcPr>
          <w:p w14:paraId="6752F769" w14:textId="1A5E6A24" w:rsidR="00300974" w:rsidRDefault="00300974" w:rsidP="003009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B050"/>
                <w:szCs w:val="24"/>
                <w:lang w:eastAsia="en-GB"/>
              </w:rPr>
            </w:pPr>
            <w:r w:rsidRPr="00A4300C">
              <w:rPr>
                <w:rFonts w:ascii="Calibri" w:hAnsi="Calibri" w:cs="Calibri"/>
                <w:b/>
                <w:bCs/>
                <w:color w:val="F79646" w:themeColor="accent6"/>
                <w:szCs w:val="24"/>
              </w:rPr>
              <w:t>AMBER</w:t>
            </w:r>
          </w:p>
        </w:tc>
        <w:tc>
          <w:tcPr>
            <w:tcW w:w="2443" w:type="dxa"/>
          </w:tcPr>
          <w:p w14:paraId="74EA54BA" w14:textId="2FE6F915" w:rsidR="00300974" w:rsidRPr="00B6615A" w:rsidRDefault="00300974" w:rsidP="003009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Change Management</w:t>
            </w:r>
          </w:p>
        </w:tc>
        <w:tc>
          <w:tcPr>
            <w:tcW w:w="1948" w:type="dxa"/>
          </w:tcPr>
          <w:p w14:paraId="5CC15EC0" w14:textId="24A3E803" w:rsidR="00300974" w:rsidRPr="00A4300C" w:rsidRDefault="00300974" w:rsidP="0030097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rPr>
            </w:pPr>
            <w:r>
              <w:rPr>
                <w:rFonts w:ascii="Calibri" w:eastAsia="Times New Roman" w:hAnsi="Calibri" w:cs="Calibri"/>
                <w:b/>
                <w:color w:val="00B050"/>
                <w:szCs w:val="24"/>
                <w:lang w:eastAsia="en-GB"/>
              </w:rPr>
              <w:t>GREEN</w:t>
            </w:r>
          </w:p>
        </w:tc>
      </w:tr>
      <w:tr w:rsidR="00300974" w:rsidRPr="00B6615A" w14:paraId="64155784" w14:textId="77777777" w:rsidTr="00E80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64801E4C" w14:textId="1D479EEB" w:rsidR="00300974" w:rsidRPr="00300974" w:rsidRDefault="00300974" w:rsidP="00300974">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Indirect Capital</w:t>
            </w:r>
          </w:p>
        </w:tc>
        <w:tc>
          <w:tcPr>
            <w:tcW w:w="2136" w:type="dxa"/>
            <w:vAlign w:val="center"/>
          </w:tcPr>
          <w:p w14:paraId="22173043" w14:textId="01C8F99E" w:rsidR="00300974" w:rsidRPr="00A15D6F"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B050"/>
                <w:kern w:val="24"/>
                <w:szCs w:val="24"/>
                <w:lang w:eastAsia="en-GB"/>
              </w:rPr>
            </w:pPr>
            <w:r>
              <w:rPr>
                <w:rFonts w:ascii="Calibri" w:eastAsia="Times New Roman" w:hAnsi="Calibri" w:cs="Calibri"/>
                <w:b/>
                <w:color w:val="00B050"/>
                <w:szCs w:val="24"/>
                <w:lang w:eastAsia="en-GB"/>
              </w:rPr>
              <w:t>GREEN</w:t>
            </w:r>
          </w:p>
        </w:tc>
        <w:tc>
          <w:tcPr>
            <w:tcW w:w="2443" w:type="dxa"/>
          </w:tcPr>
          <w:p w14:paraId="6EA34E55" w14:textId="77777777" w:rsidR="00300974" w:rsidRPr="00B6615A"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B6615A">
              <w:rPr>
                <w:rFonts w:ascii="Calibri" w:hAnsi="Calibri" w:cs="Calibri"/>
                <w:szCs w:val="24"/>
              </w:rPr>
              <w:t>Capacity</w:t>
            </w:r>
          </w:p>
        </w:tc>
        <w:tc>
          <w:tcPr>
            <w:tcW w:w="1948" w:type="dxa"/>
          </w:tcPr>
          <w:p w14:paraId="0A010479" w14:textId="71C0A283" w:rsidR="00300974" w:rsidRPr="00B6615A"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B050"/>
                <w:kern w:val="24"/>
                <w:szCs w:val="24"/>
                <w:lang w:eastAsia="en-GB"/>
              </w:rPr>
            </w:pPr>
            <w:r>
              <w:rPr>
                <w:rFonts w:ascii="Calibri" w:eastAsia="Times New Roman" w:hAnsi="Calibri" w:cs="Calibri"/>
                <w:b/>
                <w:color w:val="00B050"/>
                <w:szCs w:val="24"/>
                <w:lang w:eastAsia="en-GB"/>
              </w:rPr>
              <w:t>GREEN</w:t>
            </w:r>
          </w:p>
        </w:tc>
      </w:tr>
      <w:tr w:rsidR="00300974" w:rsidRPr="00B6615A" w14:paraId="6A89972D" w14:textId="77777777" w:rsidTr="00E80188">
        <w:trPr>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21CB60AF" w14:textId="579CC1B8" w:rsidR="00300974" w:rsidRPr="00300974" w:rsidRDefault="00300974" w:rsidP="00300974">
            <w:pPr>
              <w:spacing w:line="276" w:lineRule="auto"/>
              <w:jc w:val="center"/>
              <w:rPr>
                <w:rFonts w:ascii="Calibri" w:hAnsi="Calibri" w:cs="Calibri"/>
                <w:b w:val="0"/>
                <w:bCs w:val="0"/>
                <w:szCs w:val="24"/>
              </w:rPr>
            </w:pPr>
            <w:proofErr w:type="spellStart"/>
            <w:r w:rsidRPr="00300974">
              <w:rPr>
                <w:rFonts w:ascii="Calibri" w:eastAsia="Times New Roman" w:hAnsi="Calibri" w:cs="Calibri"/>
                <w:b w:val="0"/>
                <w:bCs w:val="0"/>
                <w:color w:val="000000" w:themeColor="dark1"/>
                <w:kern w:val="24"/>
                <w:szCs w:val="24"/>
                <w:lang w:eastAsia="en-GB"/>
              </w:rPr>
              <w:t>Paybill</w:t>
            </w:r>
            <w:proofErr w:type="spellEnd"/>
          </w:p>
        </w:tc>
        <w:tc>
          <w:tcPr>
            <w:tcW w:w="2136" w:type="dxa"/>
          </w:tcPr>
          <w:p w14:paraId="1248EB79" w14:textId="1720B770" w:rsidR="00300974" w:rsidRPr="00A15D6F" w:rsidRDefault="00300974" w:rsidP="0030097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B050"/>
                <w:kern w:val="24"/>
                <w:szCs w:val="24"/>
                <w:lang w:eastAsia="en-GB"/>
              </w:rPr>
            </w:pPr>
            <w:r w:rsidRPr="00071C1E">
              <w:rPr>
                <w:rFonts w:ascii="Calibri" w:hAnsi="Calibri" w:cs="Calibri"/>
                <w:b/>
                <w:bCs/>
                <w:color w:val="F79646" w:themeColor="accent6"/>
                <w:szCs w:val="24"/>
              </w:rPr>
              <w:t>AMBER</w:t>
            </w:r>
          </w:p>
        </w:tc>
        <w:tc>
          <w:tcPr>
            <w:tcW w:w="2443" w:type="dxa"/>
          </w:tcPr>
          <w:p w14:paraId="127E48E4" w14:textId="77777777" w:rsidR="00300974" w:rsidRPr="00B6615A" w:rsidRDefault="00300974" w:rsidP="0030097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B6615A">
              <w:rPr>
                <w:rFonts w:ascii="Calibri" w:hAnsi="Calibri" w:cs="Calibri"/>
                <w:szCs w:val="24"/>
              </w:rPr>
              <w:t>Development</w:t>
            </w:r>
          </w:p>
        </w:tc>
        <w:tc>
          <w:tcPr>
            <w:tcW w:w="1948" w:type="dxa"/>
          </w:tcPr>
          <w:p w14:paraId="11BF14B1" w14:textId="062770DB" w:rsidR="00300974" w:rsidRPr="00B6615A" w:rsidRDefault="00300974" w:rsidP="00300974">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B050"/>
                <w:szCs w:val="24"/>
              </w:rPr>
            </w:pPr>
            <w:r>
              <w:rPr>
                <w:rFonts w:ascii="Calibri" w:eastAsia="Times New Roman" w:hAnsi="Calibri" w:cs="Calibri"/>
                <w:b/>
                <w:color w:val="00B050"/>
                <w:szCs w:val="24"/>
                <w:lang w:eastAsia="en-GB"/>
              </w:rPr>
              <w:t>GREEN</w:t>
            </w:r>
          </w:p>
        </w:tc>
      </w:tr>
      <w:tr w:rsidR="00300974" w:rsidRPr="00B6615A" w14:paraId="5AB02384" w14:textId="77777777" w:rsidTr="00E801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vAlign w:val="center"/>
          </w:tcPr>
          <w:p w14:paraId="3B798120" w14:textId="33C08A35" w:rsidR="00300974" w:rsidRPr="00300974" w:rsidRDefault="00300974" w:rsidP="00300974">
            <w:pPr>
              <w:spacing w:line="276" w:lineRule="auto"/>
              <w:jc w:val="center"/>
              <w:rPr>
                <w:rFonts w:ascii="Calibri" w:hAnsi="Calibri" w:cs="Calibri"/>
                <w:b w:val="0"/>
                <w:bCs w:val="0"/>
                <w:szCs w:val="24"/>
              </w:rPr>
            </w:pPr>
            <w:r w:rsidRPr="00300974">
              <w:rPr>
                <w:rFonts w:ascii="Calibri" w:eastAsiaTheme="minorEastAsia" w:hAnsi="Calibri" w:cs="Calibri"/>
                <w:b w:val="0"/>
                <w:bCs w:val="0"/>
                <w:color w:val="000000" w:themeColor="dark1"/>
                <w:kern w:val="24"/>
                <w:szCs w:val="24"/>
                <w:lang w:eastAsia="en-GB"/>
              </w:rPr>
              <w:t>Project Allocation</w:t>
            </w:r>
          </w:p>
        </w:tc>
        <w:tc>
          <w:tcPr>
            <w:tcW w:w="2136" w:type="dxa"/>
          </w:tcPr>
          <w:p w14:paraId="3F5B720E" w14:textId="316E503A" w:rsidR="00300974" w:rsidRPr="00E52E7B"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r w:rsidRPr="00071C1E">
              <w:rPr>
                <w:rFonts w:ascii="Calibri" w:hAnsi="Calibri" w:cs="Calibri"/>
                <w:b/>
                <w:bCs/>
                <w:color w:val="F79646" w:themeColor="accent6"/>
                <w:szCs w:val="24"/>
              </w:rPr>
              <w:t>AMBER</w:t>
            </w:r>
          </w:p>
        </w:tc>
        <w:tc>
          <w:tcPr>
            <w:tcW w:w="2443" w:type="dxa"/>
          </w:tcPr>
          <w:p w14:paraId="32335D3A" w14:textId="77777777" w:rsidR="00300974" w:rsidRPr="00B6615A"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Workforce Profile</w:t>
            </w:r>
          </w:p>
        </w:tc>
        <w:tc>
          <w:tcPr>
            <w:tcW w:w="1948" w:type="dxa"/>
          </w:tcPr>
          <w:p w14:paraId="778C4140" w14:textId="66BAEADA" w:rsidR="00300974" w:rsidRPr="00B6615A" w:rsidRDefault="00300974" w:rsidP="00300974">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F79646" w:themeColor="accent6"/>
                <w:kern w:val="24"/>
                <w:szCs w:val="24"/>
                <w:lang w:eastAsia="en-GB"/>
              </w:rPr>
            </w:pPr>
            <w:r w:rsidRPr="00A4300C">
              <w:rPr>
                <w:rFonts w:ascii="Calibri" w:hAnsi="Calibri" w:cs="Calibri"/>
                <w:b/>
                <w:bCs/>
                <w:color w:val="F79646" w:themeColor="accent6"/>
                <w:szCs w:val="24"/>
              </w:rPr>
              <w:t>AMBER</w:t>
            </w:r>
          </w:p>
        </w:tc>
      </w:tr>
      <w:tr w:rsidR="00A4300C" w:rsidRPr="00B6615A" w14:paraId="3F332BA0" w14:textId="77777777" w:rsidTr="008D20BE">
        <w:trPr>
          <w:cantSplit/>
        </w:trPr>
        <w:tc>
          <w:tcPr>
            <w:cnfStyle w:val="001000000000" w:firstRow="0" w:lastRow="0" w:firstColumn="1" w:lastColumn="0" w:oddVBand="0" w:evenVBand="0" w:oddHBand="0" w:evenHBand="0" w:firstRowFirstColumn="0" w:firstRowLastColumn="0" w:lastRowFirstColumn="0" w:lastRowLastColumn="0"/>
            <w:tcW w:w="2824" w:type="dxa"/>
          </w:tcPr>
          <w:p w14:paraId="5D58709E" w14:textId="77777777" w:rsidR="00A4300C" w:rsidRPr="00B6615A" w:rsidRDefault="00A4300C" w:rsidP="00A4300C">
            <w:pPr>
              <w:jc w:val="center"/>
              <w:rPr>
                <w:rFonts w:ascii="Calibri" w:hAnsi="Calibri" w:cs="Calibri"/>
                <w:b w:val="0"/>
                <w:szCs w:val="24"/>
              </w:rPr>
            </w:pPr>
          </w:p>
        </w:tc>
        <w:tc>
          <w:tcPr>
            <w:tcW w:w="2136" w:type="dxa"/>
          </w:tcPr>
          <w:p w14:paraId="24E532BE" w14:textId="77777777" w:rsidR="00A4300C" w:rsidRPr="00E52E7B" w:rsidRDefault="00A4300C" w:rsidP="00A4300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2443" w:type="dxa"/>
          </w:tcPr>
          <w:p w14:paraId="07D87898" w14:textId="15A64B80" w:rsidR="00A4300C" w:rsidRDefault="00A4300C" w:rsidP="00A430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szCs w:val="24"/>
              </w:rPr>
              <w:t>Internal Movement</w:t>
            </w:r>
          </w:p>
        </w:tc>
        <w:tc>
          <w:tcPr>
            <w:tcW w:w="1948" w:type="dxa"/>
          </w:tcPr>
          <w:p w14:paraId="16972355" w14:textId="27AB319D" w:rsidR="00A4300C" w:rsidRPr="00A4300C" w:rsidRDefault="00A4300C" w:rsidP="00A430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F79646" w:themeColor="accent6"/>
                <w:szCs w:val="24"/>
              </w:rPr>
            </w:pPr>
            <w:r>
              <w:rPr>
                <w:rFonts w:ascii="Calibri" w:eastAsia="Times New Roman" w:hAnsi="Calibri" w:cs="Calibri"/>
                <w:b/>
                <w:color w:val="00B050"/>
                <w:szCs w:val="24"/>
                <w:lang w:eastAsia="en-GB"/>
              </w:rPr>
              <w:t>GREEN</w:t>
            </w:r>
          </w:p>
        </w:tc>
      </w:tr>
      <w:tr w:rsidR="00A4300C" w:rsidRPr="00B6615A" w14:paraId="54963359" w14:textId="77777777" w:rsidTr="008D20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24" w:type="dxa"/>
          </w:tcPr>
          <w:p w14:paraId="5DE46371" w14:textId="77777777" w:rsidR="00A4300C" w:rsidRPr="00B6615A" w:rsidRDefault="00A4300C" w:rsidP="00A4300C">
            <w:pPr>
              <w:jc w:val="center"/>
              <w:rPr>
                <w:rFonts w:ascii="Calibri" w:hAnsi="Calibri" w:cs="Calibri"/>
                <w:b w:val="0"/>
                <w:szCs w:val="24"/>
              </w:rPr>
            </w:pPr>
          </w:p>
        </w:tc>
        <w:tc>
          <w:tcPr>
            <w:tcW w:w="2136" w:type="dxa"/>
          </w:tcPr>
          <w:p w14:paraId="1DC7BD0C" w14:textId="77777777" w:rsidR="00A4300C" w:rsidRPr="00E52E7B" w:rsidRDefault="00A4300C" w:rsidP="00A430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kern w:val="24"/>
                <w:szCs w:val="24"/>
                <w:lang w:eastAsia="en-GB"/>
              </w:rPr>
            </w:pPr>
          </w:p>
        </w:tc>
        <w:tc>
          <w:tcPr>
            <w:tcW w:w="2443" w:type="dxa"/>
          </w:tcPr>
          <w:p w14:paraId="12AC246B" w14:textId="44ED57F7" w:rsidR="00A4300C" w:rsidRDefault="00A4300C" w:rsidP="00A430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Retirement Profile</w:t>
            </w:r>
          </w:p>
        </w:tc>
        <w:tc>
          <w:tcPr>
            <w:tcW w:w="1948" w:type="dxa"/>
          </w:tcPr>
          <w:p w14:paraId="70FDD30B" w14:textId="47CF3C70" w:rsidR="00A4300C" w:rsidRDefault="00A4300C" w:rsidP="00A4300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B050"/>
                <w:szCs w:val="24"/>
                <w:lang w:eastAsia="en-GB"/>
              </w:rPr>
            </w:pPr>
            <w:r w:rsidRPr="00A4300C">
              <w:rPr>
                <w:rFonts w:ascii="Calibri" w:hAnsi="Calibri" w:cs="Calibri"/>
                <w:b/>
                <w:bCs/>
                <w:color w:val="F79646" w:themeColor="accent6"/>
                <w:szCs w:val="24"/>
              </w:rPr>
              <w:t>AMBER</w:t>
            </w:r>
          </w:p>
        </w:tc>
      </w:tr>
    </w:tbl>
    <w:p w14:paraId="2D4CC489" w14:textId="6DE56366" w:rsidR="008D20BE" w:rsidRDefault="008D20BE" w:rsidP="008D20BE">
      <w:pPr>
        <w:spacing w:after="0" w:line="240" w:lineRule="auto"/>
        <w:jc w:val="both"/>
        <w:rPr>
          <w:rFonts w:cstheme="minorHAnsi"/>
          <w:szCs w:val="24"/>
        </w:rPr>
        <w:sectPr w:rsidR="008D20BE" w:rsidSect="00604DB9">
          <w:pgSz w:w="11906" w:h="16838"/>
          <w:pgMar w:top="993" w:right="1440" w:bottom="1440" w:left="1440" w:header="567" w:footer="708" w:gutter="0"/>
          <w:cols w:space="708"/>
          <w:docGrid w:linePitch="360"/>
        </w:sectPr>
      </w:pPr>
    </w:p>
    <w:p w14:paraId="751C7DEE" w14:textId="77777777" w:rsidR="008D20BE" w:rsidRPr="004C035F" w:rsidRDefault="008D20BE" w:rsidP="008D20BE">
      <w:pPr>
        <w:keepNext/>
        <w:keepLines/>
        <w:spacing w:before="40" w:after="0" w:line="259" w:lineRule="auto"/>
        <w:outlineLvl w:val="1"/>
        <w:rPr>
          <w:rFonts w:ascii="Calibri" w:eastAsiaTheme="majorEastAsia" w:hAnsi="Calibri" w:cs="Calibri"/>
          <w:b/>
          <w:color w:val="007DC3"/>
          <w:sz w:val="28"/>
          <w:szCs w:val="28"/>
        </w:rPr>
      </w:pPr>
      <w:r w:rsidRPr="004C035F">
        <w:rPr>
          <w:rFonts w:ascii="Calibri" w:eastAsiaTheme="majorEastAsia" w:hAnsi="Calibri" w:cs="Calibri"/>
          <w:b/>
          <w:color w:val="007DC3"/>
          <w:sz w:val="28"/>
          <w:szCs w:val="28"/>
        </w:rPr>
        <w:lastRenderedPageBreak/>
        <w:t>PERFORMANCE REPORT</w:t>
      </w:r>
    </w:p>
    <w:p w14:paraId="1563F320" w14:textId="77777777" w:rsidR="001428C1" w:rsidRPr="006E0DDA" w:rsidRDefault="001428C1" w:rsidP="001428C1">
      <w:pPr>
        <w:pStyle w:val="Heading2"/>
        <w:shd w:val="clear" w:color="auto" w:fill="007DC3"/>
        <w:jc w:val="center"/>
        <w:rPr>
          <w:rFonts w:ascii="Calibri" w:hAnsi="Calibri" w:cs="Calibri"/>
        </w:rPr>
      </w:pPr>
      <w:r>
        <w:rPr>
          <w:rFonts w:ascii="Calibri" w:hAnsi="Calibri" w:cs="Calibri"/>
        </w:rPr>
        <w:t>WE HAVE PROTECTED NATURE</w:t>
      </w: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PROTECTED NATURE Q1 UPDATE"/>
      </w:tblPr>
      <w:tblGrid>
        <w:gridCol w:w="3544"/>
        <w:gridCol w:w="1276"/>
        <w:gridCol w:w="992"/>
        <w:gridCol w:w="8930"/>
      </w:tblGrid>
      <w:tr w:rsidR="001428C1" w:rsidRPr="001428C1" w14:paraId="5B69CD2F" w14:textId="77777777" w:rsidTr="00DD1243">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70337B0E" w14:textId="77777777" w:rsidR="008D20BE" w:rsidRPr="001428C1" w:rsidRDefault="008D20BE" w:rsidP="008D20BE">
            <w:pPr>
              <w:jc w:val="center"/>
              <w:rPr>
                <w:rFonts w:ascii="Calibri" w:hAnsi="Calibri" w:cs="Calibri"/>
                <w:szCs w:val="26"/>
              </w:rPr>
            </w:pPr>
            <w:r w:rsidRPr="001428C1">
              <w:rPr>
                <w:rFonts w:ascii="Calibri" w:hAnsi="Calibri" w:cs="Calibri"/>
                <w:szCs w:val="26"/>
              </w:rPr>
              <w:t>CORPORATE PLAN OBJECTIVE</w:t>
            </w:r>
          </w:p>
        </w:tc>
        <w:tc>
          <w:tcPr>
            <w:tcW w:w="1276" w:type="dxa"/>
            <w:vAlign w:val="center"/>
          </w:tcPr>
          <w:p w14:paraId="0204C751" w14:textId="77777777" w:rsidR="008D20BE" w:rsidRPr="001428C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1428C1">
              <w:rPr>
                <w:rFonts w:ascii="Calibri" w:hAnsi="Calibri" w:cs="Calibri"/>
                <w:szCs w:val="26"/>
              </w:rPr>
              <w:t>SLT LEAD</w:t>
            </w:r>
          </w:p>
        </w:tc>
        <w:tc>
          <w:tcPr>
            <w:tcW w:w="992" w:type="dxa"/>
            <w:vAlign w:val="center"/>
          </w:tcPr>
          <w:p w14:paraId="0C5F3264" w14:textId="77777777" w:rsidR="008D20BE" w:rsidRPr="001428C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1428C1">
              <w:rPr>
                <w:rFonts w:ascii="Calibri" w:hAnsi="Calibri" w:cs="Calibri"/>
                <w:szCs w:val="26"/>
              </w:rPr>
              <w:t>RAG SCORE</w:t>
            </w:r>
          </w:p>
        </w:tc>
        <w:tc>
          <w:tcPr>
            <w:tcW w:w="8930" w:type="dxa"/>
            <w:vAlign w:val="center"/>
          </w:tcPr>
          <w:p w14:paraId="3B1CD024" w14:textId="063B4A0A" w:rsidR="008D20BE" w:rsidRPr="001428C1" w:rsidRDefault="00701FAD"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1428C1">
              <w:rPr>
                <w:rFonts w:ascii="Calibri" w:hAnsi="Calibri" w:cs="Calibri"/>
                <w:szCs w:val="26"/>
              </w:rPr>
              <w:t>Q2</w:t>
            </w:r>
            <w:r w:rsidR="008D20BE" w:rsidRPr="001428C1">
              <w:rPr>
                <w:rFonts w:ascii="Calibri" w:hAnsi="Calibri" w:cs="Calibri"/>
                <w:szCs w:val="26"/>
              </w:rPr>
              <w:t xml:space="preserve"> UPDATE</w:t>
            </w:r>
          </w:p>
        </w:tc>
      </w:tr>
      <w:tr w:rsidR="008D20BE" w:rsidRPr="00F550D1" w14:paraId="74A216B2"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4F16602" w14:textId="77777777" w:rsidR="008D20BE" w:rsidRPr="00F550D1" w:rsidRDefault="008D20BE" w:rsidP="008D20BE">
            <w:pPr>
              <w:rPr>
                <w:rFonts w:ascii="Calibri" w:hAnsi="Calibri" w:cs="Calibri"/>
                <w:b w:val="0"/>
                <w:color w:val="000000"/>
              </w:rPr>
            </w:pPr>
            <w:r w:rsidRPr="00F550D1">
              <w:rPr>
                <w:rFonts w:ascii="Calibri" w:hAnsi="Calibri" w:cs="Calibri"/>
                <w:b w:val="0"/>
                <w:color w:val="000000"/>
              </w:rPr>
              <w:t>Lead the delivery of 30% of land and sea being protected by 2030</w:t>
            </w:r>
          </w:p>
        </w:tc>
        <w:tc>
          <w:tcPr>
            <w:tcW w:w="1276" w:type="dxa"/>
            <w:vAlign w:val="center"/>
          </w:tcPr>
          <w:p w14:paraId="3BE31DB7"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9BBB59" w:themeFill="accent3"/>
            <w:vAlign w:val="center"/>
          </w:tcPr>
          <w:p w14:paraId="12F7B7CC"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F550D1">
              <w:rPr>
                <w:rFonts w:ascii="Calibri" w:hAnsi="Calibri" w:cs="Calibri"/>
                <w:b/>
              </w:rPr>
              <w:t>GREEN</w:t>
            </w:r>
          </w:p>
        </w:tc>
        <w:tc>
          <w:tcPr>
            <w:tcW w:w="8930" w:type="dxa"/>
            <w:vAlign w:val="center"/>
          </w:tcPr>
          <w:p w14:paraId="651E3057" w14:textId="77777777" w:rsidR="00860A66" w:rsidRPr="00EF1487" w:rsidRDefault="00860A66" w:rsidP="00025C49">
            <w:pPr>
              <w:numPr>
                <w:ilvl w:val="0"/>
                <w:numId w:val="9"/>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 xml:space="preserve">Frameworks for Scottish Biodiversity Strategy (SBS), National Parks, Statutory targets, </w:t>
            </w:r>
            <w:r w:rsidRPr="00EF1487">
              <w:rPr>
                <w:rFonts w:ascii="Calibri" w:hAnsi="Calibri" w:cs="Calibri"/>
                <w:color w:val="000000"/>
                <w:szCs w:val="24"/>
              </w:rPr>
              <w:t>30x30 and Nature Networks Consultation published: Consultation launched September 7th.</w:t>
            </w:r>
          </w:p>
          <w:p w14:paraId="52316E1E" w14:textId="49FE08E8" w:rsidR="00860A66" w:rsidRPr="00EF1487" w:rsidRDefault="00860A66" w:rsidP="00025C49">
            <w:pPr>
              <w:numPr>
                <w:ilvl w:val="0"/>
                <w:numId w:val="9"/>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Sign-off pre-commercial agreement for </w:t>
            </w:r>
            <w:proofErr w:type="spellStart"/>
            <w:r w:rsidRPr="00EF1487">
              <w:rPr>
                <w:rFonts w:ascii="Calibri" w:hAnsi="Calibri" w:cs="Calibri"/>
                <w:color w:val="000000"/>
                <w:szCs w:val="24"/>
              </w:rPr>
              <w:t>CivTech</w:t>
            </w:r>
            <w:proofErr w:type="spellEnd"/>
            <w:r w:rsidRPr="00EF1487">
              <w:rPr>
                <w:rFonts w:ascii="Calibri" w:hAnsi="Calibri" w:cs="Calibri"/>
                <w:color w:val="000000"/>
                <w:szCs w:val="24"/>
              </w:rPr>
              <w:t xml:space="preserve"> 8.3 Protected Area Data System and commence development of product: Signed off and work </w:t>
            </w:r>
            <w:r w:rsidR="009617CA" w:rsidRPr="00EF1487">
              <w:rPr>
                <w:rFonts w:ascii="Calibri" w:hAnsi="Calibri" w:cs="Calibri"/>
                <w:color w:val="000000"/>
                <w:szCs w:val="24"/>
              </w:rPr>
              <w:t>underway.</w:t>
            </w:r>
          </w:p>
          <w:p w14:paraId="4D5A600C" w14:textId="77777777" w:rsidR="00860A66" w:rsidRPr="00EF1487" w:rsidRDefault="00860A66" w:rsidP="00025C49">
            <w:pPr>
              <w:numPr>
                <w:ilvl w:val="0"/>
                <w:numId w:val="9"/>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Sign off pre-commercial agreement for </w:t>
            </w:r>
            <w:proofErr w:type="spellStart"/>
            <w:r w:rsidRPr="00EF1487">
              <w:rPr>
                <w:rFonts w:ascii="Calibri" w:hAnsi="Calibri" w:cs="Calibri"/>
                <w:color w:val="000000"/>
                <w:szCs w:val="24"/>
              </w:rPr>
              <w:t>CivTech</w:t>
            </w:r>
            <w:proofErr w:type="spellEnd"/>
            <w:r w:rsidRPr="00EF1487">
              <w:rPr>
                <w:rFonts w:ascii="Calibri" w:hAnsi="Calibri" w:cs="Calibri"/>
                <w:color w:val="000000"/>
                <w:szCs w:val="24"/>
              </w:rPr>
              <w:t xml:space="preserve"> 8.5, Nature Networks tool and commence development of product: Slippage due to negotiation over product availability to Local Authorities.</w:t>
            </w:r>
          </w:p>
          <w:p w14:paraId="1F237C76" w14:textId="4D7DB8F1" w:rsidR="00860A66" w:rsidRPr="00EF1487" w:rsidRDefault="00860A66" w:rsidP="00025C49">
            <w:pPr>
              <w:numPr>
                <w:ilvl w:val="0"/>
                <w:numId w:val="9"/>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Develop and agree costed draft implementation plans for 30x30 and Nature Networks with Scottish Government: Drafts complete.</w:t>
            </w:r>
          </w:p>
          <w:p w14:paraId="2F6A7503" w14:textId="77777777" w:rsidR="00860A66" w:rsidRPr="00EF1487" w:rsidRDefault="00860A66" w:rsidP="00025C49">
            <w:pPr>
              <w:numPr>
                <w:ilvl w:val="0"/>
                <w:numId w:val="9"/>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Commence </w:t>
            </w:r>
            <w:proofErr w:type="spellStart"/>
            <w:r w:rsidRPr="00EF1487">
              <w:rPr>
                <w:rFonts w:ascii="Calibri" w:hAnsi="Calibri" w:cs="Calibri"/>
                <w:color w:val="000000"/>
                <w:szCs w:val="24"/>
              </w:rPr>
              <w:t>bilateral</w:t>
            </w:r>
            <w:r>
              <w:rPr>
                <w:rFonts w:ascii="Calibri" w:hAnsi="Calibri" w:cs="Calibri"/>
                <w:color w:val="000000"/>
                <w:szCs w:val="24"/>
              </w:rPr>
              <w:t>s</w:t>
            </w:r>
            <w:proofErr w:type="spellEnd"/>
            <w:r w:rsidRPr="00EF1487">
              <w:rPr>
                <w:rFonts w:ascii="Calibri" w:hAnsi="Calibri" w:cs="Calibri"/>
                <w:color w:val="000000"/>
                <w:szCs w:val="24"/>
              </w:rPr>
              <w:t xml:space="preserve"> for 30x30 and Nature Networks framework discussion during consultation, establish working group and governance structures:</w:t>
            </w:r>
            <w:r>
              <w:rPr>
                <w:rFonts w:ascii="Calibri" w:hAnsi="Calibri" w:cs="Calibri"/>
                <w:color w:val="000000"/>
                <w:szCs w:val="24"/>
              </w:rPr>
              <w:t xml:space="preserve"> Deferred until SBS consultation progressed.</w:t>
            </w:r>
          </w:p>
          <w:p w14:paraId="39285F80" w14:textId="77777777" w:rsidR="00860A66" w:rsidRDefault="00860A66" w:rsidP="00025C49">
            <w:pPr>
              <w:numPr>
                <w:ilvl w:val="0"/>
                <w:numId w:val="9"/>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Commence initial spatial data analysis to support 30x30: Recruitment delays mean this analysis will start at the beginning of Q3.</w:t>
            </w:r>
          </w:p>
          <w:p w14:paraId="4E5788D6" w14:textId="77777777" w:rsidR="00DD1243" w:rsidRPr="00DD1243" w:rsidRDefault="00860A66" w:rsidP="00025C49">
            <w:pPr>
              <w:numPr>
                <w:ilvl w:val="0"/>
                <w:numId w:val="9"/>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4"/>
              </w:rPr>
            </w:pPr>
            <w:r w:rsidRPr="00860A66">
              <w:rPr>
                <w:rFonts w:ascii="Calibri" w:hAnsi="Calibri" w:cs="Calibri"/>
                <w:color w:val="000000"/>
                <w:szCs w:val="24"/>
              </w:rPr>
              <w:t>Further support to Scottish Government on National Park proposals and on-going engagement with a range of local and national stakeholders: On target, consultation on new powers/governance launched.</w:t>
            </w:r>
          </w:p>
          <w:p w14:paraId="3EC614D2" w14:textId="77777777" w:rsidR="00DD1243" w:rsidRDefault="00DD1243" w:rsidP="00DD1243">
            <w:p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p w14:paraId="7E9BD8EF" w14:textId="77777777" w:rsidR="00DD1243" w:rsidRDefault="00DD1243" w:rsidP="00DD1243">
            <w:p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p w14:paraId="5B818DD2" w14:textId="77777777" w:rsidR="00DD1243" w:rsidRDefault="00DD1243" w:rsidP="00DD1243">
            <w:p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p w14:paraId="41198C49" w14:textId="77777777" w:rsidR="00DD1243" w:rsidRDefault="00DD1243" w:rsidP="00DD1243">
            <w:p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p w14:paraId="6A78EE52" w14:textId="77777777" w:rsidR="00DD1243" w:rsidRDefault="00DD1243" w:rsidP="00DD1243">
            <w:p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p>
          <w:p w14:paraId="57550B5F" w14:textId="25E6AB8B" w:rsidR="00DD1243" w:rsidRPr="00DD1243" w:rsidRDefault="00DD1243" w:rsidP="00DD1243">
            <w:p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4"/>
              </w:rPr>
            </w:pPr>
          </w:p>
        </w:tc>
      </w:tr>
      <w:tr w:rsidR="008D20BE" w:rsidRPr="00F550D1" w14:paraId="7D502F11" w14:textId="77777777" w:rsidTr="00DD1243">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94DAD0B" w14:textId="77777777" w:rsidR="008D20BE" w:rsidRPr="00F550D1" w:rsidRDefault="008D20BE" w:rsidP="008D20BE">
            <w:pPr>
              <w:rPr>
                <w:rFonts w:ascii="Calibri" w:hAnsi="Calibri" w:cs="Calibri"/>
                <w:b w:val="0"/>
                <w:color w:val="000000"/>
              </w:rPr>
            </w:pPr>
            <w:r w:rsidRPr="00F550D1">
              <w:rPr>
                <w:rFonts w:ascii="Calibri" w:hAnsi="Calibri" w:cs="Calibri"/>
                <w:b w:val="0"/>
                <w:color w:val="000000"/>
              </w:rPr>
              <w:lastRenderedPageBreak/>
              <w:t>Build stronger collaboration reducing the impacts of deer and modernise our wildlife management and underpinning licencing functions to enable a net zero and nature positive future</w:t>
            </w:r>
          </w:p>
        </w:tc>
        <w:tc>
          <w:tcPr>
            <w:tcW w:w="1276" w:type="dxa"/>
            <w:vAlign w:val="center"/>
          </w:tcPr>
          <w:p w14:paraId="03F43493"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Robbie Kernahan</w:t>
            </w:r>
          </w:p>
        </w:tc>
        <w:tc>
          <w:tcPr>
            <w:tcW w:w="992" w:type="dxa"/>
            <w:shd w:val="clear" w:color="auto" w:fill="9BBB59" w:themeFill="accent3"/>
            <w:vAlign w:val="center"/>
          </w:tcPr>
          <w:p w14:paraId="4A919A02"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rPr>
            </w:pPr>
            <w:r w:rsidRPr="00F550D1">
              <w:rPr>
                <w:rFonts w:ascii="Calibri" w:hAnsi="Calibri" w:cs="Calibri"/>
                <w:b/>
              </w:rPr>
              <w:t>G</w:t>
            </w:r>
            <w:r w:rsidRPr="00F550D1">
              <w:rPr>
                <w:rFonts w:ascii="Calibri" w:hAnsi="Calibri" w:cs="Calibri"/>
                <w:b/>
                <w:shd w:val="clear" w:color="auto" w:fill="9BBB59" w:themeFill="accent3"/>
              </w:rPr>
              <w:t>REE</w:t>
            </w:r>
            <w:r w:rsidRPr="00F550D1">
              <w:rPr>
                <w:rFonts w:ascii="Calibri" w:hAnsi="Calibri" w:cs="Calibri"/>
                <w:b/>
              </w:rPr>
              <w:t>N</w:t>
            </w:r>
          </w:p>
        </w:tc>
        <w:tc>
          <w:tcPr>
            <w:tcW w:w="8930" w:type="dxa"/>
            <w:vAlign w:val="center"/>
          </w:tcPr>
          <w:p w14:paraId="409C0091" w14:textId="77777777" w:rsidR="00EF1487" w:rsidRPr="00EF1487" w:rsidRDefault="00EF1487" w:rsidP="00025C49">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We have built stronger collaboration reducing the impacts of deer by:</w:t>
            </w:r>
          </w:p>
          <w:p w14:paraId="3BCE87DA" w14:textId="47CE2770" w:rsidR="00EF1487" w:rsidRPr="00EF1487" w:rsidRDefault="00EF1487" w:rsidP="00025C49">
            <w:pPr>
              <w:numPr>
                <w:ilvl w:val="1"/>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Working with SG legislative proposals for an effective regulatory framework and policy integration of incentives for deer management within future rural support. Updated and held </w:t>
            </w:r>
            <w:r w:rsidR="008F6296" w:rsidRPr="00F657C5">
              <w:rPr>
                <w:rFonts w:ascii="Calibri" w:hAnsi="Calibri" w:cs="Calibri"/>
                <w:bCs/>
                <w:color w:val="000000"/>
                <w:szCs w:val="24"/>
              </w:rPr>
              <w:t>Deer</w:t>
            </w:r>
            <w:r w:rsidR="008F6296" w:rsidRPr="008F6296">
              <w:rPr>
                <w:rFonts w:ascii="Calibri" w:hAnsi="Calibri" w:cs="Calibri"/>
                <w:color w:val="000000"/>
                <w:szCs w:val="24"/>
              </w:rPr>
              <w:t> Management Round Table</w:t>
            </w:r>
            <w:r w:rsidR="008F6296">
              <w:rPr>
                <w:rFonts w:ascii="Calibri" w:hAnsi="Calibri" w:cs="Calibri"/>
                <w:color w:val="000000"/>
                <w:szCs w:val="24"/>
              </w:rPr>
              <w:t xml:space="preserve"> </w:t>
            </w:r>
            <w:r w:rsidRPr="00EF1487">
              <w:rPr>
                <w:rFonts w:ascii="Calibri" w:hAnsi="Calibri" w:cs="Calibri"/>
                <w:color w:val="000000"/>
                <w:szCs w:val="24"/>
              </w:rPr>
              <w:t xml:space="preserve">meetings. We have supported policy development on primary deer legislation and secondary </w:t>
            </w:r>
            <w:r w:rsidR="008F6296">
              <w:rPr>
                <w:rFonts w:ascii="Calibri" w:hAnsi="Calibri" w:cs="Calibri"/>
                <w:color w:val="000000"/>
                <w:szCs w:val="24"/>
              </w:rPr>
              <w:t>Scottish Statutory Instrument</w:t>
            </w:r>
            <w:r w:rsidR="00357FB8">
              <w:rPr>
                <w:rFonts w:ascii="Calibri" w:hAnsi="Calibri" w:cs="Calibri"/>
                <w:color w:val="000000"/>
                <w:szCs w:val="24"/>
              </w:rPr>
              <w:t xml:space="preserve"> (SSI)</w:t>
            </w:r>
            <w:r w:rsidRPr="00EF1487">
              <w:rPr>
                <w:rFonts w:ascii="Calibri" w:hAnsi="Calibri" w:cs="Calibri"/>
                <w:color w:val="000000"/>
                <w:szCs w:val="24"/>
              </w:rPr>
              <w:t xml:space="preserve"> on firearms (non-lead and night sights) as well as male seasons. Firearms</w:t>
            </w:r>
            <w:r w:rsidR="00A45D71">
              <w:rPr>
                <w:rFonts w:ascii="Calibri" w:hAnsi="Calibri" w:cs="Calibri"/>
                <w:color w:val="000000"/>
                <w:szCs w:val="24"/>
              </w:rPr>
              <w:t xml:space="preserve"> </w:t>
            </w:r>
            <w:r w:rsidRPr="00EF1487">
              <w:rPr>
                <w:rFonts w:ascii="Calibri" w:hAnsi="Calibri" w:cs="Calibri"/>
                <w:color w:val="000000"/>
                <w:szCs w:val="24"/>
              </w:rPr>
              <w:t>SSI ha</w:t>
            </w:r>
            <w:r w:rsidR="00C36F76">
              <w:rPr>
                <w:rFonts w:ascii="Calibri" w:hAnsi="Calibri" w:cs="Calibri"/>
                <w:color w:val="000000"/>
                <w:szCs w:val="24"/>
              </w:rPr>
              <w:t>s</w:t>
            </w:r>
            <w:r w:rsidRPr="00EF1487">
              <w:rPr>
                <w:rFonts w:ascii="Calibri" w:hAnsi="Calibri" w:cs="Calibri"/>
                <w:color w:val="000000"/>
                <w:szCs w:val="24"/>
              </w:rPr>
              <w:t xml:space="preserve"> passed, the male seasons moves to vote in parliament.</w:t>
            </w:r>
          </w:p>
          <w:p w14:paraId="7D3E937A" w14:textId="09FFA7FC" w:rsidR="00EF1487" w:rsidRPr="00EF1487" w:rsidRDefault="0086120C" w:rsidP="00025C49">
            <w:pPr>
              <w:numPr>
                <w:ilvl w:val="1"/>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D</w:t>
            </w:r>
            <w:r w:rsidR="00EF1487" w:rsidRPr="00EF1487">
              <w:rPr>
                <w:rFonts w:ascii="Calibri" w:hAnsi="Calibri" w:cs="Calibri"/>
                <w:color w:val="000000"/>
                <w:szCs w:val="24"/>
              </w:rPr>
              <w:t>evelop</w:t>
            </w:r>
            <w:r>
              <w:rPr>
                <w:rFonts w:ascii="Calibri" w:hAnsi="Calibri" w:cs="Calibri"/>
                <w:color w:val="000000"/>
                <w:szCs w:val="24"/>
              </w:rPr>
              <w:t>ing</w:t>
            </w:r>
            <w:r w:rsidR="00EF1487" w:rsidRPr="00EF1487">
              <w:rPr>
                <w:rFonts w:ascii="Calibri" w:hAnsi="Calibri" w:cs="Calibri"/>
                <w:color w:val="000000"/>
                <w:szCs w:val="24"/>
              </w:rPr>
              <w:t xml:space="preserve"> work with partners on 5 x action plans for the </w:t>
            </w:r>
            <w:r>
              <w:rPr>
                <w:rFonts w:ascii="Calibri" w:hAnsi="Calibri" w:cs="Calibri"/>
                <w:color w:val="000000"/>
                <w:szCs w:val="24"/>
              </w:rPr>
              <w:t>Cairngorm and Loch Lomond and Trossachs National Park Authorities</w:t>
            </w:r>
            <w:r w:rsidR="00EF1487" w:rsidRPr="00EF1487">
              <w:rPr>
                <w:rFonts w:ascii="Calibri" w:hAnsi="Calibri" w:cs="Calibri"/>
                <w:color w:val="000000"/>
                <w:szCs w:val="24"/>
              </w:rPr>
              <w:t xml:space="preserve">, Clyde Climate </w:t>
            </w:r>
            <w:r w:rsidR="008A5585" w:rsidRPr="00EF1487">
              <w:rPr>
                <w:rFonts w:ascii="Calibri" w:hAnsi="Calibri" w:cs="Calibri"/>
                <w:color w:val="000000"/>
                <w:szCs w:val="24"/>
              </w:rPr>
              <w:t>Forest,</w:t>
            </w:r>
            <w:r w:rsidR="00EF1487" w:rsidRPr="00EF1487">
              <w:rPr>
                <w:rFonts w:ascii="Calibri" w:hAnsi="Calibri" w:cs="Calibri"/>
                <w:color w:val="000000"/>
                <w:szCs w:val="24"/>
              </w:rPr>
              <w:t xml:space="preserve"> and Atlantic Rainforest priority areas. We have completed recruitment rounds and appointed new </w:t>
            </w:r>
            <w:r>
              <w:rPr>
                <w:rFonts w:ascii="Calibri" w:hAnsi="Calibri" w:cs="Calibri"/>
                <w:color w:val="000000"/>
                <w:szCs w:val="24"/>
              </w:rPr>
              <w:t>Wildlife Manager Officer</w:t>
            </w:r>
            <w:r w:rsidR="00EF1487" w:rsidRPr="00EF1487">
              <w:rPr>
                <w:rFonts w:ascii="Calibri" w:hAnsi="Calibri" w:cs="Calibri"/>
                <w:color w:val="000000"/>
                <w:szCs w:val="24"/>
              </w:rPr>
              <w:t xml:space="preserve"> posts to deliver deer work, so focus has been on working with </w:t>
            </w:r>
            <w:r>
              <w:rPr>
                <w:rFonts w:ascii="Calibri" w:hAnsi="Calibri" w:cs="Calibri"/>
                <w:color w:val="000000"/>
                <w:szCs w:val="24"/>
              </w:rPr>
              <w:t xml:space="preserve">the </w:t>
            </w:r>
            <w:r w:rsidR="00EF1487" w:rsidRPr="00EF1487">
              <w:rPr>
                <w:rFonts w:ascii="Calibri" w:hAnsi="Calibri" w:cs="Calibri"/>
                <w:color w:val="000000"/>
                <w:szCs w:val="24"/>
              </w:rPr>
              <w:t>A</w:t>
            </w:r>
            <w:r>
              <w:rPr>
                <w:rFonts w:ascii="Calibri" w:hAnsi="Calibri" w:cs="Calibri"/>
                <w:color w:val="000000"/>
                <w:szCs w:val="24"/>
              </w:rPr>
              <w:t>ssociation of Deer Management Groups</w:t>
            </w:r>
            <w:r w:rsidR="00357FB8">
              <w:rPr>
                <w:rFonts w:ascii="Calibri" w:hAnsi="Calibri" w:cs="Calibri"/>
                <w:color w:val="000000"/>
                <w:szCs w:val="24"/>
              </w:rPr>
              <w:t xml:space="preserve"> (ADMG)</w:t>
            </w:r>
            <w:r>
              <w:rPr>
                <w:rFonts w:ascii="Calibri" w:hAnsi="Calibri" w:cs="Calibri"/>
                <w:color w:val="000000"/>
                <w:szCs w:val="24"/>
              </w:rPr>
              <w:t xml:space="preserve"> </w:t>
            </w:r>
            <w:r w:rsidR="00EF1487" w:rsidRPr="00EF1487">
              <w:rPr>
                <w:rFonts w:ascii="Calibri" w:hAnsi="Calibri" w:cs="Calibri"/>
                <w:color w:val="000000"/>
                <w:szCs w:val="24"/>
              </w:rPr>
              <w:t xml:space="preserve">and </w:t>
            </w:r>
            <w:r w:rsidR="00357FB8">
              <w:rPr>
                <w:rFonts w:ascii="Calibri" w:hAnsi="Calibri" w:cs="Calibri"/>
                <w:color w:val="000000"/>
                <w:szCs w:val="24"/>
              </w:rPr>
              <w:t>Deer Management Groups (</w:t>
            </w:r>
            <w:r w:rsidR="00EF1487" w:rsidRPr="00EF1487">
              <w:rPr>
                <w:rFonts w:ascii="Calibri" w:hAnsi="Calibri" w:cs="Calibri"/>
                <w:color w:val="000000"/>
                <w:szCs w:val="24"/>
              </w:rPr>
              <w:t>DMG</w:t>
            </w:r>
            <w:r w:rsidR="00357FB8">
              <w:rPr>
                <w:rFonts w:ascii="Calibri" w:hAnsi="Calibri" w:cs="Calibri"/>
                <w:color w:val="000000"/>
                <w:szCs w:val="24"/>
              </w:rPr>
              <w:t>)</w:t>
            </w:r>
            <w:r w:rsidR="00EF1487" w:rsidRPr="00EF1487">
              <w:rPr>
                <w:rFonts w:ascii="Calibri" w:hAnsi="Calibri" w:cs="Calibri"/>
                <w:color w:val="000000"/>
                <w:szCs w:val="24"/>
              </w:rPr>
              <w:t xml:space="preserve"> to develop DMG actions to reduce deer populations below 10 deer/km. </w:t>
            </w:r>
          </w:p>
          <w:p w14:paraId="64ACB4FE" w14:textId="77777777" w:rsidR="00EF1487" w:rsidRPr="00EF1487" w:rsidRDefault="00EF1487" w:rsidP="00025C49">
            <w:pPr>
              <w:numPr>
                <w:ilvl w:val="0"/>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And we will modernise our wildlife management and underpinning licencing functions to enable a net zero and nature positive future by:</w:t>
            </w:r>
          </w:p>
          <w:p w14:paraId="50A84FE9" w14:textId="0986EF79" w:rsidR="00EF1487" w:rsidRPr="00EF1487" w:rsidRDefault="00EF1487" w:rsidP="00025C49">
            <w:pPr>
              <w:numPr>
                <w:ilvl w:val="1"/>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We reviewed Beaver licenses (</w:t>
            </w:r>
            <w:r w:rsidR="00C36F76" w:rsidRPr="00EF1487">
              <w:rPr>
                <w:rFonts w:ascii="Calibri" w:hAnsi="Calibri" w:cs="Calibri"/>
                <w:color w:val="000000"/>
                <w:szCs w:val="24"/>
              </w:rPr>
              <w:t>3-year</w:t>
            </w:r>
            <w:r w:rsidRPr="00EF1487">
              <w:rPr>
                <w:rFonts w:ascii="Calibri" w:hAnsi="Calibri" w:cs="Calibri"/>
                <w:color w:val="000000"/>
                <w:szCs w:val="24"/>
              </w:rPr>
              <w:t xml:space="preserve"> review) and issued 24 licences. We </w:t>
            </w:r>
            <w:r w:rsidR="0086120C">
              <w:rPr>
                <w:rFonts w:ascii="Calibri" w:hAnsi="Calibri" w:cs="Calibri"/>
                <w:color w:val="000000"/>
                <w:szCs w:val="24"/>
              </w:rPr>
              <w:t>organised</w:t>
            </w:r>
            <w:r w:rsidR="0086120C" w:rsidRPr="00EF1487">
              <w:rPr>
                <w:rFonts w:ascii="Calibri" w:hAnsi="Calibri" w:cs="Calibri"/>
                <w:color w:val="000000"/>
                <w:szCs w:val="24"/>
              </w:rPr>
              <w:t xml:space="preserve"> </w:t>
            </w:r>
            <w:r w:rsidRPr="00EF1487">
              <w:rPr>
                <w:rFonts w:ascii="Calibri" w:hAnsi="Calibri" w:cs="Calibri"/>
                <w:color w:val="000000"/>
                <w:szCs w:val="24"/>
              </w:rPr>
              <w:t>S</w:t>
            </w:r>
            <w:r w:rsidR="0086120C">
              <w:rPr>
                <w:rFonts w:ascii="Calibri" w:hAnsi="Calibri" w:cs="Calibri"/>
                <w:color w:val="000000"/>
                <w:szCs w:val="24"/>
              </w:rPr>
              <w:t>cottish Beaver Advisory Group</w:t>
            </w:r>
            <w:r w:rsidR="00860A66">
              <w:rPr>
                <w:rFonts w:ascii="Calibri" w:hAnsi="Calibri" w:cs="Calibri"/>
                <w:color w:val="000000"/>
                <w:szCs w:val="24"/>
              </w:rPr>
              <w:t xml:space="preserve"> (SBAG)</w:t>
            </w:r>
            <w:r w:rsidRPr="00EF1487">
              <w:rPr>
                <w:rFonts w:ascii="Calibri" w:hAnsi="Calibri" w:cs="Calibri"/>
                <w:color w:val="000000"/>
                <w:szCs w:val="24"/>
              </w:rPr>
              <w:t xml:space="preserve"> </w:t>
            </w:r>
            <w:r w:rsidR="0086120C">
              <w:rPr>
                <w:rFonts w:ascii="Calibri" w:hAnsi="Calibri" w:cs="Calibri"/>
                <w:color w:val="000000"/>
                <w:szCs w:val="24"/>
              </w:rPr>
              <w:t xml:space="preserve">meetings </w:t>
            </w:r>
            <w:r w:rsidRPr="00EF1487">
              <w:rPr>
                <w:rFonts w:ascii="Calibri" w:hAnsi="Calibri" w:cs="Calibri"/>
                <w:color w:val="000000"/>
                <w:szCs w:val="24"/>
              </w:rPr>
              <w:t xml:space="preserve">and initiated task and finish groups for Beaver Strategy and SBAG priorities. </w:t>
            </w:r>
          </w:p>
          <w:p w14:paraId="640E7D1A" w14:textId="1C848F25" w:rsidR="00EF1487" w:rsidRPr="00EF1487" w:rsidRDefault="00EF1487" w:rsidP="00025C49">
            <w:pPr>
              <w:numPr>
                <w:ilvl w:val="1"/>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We submitted Goose Policy Review to </w:t>
            </w:r>
            <w:r w:rsidR="00357FB8">
              <w:rPr>
                <w:rFonts w:ascii="Calibri" w:hAnsi="Calibri" w:cs="Calibri"/>
                <w:color w:val="000000"/>
                <w:szCs w:val="24"/>
              </w:rPr>
              <w:t>SG</w:t>
            </w:r>
            <w:r w:rsidRPr="00EF1487">
              <w:rPr>
                <w:rFonts w:ascii="Calibri" w:hAnsi="Calibri" w:cs="Calibri"/>
                <w:color w:val="000000"/>
                <w:szCs w:val="24"/>
              </w:rPr>
              <w:t>. We have engage</w:t>
            </w:r>
            <w:r w:rsidR="0086120C">
              <w:rPr>
                <w:rFonts w:ascii="Calibri" w:hAnsi="Calibri" w:cs="Calibri"/>
                <w:color w:val="000000"/>
                <w:szCs w:val="24"/>
              </w:rPr>
              <w:t>d</w:t>
            </w:r>
            <w:r w:rsidRPr="00EF1487">
              <w:rPr>
                <w:rFonts w:ascii="Calibri" w:hAnsi="Calibri" w:cs="Calibri"/>
                <w:color w:val="000000"/>
                <w:szCs w:val="24"/>
              </w:rPr>
              <w:t xml:space="preserve"> with stakeholders on future scheme support funding </w:t>
            </w:r>
            <w:r w:rsidR="0086120C">
              <w:rPr>
                <w:rFonts w:ascii="Calibri" w:hAnsi="Calibri" w:cs="Calibri"/>
                <w:color w:val="000000"/>
                <w:szCs w:val="24"/>
              </w:rPr>
              <w:t>and are ready to progress subject to SG budget decisions</w:t>
            </w:r>
            <w:r w:rsidRPr="00EF1487">
              <w:rPr>
                <w:rFonts w:ascii="Calibri" w:hAnsi="Calibri" w:cs="Calibri"/>
                <w:color w:val="000000"/>
                <w:szCs w:val="24"/>
              </w:rPr>
              <w:t>.</w:t>
            </w:r>
          </w:p>
          <w:p w14:paraId="1AE23806" w14:textId="7B73A3C3" w:rsidR="00EF1487" w:rsidRPr="00EF1487" w:rsidRDefault="00EF1487" w:rsidP="00025C49">
            <w:pPr>
              <w:numPr>
                <w:ilvl w:val="1"/>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We progressed work on advice to </w:t>
            </w:r>
            <w:r w:rsidR="00357FB8">
              <w:rPr>
                <w:rFonts w:ascii="Calibri" w:hAnsi="Calibri" w:cs="Calibri"/>
                <w:color w:val="000000"/>
                <w:szCs w:val="24"/>
              </w:rPr>
              <w:t>SG</w:t>
            </w:r>
            <w:r w:rsidRPr="00EF1487">
              <w:rPr>
                <w:rFonts w:ascii="Calibri" w:hAnsi="Calibri" w:cs="Calibri"/>
                <w:color w:val="000000"/>
                <w:szCs w:val="24"/>
              </w:rPr>
              <w:t xml:space="preserve"> on </w:t>
            </w:r>
            <w:r w:rsidR="0086120C">
              <w:rPr>
                <w:rFonts w:ascii="Calibri" w:hAnsi="Calibri" w:cs="Calibri"/>
                <w:color w:val="000000"/>
                <w:szCs w:val="24"/>
              </w:rPr>
              <w:t xml:space="preserve">Wildlife and Countryside </w:t>
            </w:r>
            <w:r w:rsidRPr="00EF1487">
              <w:rPr>
                <w:rFonts w:ascii="Calibri" w:hAnsi="Calibri" w:cs="Calibri"/>
                <w:color w:val="000000"/>
                <w:szCs w:val="24"/>
              </w:rPr>
              <w:t>Act Schedule 2 Review</w:t>
            </w:r>
            <w:r w:rsidR="0086120C">
              <w:rPr>
                <w:rFonts w:ascii="Calibri" w:hAnsi="Calibri" w:cs="Calibri"/>
                <w:color w:val="000000"/>
                <w:szCs w:val="24"/>
              </w:rPr>
              <w:t xml:space="preserve"> for submission in early Q3</w:t>
            </w:r>
            <w:r w:rsidRPr="00EF1487">
              <w:rPr>
                <w:rFonts w:ascii="Calibri" w:hAnsi="Calibri" w:cs="Calibri"/>
                <w:color w:val="000000"/>
                <w:szCs w:val="24"/>
              </w:rPr>
              <w:t xml:space="preserve">. </w:t>
            </w:r>
          </w:p>
          <w:p w14:paraId="738BEF08" w14:textId="76449A1C" w:rsidR="00EF1487" w:rsidRPr="00EF1487" w:rsidRDefault="00EF1487" w:rsidP="00025C49">
            <w:pPr>
              <w:numPr>
                <w:ilvl w:val="1"/>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We have developed the scope and Terms </w:t>
            </w:r>
            <w:r w:rsidR="00C36F76" w:rsidRPr="00EF1487">
              <w:rPr>
                <w:rFonts w:ascii="Calibri" w:hAnsi="Calibri" w:cs="Calibri"/>
                <w:color w:val="000000"/>
                <w:szCs w:val="24"/>
              </w:rPr>
              <w:t>of</w:t>
            </w:r>
            <w:r w:rsidRPr="00EF1487">
              <w:rPr>
                <w:rFonts w:ascii="Calibri" w:hAnsi="Calibri" w:cs="Calibri"/>
                <w:color w:val="000000"/>
                <w:szCs w:val="24"/>
              </w:rPr>
              <w:t xml:space="preserve"> Reference of Species Licensing Review with SG and await Ministerial approval to initiate. </w:t>
            </w:r>
          </w:p>
          <w:p w14:paraId="5A5DF03A" w14:textId="646F52F7" w:rsidR="00EF1487" w:rsidRPr="00EF1487" w:rsidRDefault="00EF1487" w:rsidP="00025C49">
            <w:pPr>
              <w:numPr>
                <w:ilvl w:val="1"/>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Support</w:t>
            </w:r>
            <w:r w:rsidR="00215EA3">
              <w:rPr>
                <w:rFonts w:ascii="Calibri" w:hAnsi="Calibri" w:cs="Calibri"/>
                <w:color w:val="000000"/>
                <w:szCs w:val="24"/>
              </w:rPr>
              <w:t>ed</w:t>
            </w:r>
            <w:r w:rsidRPr="00EF1487">
              <w:rPr>
                <w:rFonts w:ascii="Calibri" w:hAnsi="Calibri" w:cs="Calibri"/>
                <w:color w:val="000000"/>
                <w:szCs w:val="24"/>
              </w:rPr>
              <w:t xml:space="preserve"> </w:t>
            </w:r>
            <w:r w:rsidR="00357FB8">
              <w:rPr>
                <w:rFonts w:ascii="Calibri" w:hAnsi="Calibri" w:cs="Calibri"/>
                <w:color w:val="000000"/>
                <w:szCs w:val="24"/>
              </w:rPr>
              <w:t>SG</w:t>
            </w:r>
            <w:r w:rsidRPr="00EF1487">
              <w:rPr>
                <w:rFonts w:ascii="Calibri" w:hAnsi="Calibri" w:cs="Calibri"/>
                <w:color w:val="000000"/>
                <w:szCs w:val="24"/>
              </w:rPr>
              <w:t xml:space="preserve"> with Wildlife (Muirburn) Scotland Bill provisions</w:t>
            </w:r>
            <w:r w:rsidR="00C36F76">
              <w:rPr>
                <w:rFonts w:ascii="Calibri" w:hAnsi="Calibri" w:cs="Calibri"/>
                <w:color w:val="000000"/>
                <w:szCs w:val="24"/>
              </w:rPr>
              <w:t>;</w:t>
            </w:r>
            <w:r w:rsidRPr="00EF1487">
              <w:rPr>
                <w:rFonts w:ascii="Calibri" w:hAnsi="Calibri" w:cs="Calibri"/>
                <w:color w:val="000000"/>
                <w:szCs w:val="24"/>
              </w:rPr>
              <w:t xml:space="preserve"> we have initiated and held muirburn and grouse moor code steering groups. </w:t>
            </w:r>
          </w:p>
          <w:p w14:paraId="526EBCDC" w14:textId="038D4A6F" w:rsidR="00DD1243" w:rsidRPr="00202841" w:rsidRDefault="00EF1487" w:rsidP="00202841">
            <w:pPr>
              <w:numPr>
                <w:ilvl w:val="1"/>
                <w:numId w:val="5"/>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We developed guidance on the Licensing of Hunting with Dogs - this </w:t>
            </w:r>
            <w:r w:rsidR="00860A66">
              <w:rPr>
                <w:rFonts w:ascii="Calibri" w:hAnsi="Calibri" w:cs="Calibri"/>
                <w:color w:val="000000"/>
                <w:szCs w:val="24"/>
              </w:rPr>
              <w:t>was</w:t>
            </w:r>
            <w:r w:rsidRPr="00EF1487">
              <w:rPr>
                <w:rFonts w:ascii="Calibri" w:hAnsi="Calibri" w:cs="Calibri"/>
                <w:color w:val="000000"/>
                <w:szCs w:val="24"/>
              </w:rPr>
              <w:t xml:space="preserve"> published </w:t>
            </w:r>
            <w:r w:rsidR="00860A66">
              <w:rPr>
                <w:rFonts w:ascii="Calibri" w:hAnsi="Calibri" w:cs="Calibri"/>
                <w:color w:val="000000"/>
                <w:szCs w:val="24"/>
              </w:rPr>
              <w:t>on 3</w:t>
            </w:r>
            <w:r w:rsidR="00860A66" w:rsidRPr="00860A66">
              <w:rPr>
                <w:rFonts w:ascii="Calibri" w:hAnsi="Calibri" w:cs="Calibri"/>
                <w:color w:val="000000"/>
                <w:szCs w:val="24"/>
                <w:vertAlign w:val="superscript"/>
              </w:rPr>
              <w:t>rd</w:t>
            </w:r>
            <w:r w:rsidR="00860A66">
              <w:rPr>
                <w:rFonts w:ascii="Calibri" w:hAnsi="Calibri" w:cs="Calibri"/>
                <w:color w:val="000000"/>
                <w:szCs w:val="24"/>
              </w:rPr>
              <w:t xml:space="preserve"> October</w:t>
            </w:r>
            <w:r w:rsidRPr="00EF1487">
              <w:rPr>
                <w:rFonts w:ascii="Calibri" w:hAnsi="Calibri" w:cs="Calibri"/>
                <w:color w:val="000000"/>
                <w:szCs w:val="24"/>
              </w:rPr>
              <w:t>. We published data on species licensing - license numbers and take.</w:t>
            </w:r>
          </w:p>
        </w:tc>
      </w:tr>
      <w:tr w:rsidR="008D20BE" w:rsidRPr="00F550D1" w14:paraId="6573E668"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82A95A4" w14:textId="77777777" w:rsidR="008D20BE" w:rsidRPr="00F550D1" w:rsidRDefault="008D20BE" w:rsidP="008D20BE">
            <w:pPr>
              <w:rPr>
                <w:rFonts w:ascii="Calibri" w:hAnsi="Calibri" w:cs="Calibri"/>
                <w:b w:val="0"/>
                <w:color w:val="000000"/>
              </w:rPr>
            </w:pPr>
            <w:r w:rsidRPr="00CA47FF">
              <w:rPr>
                <w:rFonts w:ascii="Calibri" w:hAnsi="Calibri" w:cs="Calibri"/>
                <w:b w:val="0"/>
                <w:color w:val="000000"/>
              </w:rPr>
              <w:lastRenderedPageBreak/>
              <w:t>Engage and influence planning and other regulatory systems to ensure they deliver for nature and climate</w:t>
            </w:r>
          </w:p>
        </w:tc>
        <w:tc>
          <w:tcPr>
            <w:tcW w:w="1276" w:type="dxa"/>
            <w:vAlign w:val="center"/>
          </w:tcPr>
          <w:p w14:paraId="64BB6ECC"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550D1">
              <w:rPr>
                <w:rFonts w:ascii="Calibri" w:hAnsi="Calibri" w:cs="Calibri"/>
                <w:color w:val="000000"/>
              </w:rPr>
              <w:t>Robbie Kernahan</w:t>
            </w:r>
          </w:p>
        </w:tc>
        <w:tc>
          <w:tcPr>
            <w:tcW w:w="992" w:type="dxa"/>
            <w:shd w:val="clear" w:color="auto" w:fill="9BBB59" w:themeFill="accent3"/>
            <w:vAlign w:val="center"/>
          </w:tcPr>
          <w:p w14:paraId="0596671F"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550D1">
              <w:rPr>
                <w:rFonts w:ascii="Calibri" w:hAnsi="Calibri" w:cs="Calibri"/>
                <w:b/>
              </w:rPr>
              <w:t>GREEN</w:t>
            </w:r>
          </w:p>
        </w:tc>
        <w:tc>
          <w:tcPr>
            <w:tcW w:w="8930" w:type="dxa"/>
            <w:vAlign w:val="center"/>
          </w:tcPr>
          <w:p w14:paraId="7FA95530" w14:textId="60320789" w:rsidR="00CA47FF" w:rsidRPr="00CA47FF" w:rsidRDefault="00CA47FF" w:rsidP="00025C49">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47FF">
              <w:rPr>
                <w:rFonts w:ascii="Calibri" w:hAnsi="Calibri" w:cs="Calibri"/>
              </w:rPr>
              <w:t xml:space="preserve">The extension period for </w:t>
            </w:r>
            <w:proofErr w:type="spellStart"/>
            <w:r w:rsidRPr="00CA47FF">
              <w:rPr>
                <w:rFonts w:ascii="Calibri" w:hAnsi="Calibri" w:cs="Calibri"/>
              </w:rPr>
              <w:t>InformedDecision</w:t>
            </w:r>
            <w:proofErr w:type="spellEnd"/>
            <w:r w:rsidRPr="00CA47FF">
              <w:rPr>
                <w:rFonts w:ascii="Calibri" w:hAnsi="Calibri" w:cs="Calibri"/>
              </w:rPr>
              <w:t xml:space="preserve"> is gathering the required data and on target for end of November completion of the pilot. Work has begun during this quarter on a business case to be considered by </w:t>
            </w:r>
            <w:r w:rsidR="00860A66">
              <w:rPr>
                <w:rFonts w:ascii="Calibri" w:hAnsi="Calibri" w:cs="Calibri"/>
              </w:rPr>
              <w:t xml:space="preserve">Senior Leadership Team </w:t>
            </w:r>
            <w:r w:rsidRPr="00CA47FF">
              <w:rPr>
                <w:rFonts w:ascii="Calibri" w:hAnsi="Calibri" w:cs="Calibri"/>
              </w:rPr>
              <w:t>for the next phase of NatureScot use of the platform.</w:t>
            </w:r>
          </w:p>
          <w:p w14:paraId="1E35FC2A" w14:textId="43A7047F" w:rsidR="00CA47FF" w:rsidRPr="00CA47FF" w:rsidRDefault="00CA47FF" w:rsidP="00025C49">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47FF">
              <w:rPr>
                <w:rFonts w:ascii="Calibri" w:hAnsi="Calibri" w:cs="Calibri"/>
              </w:rPr>
              <w:t xml:space="preserve">Early preparation for </w:t>
            </w:r>
            <w:proofErr w:type="spellStart"/>
            <w:r w:rsidRPr="00CA47FF">
              <w:rPr>
                <w:rFonts w:ascii="Calibri" w:hAnsi="Calibri" w:cs="Calibri"/>
              </w:rPr>
              <w:t>Earraghail</w:t>
            </w:r>
            <w:proofErr w:type="spellEnd"/>
            <w:r w:rsidRPr="00CA47FF">
              <w:rPr>
                <w:rFonts w:ascii="Calibri" w:hAnsi="Calibri" w:cs="Calibri"/>
              </w:rPr>
              <w:t xml:space="preserve"> Wind Fa</w:t>
            </w:r>
            <w:r w:rsidR="00D453EF">
              <w:rPr>
                <w:rFonts w:ascii="Calibri" w:hAnsi="Calibri" w:cs="Calibri"/>
              </w:rPr>
              <w:t>r</w:t>
            </w:r>
            <w:r w:rsidRPr="00CA47FF">
              <w:rPr>
                <w:rFonts w:ascii="Calibri" w:hAnsi="Calibri" w:cs="Calibri"/>
              </w:rPr>
              <w:t>m Inquiry and ongoing analysis of new decisions in light of NPF4.</w:t>
            </w:r>
          </w:p>
          <w:p w14:paraId="18179620" w14:textId="0C36EDB2" w:rsidR="00CA47FF" w:rsidRPr="00CA47FF" w:rsidRDefault="00CA47FF" w:rsidP="00025C49">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47FF">
              <w:rPr>
                <w:rFonts w:ascii="Calibri" w:hAnsi="Calibri" w:cs="Calibri"/>
              </w:rPr>
              <w:t>Onshore Wind Sector deal</w:t>
            </w:r>
            <w:r w:rsidR="00860A66">
              <w:rPr>
                <w:rFonts w:ascii="Calibri" w:hAnsi="Calibri" w:cs="Calibri"/>
              </w:rPr>
              <w:t xml:space="preserve"> was</w:t>
            </w:r>
            <w:r w:rsidRPr="00CA47FF">
              <w:rPr>
                <w:rFonts w:ascii="Calibri" w:hAnsi="Calibri" w:cs="Calibri"/>
              </w:rPr>
              <w:t xml:space="preserve"> finalised</w:t>
            </w:r>
            <w:r w:rsidR="00860A66">
              <w:rPr>
                <w:rFonts w:ascii="Calibri" w:hAnsi="Calibri" w:cs="Calibri"/>
              </w:rPr>
              <w:t>.</w:t>
            </w:r>
          </w:p>
          <w:p w14:paraId="410B316C" w14:textId="57794953" w:rsidR="008D20BE" w:rsidRPr="00F550D1" w:rsidRDefault="00CA47FF" w:rsidP="00025C49">
            <w:pPr>
              <w:numPr>
                <w:ilvl w:val="0"/>
                <w:numId w:val="6"/>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A47FF">
              <w:rPr>
                <w:rFonts w:ascii="Calibri" w:hAnsi="Calibri" w:cs="Calibri"/>
              </w:rPr>
              <w:t>D</w:t>
            </w:r>
            <w:r w:rsidR="00860A66">
              <w:rPr>
                <w:rFonts w:ascii="Calibri" w:hAnsi="Calibri" w:cs="Calibri"/>
              </w:rPr>
              <w:t xml:space="preserve">evelopment </w:t>
            </w:r>
            <w:r w:rsidRPr="00CA47FF">
              <w:rPr>
                <w:rFonts w:ascii="Calibri" w:hAnsi="Calibri" w:cs="Calibri"/>
              </w:rPr>
              <w:t>M</w:t>
            </w:r>
            <w:r w:rsidR="00860A66">
              <w:rPr>
                <w:rFonts w:ascii="Calibri" w:hAnsi="Calibri" w:cs="Calibri"/>
              </w:rPr>
              <w:t>anagement</w:t>
            </w:r>
            <w:r w:rsidRPr="00CA47FF">
              <w:rPr>
                <w:rFonts w:ascii="Calibri" w:hAnsi="Calibri" w:cs="Calibri"/>
              </w:rPr>
              <w:t xml:space="preserve"> pressures managed within tolerances and D</w:t>
            </w:r>
            <w:r w:rsidR="00860A66">
              <w:rPr>
                <w:rFonts w:ascii="Calibri" w:hAnsi="Calibri" w:cs="Calibri"/>
              </w:rPr>
              <w:t xml:space="preserve">evelopment </w:t>
            </w:r>
            <w:r w:rsidRPr="00CA47FF">
              <w:rPr>
                <w:rFonts w:ascii="Calibri" w:hAnsi="Calibri" w:cs="Calibri"/>
              </w:rPr>
              <w:t>P</w:t>
            </w:r>
            <w:r w:rsidR="00860A66">
              <w:rPr>
                <w:rFonts w:ascii="Calibri" w:hAnsi="Calibri" w:cs="Calibri"/>
              </w:rPr>
              <w:t>lanning</w:t>
            </w:r>
            <w:r w:rsidRPr="00CA47FF">
              <w:rPr>
                <w:rFonts w:ascii="Calibri" w:hAnsi="Calibri" w:cs="Calibri"/>
              </w:rPr>
              <w:t xml:space="preserve"> collaboration work ongoing along with start of evidence gathering for some local development plans</w:t>
            </w:r>
          </w:p>
        </w:tc>
      </w:tr>
      <w:tr w:rsidR="008D20BE" w:rsidRPr="00F550D1" w14:paraId="3ECA2FB1" w14:textId="77777777" w:rsidTr="00DD1243">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A5B0C62" w14:textId="77777777" w:rsidR="008D20BE" w:rsidRPr="00F550D1" w:rsidRDefault="008D20BE" w:rsidP="008D20BE">
            <w:pPr>
              <w:rPr>
                <w:rFonts w:ascii="Calibri" w:hAnsi="Calibri" w:cs="Calibri"/>
                <w:b w:val="0"/>
                <w:color w:val="000000"/>
              </w:rPr>
            </w:pPr>
            <w:r w:rsidRPr="00F550D1">
              <w:rPr>
                <w:rFonts w:ascii="Calibri" w:hAnsi="Calibri" w:cs="Calibri"/>
                <w:b w:val="0"/>
                <w:color w:val="000000"/>
              </w:rPr>
              <w:t>Influence the transformation of marine management through new marine planning, protection and fisheries management frameworks, and working with the marine renewable energy sector</w:t>
            </w:r>
          </w:p>
        </w:tc>
        <w:tc>
          <w:tcPr>
            <w:tcW w:w="1276" w:type="dxa"/>
            <w:vAlign w:val="center"/>
          </w:tcPr>
          <w:p w14:paraId="01F6D4F6"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F550D1">
              <w:rPr>
                <w:rFonts w:ascii="Calibri" w:hAnsi="Calibri" w:cs="Calibri"/>
                <w:color w:val="000000"/>
              </w:rPr>
              <w:t>Nick Halfhide</w:t>
            </w:r>
          </w:p>
        </w:tc>
        <w:tc>
          <w:tcPr>
            <w:tcW w:w="992" w:type="dxa"/>
            <w:shd w:val="clear" w:color="auto" w:fill="9BBB59" w:themeFill="accent3"/>
            <w:vAlign w:val="center"/>
          </w:tcPr>
          <w:p w14:paraId="75548E2C" w14:textId="104B8473" w:rsidR="008D20BE" w:rsidRPr="00F550D1" w:rsidRDefault="00794997"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b/>
              </w:rPr>
              <w:t>GREEN</w:t>
            </w:r>
          </w:p>
        </w:tc>
        <w:tc>
          <w:tcPr>
            <w:tcW w:w="8930" w:type="dxa"/>
            <w:vAlign w:val="center"/>
          </w:tcPr>
          <w:p w14:paraId="0CCC68B3" w14:textId="0392C575" w:rsidR="00EF1487" w:rsidRPr="00EF1487" w:rsidRDefault="00EF1487"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Marine survey &amp; monitoring - Undertook monitoring of Wester Ross and South Arran </w:t>
            </w:r>
            <w:r w:rsidR="00860A66">
              <w:rPr>
                <w:rFonts w:ascii="Calibri" w:hAnsi="Calibri" w:cs="Calibri"/>
                <w:color w:val="000000"/>
                <w:szCs w:val="24"/>
              </w:rPr>
              <w:t>Marine Protected Areas (</w:t>
            </w:r>
            <w:r w:rsidRPr="00EF1487">
              <w:rPr>
                <w:rFonts w:ascii="Calibri" w:hAnsi="Calibri" w:cs="Calibri"/>
                <w:color w:val="000000"/>
                <w:szCs w:val="24"/>
              </w:rPr>
              <w:t>MPAs</w:t>
            </w:r>
            <w:r w:rsidR="00860A66">
              <w:rPr>
                <w:rFonts w:ascii="Calibri" w:hAnsi="Calibri" w:cs="Calibri"/>
                <w:color w:val="000000"/>
                <w:szCs w:val="24"/>
              </w:rPr>
              <w:t>)</w:t>
            </w:r>
            <w:r w:rsidRPr="00EF1487">
              <w:rPr>
                <w:rFonts w:ascii="Calibri" w:hAnsi="Calibri" w:cs="Calibri"/>
                <w:color w:val="000000"/>
                <w:szCs w:val="24"/>
              </w:rPr>
              <w:t xml:space="preserve"> (diving/drop down video</w:t>
            </w:r>
            <w:r w:rsidR="008E250C">
              <w:rPr>
                <w:rFonts w:ascii="Calibri" w:hAnsi="Calibri" w:cs="Calibri"/>
                <w:color w:val="000000"/>
                <w:szCs w:val="24"/>
              </w:rPr>
              <w:t>) and</w:t>
            </w:r>
            <w:r w:rsidR="008E250C" w:rsidRPr="00EF1487">
              <w:rPr>
                <w:rFonts w:ascii="Calibri" w:hAnsi="Calibri" w:cs="Calibri"/>
                <w:color w:val="000000"/>
                <w:szCs w:val="24"/>
              </w:rPr>
              <w:t xml:space="preserve"> Hoy </w:t>
            </w:r>
            <w:r w:rsidR="00860A66">
              <w:rPr>
                <w:rFonts w:ascii="Calibri" w:hAnsi="Calibri" w:cs="Calibri"/>
                <w:color w:val="000000"/>
                <w:szCs w:val="24"/>
              </w:rPr>
              <w:t>Special Protection Area (</w:t>
            </w:r>
            <w:r w:rsidR="008E250C" w:rsidRPr="00EF1487">
              <w:rPr>
                <w:rFonts w:ascii="Calibri" w:hAnsi="Calibri" w:cs="Calibri"/>
                <w:color w:val="000000"/>
                <w:szCs w:val="24"/>
              </w:rPr>
              <w:t>SPA</w:t>
            </w:r>
            <w:r w:rsidR="00860A66">
              <w:rPr>
                <w:rFonts w:ascii="Calibri" w:hAnsi="Calibri" w:cs="Calibri"/>
                <w:color w:val="000000"/>
                <w:szCs w:val="24"/>
              </w:rPr>
              <w:t>)</w:t>
            </w:r>
            <w:r w:rsidR="008E250C">
              <w:rPr>
                <w:rFonts w:ascii="Calibri" w:hAnsi="Calibri" w:cs="Calibri"/>
                <w:color w:val="000000"/>
                <w:szCs w:val="24"/>
              </w:rPr>
              <w:t>,</w:t>
            </w:r>
            <w:r w:rsidR="008E250C" w:rsidRPr="00EF1487">
              <w:rPr>
                <w:rFonts w:ascii="Calibri" w:hAnsi="Calibri" w:cs="Calibri"/>
                <w:color w:val="000000"/>
                <w:szCs w:val="24"/>
              </w:rPr>
              <w:t xml:space="preserve"> East Caithness Cliffs SPA</w:t>
            </w:r>
            <w:r w:rsidR="008E250C">
              <w:rPr>
                <w:rFonts w:ascii="Calibri" w:hAnsi="Calibri" w:cs="Calibri"/>
                <w:color w:val="000000"/>
                <w:szCs w:val="24"/>
              </w:rPr>
              <w:t>; continued review</w:t>
            </w:r>
            <w:r w:rsidRPr="00EF1487">
              <w:rPr>
                <w:rFonts w:ascii="Calibri" w:hAnsi="Calibri" w:cs="Calibri"/>
                <w:color w:val="000000"/>
                <w:szCs w:val="24"/>
              </w:rPr>
              <w:t xml:space="preserve"> on </w:t>
            </w:r>
            <w:r w:rsidR="008E250C">
              <w:rPr>
                <w:rFonts w:ascii="Calibri" w:hAnsi="Calibri" w:cs="Calibri"/>
                <w:color w:val="000000"/>
                <w:szCs w:val="24"/>
              </w:rPr>
              <w:t xml:space="preserve">the </w:t>
            </w:r>
            <w:r w:rsidRPr="00EF1487">
              <w:rPr>
                <w:rFonts w:ascii="Calibri" w:hAnsi="Calibri" w:cs="Calibri"/>
                <w:color w:val="000000"/>
                <w:szCs w:val="24"/>
              </w:rPr>
              <w:t>future of Moray Firth bottlenose dolphin monitoring programme</w:t>
            </w:r>
            <w:r w:rsidR="008E250C">
              <w:rPr>
                <w:rFonts w:ascii="Calibri" w:hAnsi="Calibri" w:cs="Calibri"/>
                <w:color w:val="000000"/>
                <w:szCs w:val="24"/>
              </w:rPr>
              <w:t xml:space="preserve">; </w:t>
            </w:r>
            <w:r w:rsidR="003252B4">
              <w:rPr>
                <w:rFonts w:ascii="Calibri" w:hAnsi="Calibri" w:cs="Calibri"/>
                <w:color w:val="000000"/>
                <w:szCs w:val="24"/>
              </w:rPr>
              <w:t>and</w:t>
            </w:r>
            <w:r w:rsidRPr="00EF1487">
              <w:rPr>
                <w:rFonts w:ascii="Calibri" w:hAnsi="Calibri" w:cs="Calibri"/>
                <w:color w:val="000000"/>
                <w:szCs w:val="24"/>
              </w:rPr>
              <w:t xml:space="preserve"> </w:t>
            </w:r>
            <w:r w:rsidR="008E250C">
              <w:rPr>
                <w:rFonts w:ascii="Calibri" w:hAnsi="Calibri" w:cs="Calibri"/>
                <w:color w:val="000000"/>
                <w:szCs w:val="24"/>
              </w:rPr>
              <w:t>r</w:t>
            </w:r>
            <w:r w:rsidRPr="00EF1487">
              <w:rPr>
                <w:rFonts w:ascii="Calibri" w:hAnsi="Calibri" w:cs="Calibri"/>
                <w:color w:val="000000"/>
                <w:szCs w:val="24"/>
              </w:rPr>
              <w:t xml:space="preserve">elaunched </w:t>
            </w:r>
            <w:r w:rsidR="008E250C">
              <w:rPr>
                <w:rFonts w:ascii="Calibri" w:hAnsi="Calibri" w:cs="Calibri"/>
                <w:color w:val="000000"/>
                <w:szCs w:val="24"/>
              </w:rPr>
              <w:t>the c</w:t>
            </w:r>
            <w:r w:rsidRPr="00EF1487">
              <w:rPr>
                <w:rFonts w:ascii="Calibri" w:hAnsi="Calibri" w:cs="Calibri"/>
                <w:color w:val="000000"/>
                <w:szCs w:val="24"/>
              </w:rPr>
              <w:t xml:space="preserve">ommunity-led Marine Biodiversity Monitoring Project. </w:t>
            </w:r>
          </w:p>
          <w:p w14:paraId="18D95A92" w14:textId="11CEF4C4" w:rsidR="00EF1487" w:rsidRPr="00EF1487" w:rsidRDefault="00EF1487"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Marine data, reporting and assessment </w:t>
            </w:r>
            <w:r w:rsidR="008E250C">
              <w:rPr>
                <w:rFonts w:ascii="Calibri" w:hAnsi="Calibri" w:cs="Calibri"/>
                <w:color w:val="000000"/>
                <w:szCs w:val="24"/>
              </w:rPr>
              <w:t>–</w:t>
            </w:r>
            <w:r w:rsidRPr="00EF1487">
              <w:rPr>
                <w:rFonts w:ascii="Calibri" w:hAnsi="Calibri" w:cs="Calibri"/>
                <w:color w:val="000000"/>
                <w:szCs w:val="24"/>
              </w:rPr>
              <w:t xml:space="preserve"> completed preparations for migration of data from old Marine Recorder application into new application.  </w:t>
            </w:r>
          </w:p>
          <w:p w14:paraId="657447B6" w14:textId="3D75F845" w:rsidR="00EF1487" w:rsidRPr="00EF1487" w:rsidRDefault="00EF1487"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Enhanced Marine Protection - Supported M</w:t>
            </w:r>
            <w:r w:rsidR="008E250C">
              <w:rPr>
                <w:rFonts w:ascii="Calibri" w:hAnsi="Calibri" w:cs="Calibri"/>
                <w:color w:val="000000"/>
                <w:szCs w:val="24"/>
              </w:rPr>
              <w:t xml:space="preserve">arine </w:t>
            </w:r>
            <w:r w:rsidRPr="00EF1487">
              <w:rPr>
                <w:rFonts w:ascii="Calibri" w:hAnsi="Calibri" w:cs="Calibri"/>
                <w:color w:val="000000"/>
                <w:szCs w:val="24"/>
              </w:rPr>
              <w:t>D</w:t>
            </w:r>
            <w:r w:rsidR="008E250C">
              <w:rPr>
                <w:rFonts w:ascii="Calibri" w:hAnsi="Calibri" w:cs="Calibri"/>
                <w:color w:val="000000"/>
                <w:szCs w:val="24"/>
              </w:rPr>
              <w:t>irectorate (MD)</w:t>
            </w:r>
            <w:r w:rsidRPr="00EF1487">
              <w:rPr>
                <w:rFonts w:ascii="Calibri" w:hAnsi="Calibri" w:cs="Calibri"/>
                <w:color w:val="000000"/>
                <w:szCs w:val="24"/>
              </w:rPr>
              <w:t xml:space="preserve"> with the </w:t>
            </w:r>
            <w:r w:rsidR="00860A66">
              <w:rPr>
                <w:rFonts w:ascii="Calibri" w:hAnsi="Calibri" w:cs="Calibri"/>
                <w:color w:val="000000"/>
                <w:szCs w:val="24"/>
              </w:rPr>
              <w:t>Highly Protected Marine Areas (</w:t>
            </w:r>
            <w:r w:rsidRPr="00EF1487">
              <w:rPr>
                <w:rFonts w:ascii="Calibri" w:hAnsi="Calibri" w:cs="Calibri"/>
                <w:color w:val="000000"/>
                <w:szCs w:val="24"/>
              </w:rPr>
              <w:t>HPMA</w:t>
            </w:r>
            <w:r w:rsidR="00860A66">
              <w:rPr>
                <w:rFonts w:ascii="Calibri" w:hAnsi="Calibri" w:cs="Calibri"/>
                <w:color w:val="000000"/>
                <w:szCs w:val="24"/>
              </w:rPr>
              <w:t>)</w:t>
            </w:r>
            <w:r w:rsidRPr="00EF1487">
              <w:rPr>
                <w:rFonts w:ascii="Calibri" w:hAnsi="Calibri" w:cs="Calibri"/>
                <w:color w:val="000000"/>
                <w:szCs w:val="24"/>
              </w:rPr>
              <w:t xml:space="preserve"> consultation analysis and report, and helped to re-scope the revised policy approach/next steps.</w:t>
            </w:r>
          </w:p>
          <w:p w14:paraId="38F0058E" w14:textId="74EC8297" w:rsidR="00EF1487" w:rsidRPr="00EF1487" w:rsidRDefault="00EF1487"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M</w:t>
            </w:r>
            <w:r w:rsidR="008E250C">
              <w:rPr>
                <w:rFonts w:ascii="Calibri" w:hAnsi="Calibri" w:cs="Calibri"/>
                <w:color w:val="000000"/>
                <w:szCs w:val="24"/>
              </w:rPr>
              <w:t>arine Protected Areas and Priority Marine Feature</w:t>
            </w:r>
            <w:r w:rsidRPr="00EF1487">
              <w:rPr>
                <w:rFonts w:ascii="Calibri" w:hAnsi="Calibri" w:cs="Calibri"/>
                <w:color w:val="000000"/>
                <w:szCs w:val="24"/>
              </w:rPr>
              <w:t xml:space="preserve"> management - Review of MPA management measures proposed by </w:t>
            </w:r>
            <w:r w:rsidR="007C290D">
              <w:rPr>
                <w:rFonts w:ascii="Calibri" w:hAnsi="Calibri" w:cs="Calibri"/>
                <w:color w:val="000000"/>
                <w:szCs w:val="24"/>
              </w:rPr>
              <w:t>MD</w:t>
            </w:r>
            <w:r w:rsidRPr="00EF1487">
              <w:rPr>
                <w:rFonts w:ascii="Calibri" w:hAnsi="Calibri" w:cs="Calibri"/>
                <w:color w:val="000000"/>
                <w:szCs w:val="24"/>
              </w:rPr>
              <w:t xml:space="preserve"> is ongoing. Working with MD to scope Habitats Regulations Assessment </w:t>
            </w:r>
            <w:r w:rsidR="003328AC">
              <w:rPr>
                <w:rFonts w:ascii="Calibri" w:hAnsi="Calibri" w:cs="Calibri"/>
                <w:color w:val="000000"/>
                <w:szCs w:val="24"/>
              </w:rPr>
              <w:t xml:space="preserve">(HRA) </w:t>
            </w:r>
            <w:r w:rsidRPr="00EF1487">
              <w:rPr>
                <w:rFonts w:ascii="Calibri" w:hAnsi="Calibri" w:cs="Calibri"/>
                <w:color w:val="000000"/>
                <w:szCs w:val="24"/>
              </w:rPr>
              <w:t>process. Supported stakeholder engagement meetings.  Submitted SPA (marine and colony) fishing advice to MD.</w:t>
            </w:r>
          </w:p>
          <w:p w14:paraId="6B11FCC3" w14:textId="77777777" w:rsidR="00EF1487" w:rsidRPr="00EF1487" w:rsidRDefault="00EF1487"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Marine Fisheries Management - Initial advice on HRA of Fisheries Management Plans and input to Fisheries Management and Conservation Group.</w:t>
            </w:r>
          </w:p>
          <w:p w14:paraId="2C1ABF6D" w14:textId="0121DBD8" w:rsidR="00EF1487" w:rsidRPr="00EF1487" w:rsidRDefault="00EF1487"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Marine Energy </w:t>
            </w:r>
            <w:r w:rsidR="008E250C">
              <w:rPr>
                <w:rFonts w:ascii="Calibri" w:hAnsi="Calibri" w:cs="Calibri"/>
                <w:color w:val="000000"/>
                <w:szCs w:val="24"/>
              </w:rPr>
              <w:t>–</w:t>
            </w:r>
            <w:r w:rsidRPr="00EF1487">
              <w:rPr>
                <w:rFonts w:ascii="Calibri" w:hAnsi="Calibri" w:cs="Calibri"/>
                <w:color w:val="000000"/>
                <w:szCs w:val="24"/>
              </w:rPr>
              <w:t xml:space="preserve"> </w:t>
            </w:r>
            <w:r w:rsidR="008E250C">
              <w:rPr>
                <w:rFonts w:ascii="Calibri" w:hAnsi="Calibri" w:cs="Calibri"/>
                <w:color w:val="000000"/>
                <w:szCs w:val="24"/>
              </w:rPr>
              <w:t xml:space="preserve">continuing to explore resourcing/ capacity with </w:t>
            </w:r>
            <w:r w:rsidRPr="00EF1487">
              <w:rPr>
                <w:rFonts w:ascii="Calibri" w:hAnsi="Calibri" w:cs="Calibri"/>
                <w:color w:val="000000"/>
                <w:szCs w:val="24"/>
              </w:rPr>
              <w:t xml:space="preserve">SG Offshore Wind and Marine Directorate. Scoping advice provided to 2 </w:t>
            </w:r>
            <w:proofErr w:type="spellStart"/>
            <w:r w:rsidRPr="00EF1487">
              <w:rPr>
                <w:rFonts w:ascii="Calibri" w:hAnsi="Calibri" w:cs="Calibri"/>
                <w:color w:val="000000"/>
                <w:szCs w:val="24"/>
              </w:rPr>
              <w:t>ScotWind</w:t>
            </w:r>
            <w:proofErr w:type="spellEnd"/>
            <w:r w:rsidRPr="00EF1487">
              <w:rPr>
                <w:rFonts w:ascii="Calibri" w:hAnsi="Calibri" w:cs="Calibri"/>
                <w:color w:val="000000"/>
                <w:szCs w:val="24"/>
              </w:rPr>
              <w:t xml:space="preserve"> sites and 1 </w:t>
            </w:r>
            <w:r w:rsidR="00E728B0" w:rsidRPr="00E728B0">
              <w:rPr>
                <w:rFonts w:ascii="Calibri" w:hAnsi="Calibri" w:cs="Calibri"/>
                <w:color w:val="000000"/>
                <w:szCs w:val="24"/>
              </w:rPr>
              <w:t>Innovation and Targeted Oil &amp; Gas</w:t>
            </w:r>
            <w:r w:rsidR="00E728B0">
              <w:rPr>
                <w:rFonts w:ascii="Calibri" w:hAnsi="Calibri" w:cs="Calibri"/>
                <w:color w:val="000000"/>
                <w:szCs w:val="24"/>
              </w:rPr>
              <w:t xml:space="preserve"> (INTOG) wind project </w:t>
            </w:r>
            <w:r w:rsidRPr="00EF1487">
              <w:rPr>
                <w:rFonts w:ascii="Calibri" w:hAnsi="Calibri" w:cs="Calibri"/>
                <w:color w:val="000000"/>
                <w:szCs w:val="24"/>
              </w:rPr>
              <w:t>site. Responded to draft assessments for the Offshore Wind Sectoral Marine Plan and draft policy considerations for strategic compensation delivery.</w:t>
            </w:r>
          </w:p>
          <w:p w14:paraId="192E725F" w14:textId="77777777" w:rsidR="00EF1487" w:rsidRPr="00EF1487" w:rsidRDefault="00EF1487"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lastRenderedPageBreak/>
              <w:t>Aquaculture - responded to SEPA sea lice risk framework consultation and continued to work towards developing a robust interim approach for casework involving wild salmon interactions.</w:t>
            </w:r>
          </w:p>
          <w:p w14:paraId="25E65BB6" w14:textId="12330DAE" w:rsidR="00EF1487" w:rsidRPr="00EF1487" w:rsidRDefault="00EF1487"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National Marine Plan - contributed to first national stakeholder forum, and provided further advice on plan structure and S</w:t>
            </w:r>
            <w:r w:rsidR="009B7BA2">
              <w:rPr>
                <w:rFonts w:ascii="Calibri" w:hAnsi="Calibri" w:cs="Calibri"/>
                <w:color w:val="000000"/>
                <w:szCs w:val="24"/>
              </w:rPr>
              <w:t xml:space="preserve">trategic Environmental </w:t>
            </w:r>
            <w:r w:rsidRPr="00EF1487">
              <w:rPr>
                <w:rFonts w:ascii="Calibri" w:hAnsi="Calibri" w:cs="Calibri"/>
                <w:color w:val="000000"/>
                <w:szCs w:val="24"/>
              </w:rPr>
              <w:t>A</w:t>
            </w:r>
            <w:r w:rsidR="009B7BA2">
              <w:rPr>
                <w:rFonts w:ascii="Calibri" w:hAnsi="Calibri" w:cs="Calibri"/>
                <w:color w:val="000000"/>
                <w:szCs w:val="24"/>
              </w:rPr>
              <w:t>ssessment (SEA)</w:t>
            </w:r>
            <w:r w:rsidRPr="00EF1487">
              <w:rPr>
                <w:rFonts w:ascii="Calibri" w:hAnsi="Calibri" w:cs="Calibri"/>
                <w:color w:val="000000"/>
                <w:szCs w:val="24"/>
              </w:rPr>
              <w:t xml:space="preserve"> process.</w:t>
            </w:r>
          </w:p>
          <w:p w14:paraId="00F7D59A" w14:textId="11592D9C" w:rsidR="008D20BE" w:rsidRPr="0042182D" w:rsidRDefault="00EF1487"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Blue Carbon, coastal ecology &amp; adaptation - work on Scottish Blue Carbon strategy delayed to Q3-4.</w:t>
            </w:r>
          </w:p>
        </w:tc>
      </w:tr>
    </w:tbl>
    <w:p w14:paraId="6D945C5C" w14:textId="102F432C" w:rsidR="00DD1243" w:rsidRDefault="00DD1243" w:rsidP="008D20BE">
      <w:pPr>
        <w:keepNext/>
        <w:keepLines/>
        <w:spacing w:before="40" w:after="0" w:line="259" w:lineRule="auto"/>
        <w:jc w:val="center"/>
        <w:outlineLvl w:val="1"/>
        <w:rPr>
          <w:rFonts w:ascii="Calibri" w:eastAsiaTheme="majorEastAsia" w:hAnsi="Calibri" w:cs="Calibri"/>
          <w:b/>
          <w:szCs w:val="26"/>
        </w:rPr>
      </w:pPr>
    </w:p>
    <w:p w14:paraId="0030AC5B" w14:textId="77777777" w:rsidR="00DD1243" w:rsidRDefault="00DD1243">
      <w:pPr>
        <w:rPr>
          <w:rFonts w:ascii="Calibri" w:eastAsiaTheme="majorEastAsia" w:hAnsi="Calibri" w:cs="Calibri"/>
          <w:b/>
          <w:szCs w:val="26"/>
        </w:rPr>
      </w:pPr>
      <w:r>
        <w:rPr>
          <w:rFonts w:ascii="Calibri" w:eastAsiaTheme="majorEastAsia" w:hAnsi="Calibri" w:cs="Calibri"/>
          <w:b/>
          <w:szCs w:val="26"/>
        </w:rPr>
        <w:br w:type="page"/>
      </w:r>
    </w:p>
    <w:p w14:paraId="71D8407F" w14:textId="77777777" w:rsidR="008D20BE" w:rsidRPr="00F550D1" w:rsidRDefault="008D20BE" w:rsidP="008D20BE">
      <w:pPr>
        <w:keepNext/>
        <w:keepLines/>
        <w:spacing w:before="40" w:after="0" w:line="259" w:lineRule="auto"/>
        <w:jc w:val="center"/>
        <w:outlineLvl w:val="1"/>
        <w:rPr>
          <w:rFonts w:ascii="Calibri" w:eastAsiaTheme="majorEastAsia" w:hAnsi="Calibri" w:cs="Calibri"/>
          <w:b/>
          <w:szCs w:val="26"/>
        </w:rPr>
      </w:pPr>
    </w:p>
    <w:p w14:paraId="6FA83087" w14:textId="77777777" w:rsidR="008D20BE" w:rsidRPr="00F550D1" w:rsidRDefault="008D20BE" w:rsidP="008D20BE">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t>WE HAVE RESTORED NATURE</w:t>
      </w:r>
    </w:p>
    <w:tbl>
      <w:tblPr>
        <w:tblStyle w:val="PlainTable1"/>
        <w:tblW w:w="14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WE HAVE RESTORED NATURE Q1 UPDATE"/>
      </w:tblPr>
      <w:tblGrid>
        <w:gridCol w:w="3544"/>
        <w:gridCol w:w="1276"/>
        <w:gridCol w:w="992"/>
        <w:gridCol w:w="8930"/>
      </w:tblGrid>
      <w:tr w:rsidR="008D20BE" w:rsidRPr="00F550D1" w14:paraId="24FA7C11" w14:textId="77777777" w:rsidTr="00C3498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25A95AB"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276" w:type="dxa"/>
            <w:vAlign w:val="center"/>
          </w:tcPr>
          <w:p w14:paraId="082C86E2"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2" w:type="dxa"/>
            <w:vAlign w:val="center"/>
          </w:tcPr>
          <w:p w14:paraId="2F3F43B3"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930" w:type="dxa"/>
            <w:vAlign w:val="center"/>
          </w:tcPr>
          <w:p w14:paraId="2914FB54" w14:textId="3402401F" w:rsidR="008D20BE" w:rsidRPr="00F550D1" w:rsidRDefault="00701FAD"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Q2</w:t>
            </w:r>
            <w:r w:rsidR="008D20BE" w:rsidRPr="00F550D1">
              <w:rPr>
                <w:rFonts w:ascii="Calibri" w:hAnsi="Calibri" w:cs="Calibri"/>
                <w:szCs w:val="26"/>
              </w:rPr>
              <w:t xml:space="preserve"> UPDATE</w:t>
            </w:r>
          </w:p>
        </w:tc>
      </w:tr>
      <w:tr w:rsidR="008D20BE" w:rsidRPr="00F550D1" w14:paraId="5D1D3751"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87654A5" w14:textId="77777777"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t>Co-lead the production of the new Scottish Biodiversity Strategy (SBS) and develop targets to include in a new Natural Environment Bill</w:t>
            </w:r>
          </w:p>
        </w:tc>
        <w:tc>
          <w:tcPr>
            <w:tcW w:w="1276" w:type="dxa"/>
            <w:vAlign w:val="center"/>
          </w:tcPr>
          <w:p w14:paraId="2E9A07D2"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2" w:type="dxa"/>
            <w:shd w:val="clear" w:color="auto" w:fill="9BBB59" w:themeFill="accent3"/>
            <w:vAlign w:val="center"/>
          </w:tcPr>
          <w:p w14:paraId="662AE0DF"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930" w:type="dxa"/>
            <w:vAlign w:val="center"/>
          </w:tcPr>
          <w:p w14:paraId="1601C632" w14:textId="40542754" w:rsidR="008D20BE" w:rsidRPr="00F550D1" w:rsidRDefault="00114E45" w:rsidP="00025C49">
            <w:pPr>
              <w:numPr>
                <w:ilvl w:val="0"/>
                <w:numId w:val="7"/>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4E45">
              <w:rPr>
                <w:rFonts w:ascii="Calibri" w:hAnsi="Calibri" w:cs="Calibri"/>
                <w:color w:val="000000"/>
                <w:szCs w:val="24"/>
              </w:rPr>
              <w:t>SBS Framework Consultation</w:t>
            </w:r>
            <w:r w:rsidR="00E728B0">
              <w:rPr>
                <w:rFonts w:ascii="Calibri" w:hAnsi="Calibri" w:cs="Calibri"/>
                <w:color w:val="000000"/>
                <w:szCs w:val="24"/>
              </w:rPr>
              <w:t>, including</w:t>
            </w:r>
            <w:r w:rsidR="00E728B0" w:rsidRPr="00E728B0">
              <w:rPr>
                <w:rFonts w:ascii="Calibri" w:hAnsi="Calibri" w:cs="Calibri"/>
                <w:color w:val="000000"/>
                <w:szCs w:val="24"/>
              </w:rPr>
              <w:t xml:space="preserve"> SBS, National Parks, </w:t>
            </w:r>
            <w:r w:rsidR="002F06D7">
              <w:rPr>
                <w:rFonts w:ascii="Calibri" w:hAnsi="Calibri" w:cs="Calibri"/>
                <w:color w:val="000000"/>
                <w:szCs w:val="24"/>
              </w:rPr>
              <w:t xml:space="preserve">statutory targets, </w:t>
            </w:r>
            <w:r w:rsidR="00E728B0">
              <w:rPr>
                <w:rFonts w:ascii="Calibri" w:hAnsi="Calibri" w:cs="Calibri"/>
                <w:color w:val="000000"/>
                <w:szCs w:val="24"/>
              </w:rPr>
              <w:t xml:space="preserve">30x30 and Nature Networks, </w:t>
            </w:r>
            <w:r w:rsidRPr="00114E45">
              <w:rPr>
                <w:rFonts w:ascii="Calibri" w:hAnsi="Calibri" w:cs="Calibri"/>
                <w:color w:val="000000"/>
                <w:szCs w:val="24"/>
              </w:rPr>
              <w:t>issued on 7th September</w:t>
            </w:r>
            <w:r>
              <w:rPr>
                <w:rFonts w:ascii="Calibri" w:hAnsi="Calibri" w:cs="Calibri"/>
                <w:color w:val="000000"/>
                <w:szCs w:val="24"/>
              </w:rPr>
              <w:t>.</w:t>
            </w:r>
          </w:p>
        </w:tc>
      </w:tr>
      <w:tr w:rsidR="008D20BE" w:rsidRPr="00F550D1" w14:paraId="4F83D9E2" w14:textId="77777777" w:rsidTr="00DD1243">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44DFFF62" w14:textId="77777777" w:rsidR="008D20BE" w:rsidRPr="00F550D1" w:rsidRDefault="008D20BE" w:rsidP="008D20BE">
            <w:pPr>
              <w:rPr>
                <w:rFonts w:ascii="Calibri" w:hAnsi="Calibri" w:cs="Calibri"/>
                <w:b w:val="0"/>
                <w:color w:val="000000"/>
                <w:szCs w:val="24"/>
              </w:rPr>
            </w:pPr>
            <w:r w:rsidRPr="00DC3DFD">
              <w:rPr>
                <w:rFonts w:ascii="Calibri" w:hAnsi="Calibri" w:cs="Calibri"/>
                <w:b w:val="0"/>
                <w:color w:val="000000"/>
                <w:szCs w:val="24"/>
              </w:rPr>
              <w:t>Scale up Peatland Restoration by delivering Peatland ACTION funding to projects</w:t>
            </w:r>
          </w:p>
        </w:tc>
        <w:tc>
          <w:tcPr>
            <w:tcW w:w="1276" w:type="dxa"/>
            <w:vAlign w:val="center"/>
          </w:tcPr>
          <w:p w14:paraId="60552E16"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FFC000"/>
            <w:vAlign w:val="center"/>
          </w:tcPr>
          <w:p w14:paraId="3ED5F9E1" w14:textId="4D250A84" w:rsidR="008D20BE" w:rsidRPr="00F550D1" w:rsidRDefault="003566CB"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Pr>
                <w:rFonts w:ascii="Calibri" w:hAnsi="Calibri" w:cs="Calibri"/>
                <w:b/>
              </w:rPr>
              <w:t>AMBER</w:t>
            </w:r>
          </w:p>
          <w:p w14:paraId="31DFF831"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p>
        </w:tc>
        <w:tc>
          <w:tcPr>
            <w:tcW w:w="8930" w:type="dxa"/>
            <w:vAlign w:val="center"/>
          </w:tcPr>
          <w:p w14:paraId="046E8411" w14:textId="5DB4BD0E" w:rsidR="003566CB" w:rsidRPr="003566CB" w:rsidRDefault="00E13C13"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rPr>
              <w:t xml:space="preserve">We are currently projecting putting 6,100 ha of degraded peatland on the road to recovery and meeting our 2023/24 delivery target by the end of Q4. Our projected spend is currently £10.4m on Indirect Capiral and £4.8m on Resource.  This is projecting an overspend on our £14.3m allocation.  We are therefore progressing a bid from the Shared Island Fund to meet our additional budget needs. </w:t>
            </w:r>
            <w:r w:rsidR="004A7104">
              <w:rPr>
                <w:rFonts w:ascii="Calibri" w:hAnsi="Calibri" w:cs="Calibri"/>
                <w:color w:val="000000"/>
                <w:szCs w:val="24"/>
              </w:rPr>
              <w:t>M</w:t>
            </w:r>
            <w:r w:rsidR="004A7104" w:rsidRPr="004A7104">
              <w:rPr>
                <w:rFonts w:ascii="Calibri" w:hAnsi="Calibri" w:cs="Calibri"/>
                <w:color w:val="000000"/>
                <w:szCs w:val="24"/>
              </w:rPr>
              <w:t>ost restoration work occurs in Q3 because of wider land management issues at other times of the year</w:t>
            </w:r>
            <w:r w:rsidR="004A7104">
              <w:rPr>
                <w:rFonts w:ascii="Calibri" w:hAnsi="Calibri" w:cs="Calibri"/>
                <w:color w:val="000000"/>
                <w:szCs w:val="24"/>
              </w:rPr>
              <w:t>.</w:t>
            </w:r>
          </w:p>
          <w:p w14:paraId="6D77CFE3" w14:textId="43E3062E" w:rsidR="003566CB" w:rsidRPr="003566CB" w:rsidRDefault="003566CB"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566CB">
              <w:rPr>
                <w:rFonts w:ascii="Calibri" w:hAnsi="Calibri" w:cs="Calibri"/>
                <w:color w:val="000000"/>
                <w:szCs w:val="24"/>
              </w:rPr>
              <w:t>Continued to stimulate demand t</w:t>
            </w:r>
            <w:r w:rsidR="00441B5A">
              <w:rPr>
                <w:rFonts w:ascii="Calibri" w:hAnsi="Calibri" w:cs="Calibri"/>
                <w:color w:val="000000"/>
                <w:szCs w:val="24"/>
              </w:rPr>
              <w:t xml:space="preserve">hrough stakeholder engagement </w:t>
            </w:r>
            <w:r w:rsidR="0037041C">
              <w:rPr>
                <w:rFonts w:ascii="Calibri" w:hAnsi="Calibri" w:cs="Calibri"/>
                <w:color w:val="000000"/>
                <w:szCs w:val="24"/>
              </w:rPr>
              <w:t>e</w:t>
            </w:r>
            <w:r w:rsidR="0037041C" w:rsidRPr="003566CB">
              <w:rPr>
                <w:rFonts w:ascii="Calibri" w:hAnsi="Calibri" w:cs="Calibri"/>
                <w:color w:val="000000"/>
                <w:szCs w:val="24"/>
              </w:rPr>
              <w:t>.g.,</w:t>
            </w:r>
            <w:r w:rsidRPr="003566CB">
              <w:rPr>
                <w:rFonts w:ascii="Calibri" w:hAnsi="Calibri" w:cs="Calibri"/>
                <w:color w:val="000000"/>
                <w:szCs w:val="24"/>
              </w:rPr>
              <w:t xml:space="preserve"> successful work with Farming Advisory Services to influence ~ 30 </w:t>
            </w:r>
            <w:r w:rsidR="00F2676C">
              <w:rPr>
                <w:rFonts w:ascii="Calibri" w:hAnsi="Calibri" w:cs="Calibri"/>
                <w:color w:val="000000"/>
                <w:szCs w:val="24"/>
              </w:rPr>
              <w:t>Scientific Advisory Committee (</w:t>
            </w:r>
            <w:r w:rsidRPr="003566CB">
              <w:rPr>
                <w:rFonts w:ascii="Calibri" w:hAnsi="Calibri" w:cs="Calibri"/>
                <w:color w:val="000000"/>
                <w:szCs w:val="24"/>
              </w:rPr>
              <w:t>SAC</w:t>
            </w:r>
            <w:r w:rsidR="00F2676C">
              <w:rPr>
                <w:rFonts w:ascii="Calibri" w:hAnsi="Calibri" w:cs="Calibri"/>
                <w:color w:val="000000"/>
                <w:szCs w:val="24"/>
              </w:rPr>
              <w:t>)</w:t>
            </w:r>
            <w:r w:rsidRPr="003566CB">
              <w:rPr>
                <w:rFonts w:ascii="Calibri" w:hAnsi="Calibri" w:cs="Calibri"/>
                <w:color w:val="000000"/>
                <w:szCs w:val="24"/>
              </w:rPr>
              <w:t xml:space="preserve"> Advisors.</w:t>
            </w:r>
          </w:p>
          <w:p w14:paraId="4DDFAB0F" w14:textId="77777777" w:rsidR="003566CB" w:rsidRPr="003566CB" w:rsidRDefault="003566CB"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566CB">
              <w:rPr>
                <w:rFonts w:ascii="Calibri" w:hAnsi="Calibri" w:cs="Calibri"/>
                <w:color w:val="000000"/>
                <w:szCs w:val="24"/>
              </w:rPr>
              <w:t>Guidance on Peat Slide risk assessment published and initiated review of mapping requirements to support more accurate project design/procurement.</w:t>
            </w:r>
          </w:p>
          <w:p w14:paraId="063AB6AC" w14:textId="22F21B91" w:rsidR="003566CB" w:rsidRPr="003566CB" w:rsidRDefault="003566CB"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566CB">
              <w:rPr>
                <w:rFonts w:ascii="Calibri" w:hAnsi="Calibri" w:cs="Calibri"/>
                <w:color w:val="000000"/>
                <w:szCs w:val="24"/>
              </w:rPr>
              <w:t xml:space="preserve">Continued to provide regional training on peatland restoration and targeted </w:t>
            </w:r>
            <w:r w:rsidR="00734EB1">
              <w:rPr>
                <w:rFonts w:ascii="Calibri" w:hAnsi="Calibri" w:cs="Calibri"/>
                <w:color w:val="000000"/>
                <w:szCs w:val="24"/>
              </w:rPr>
              <w:t>Continuing Professional Development (</w:t>
            </w:r>
            <w:r w:rsidRPr="003566CB">
              <w:rPr>
                <w:rFonts w:ascii="Calibri" w:hAnsi="Calibri" w:cs="Calibri"/>
                <w:color w:val="000000"/>
                <w:szCs w:val="24"/>
              </w:rPr>
              <w:t>CPD</w:t>
            </w:r>
            <w:r w:rsidR="00734EB1">
              <w:rPr>
                <w:rFonts w:ascii="Calibri" w:hAnsi="Calibri" w:cs="Calibri"/>
                <w:color w:val="000000"/>
                <w:szCs w:val="24"/>
              </w:rPr>
              <w:t>)</w:t>
            </w:r>
            <w:r w:rsidRPr="003566CB">
              <w:rPr>
                <w:rFonts w:ascii="Calibri" w:hAnsi="Calibri" w:cs="Calibri"/>
                <w:color w:val="000000"/>
                <w:szCs w:val="24"/>
              </w:rPr>
              <w:t xml:space="preserve"> training on peat slide risk assessment, project design and procurement. Engagement with contractors regarding New Entrants Scheme to help expand the workforce.</w:t>
            </w:r>
          </w:p>
          <w:p w14:paraId="628C4D0F" w14:textId="6E8A69F3" w:rsidR="003566CB" w:rsidRPr="003566CB" w:rsidRDefault="003566CB"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566CB">
              <w:rPr>
                <w:rFonts w:ascii="Calibri" w:hAnsi="Calibri" w:cs="Calibri"/>
                <w:color w:val="000000"/>
                <w:szCs w:val="24"/>
              </w:rPr>
              <w:t>We continued to develop/explore systems to support our work. For example, online Application Portal Phase 1 (business analysis) contract let to help consider greater efficiency and alignment of Peatland Action, Peatland Code and Permitted Development Rights processes.</w:t>
            </w:r>
          </w:p>
          <w:p w14:paraId="09D2F8A2" w14:textId="3D184D30" w:rsidR="003566CB" w:rsidRDefault="003566CB" w:rsidP="00025C49">
            <w:pPr>
              <w:numPr>
                <w:ilvl w:val="0"/>
                <w:numId w:val="7"/>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3566CB">
              <w:rPr>
                <w:rFonts w:ascii="Calibri" w:hAnsi="Calibri" w:cs="Calibri"/>
                <w:color w:val="000000"/>
                <w:szCs w:val="24"/>
              </w:rPr>
              <w:t>Recruited 6 new people to Peatland Action and made significant contribution to new SG 'One Plan' for peatland restoration by all Delivery Bodies</w:t>
            </w:r>
            <w:r w:rsidR="00734EB1">
              <w:rPr>
                <w:rFonts w:ascii="Calibri" w:hAnsi="Calibri" w:cs="Calibri"/>
                <w:color w:val="000000"/>
                <w:szCs w:val="24"/>
              </w:rPr>
              <w:t>.</w:t>
            </w:r>
          </w:p>
          <w:p w14:paraId="56108E3F" w14:textId="77777777" w:rsidR="00DD1243" w:rsidRDefault="00DD1243" w:rsidP="00DD1243">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p>
          <w:p w14:paraId="7F10315E" w14:textId="77777777" w:rsidR="00DD1243" w:rsidRDefault="00DD1243" w:rsidP="00DD1243">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p>
          <w:p w14:paraId="754A3E9E" w14:textId="77777777" w:rsidR="00DD1243" w:rsidRDefault="00DD1243" w:rsidP="00DD1243">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p>
          <w:p w14:paraId="0CF28924" w14:textId="3B751FA0" w:rsidR="00DD1243" w:rsidRPr="00F550D1" w:rsidRDefault="00DD1243" w:rsidP="00DD1243">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p>
        </w:tc>
      </w:tr>
      <w:tr w:rsidR="008D20BE" w:rsidRPr="00F550D1" w14:paraId="3D95AFB8" w14:textId="77777777" w:rsidTr="00DD12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104A8899" w14:textId="77777777"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lastRenderedPageBreak/>
              <w:t>Lead, enable and convene others around the development of ambitious and coherent actions to restore nature.  Deliver a major Nature Restoration Fund (NRF) targeted at high impact nature recovery projects and seeding greater investment from the private sector</w:t>
            </w:r>
          </w:p>
        </w:tc>
        <w:tc>
          <w:tcPr>
            <w:tcW w:w="1276" w:type="dxa"/>
            <w:vAlign w:val="center"/>
          </w:tcPr>
          <w:p w14:paraId="166712BA"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Nick Halfhide</w:t>
            </w:r>
          </w:p>
        </w:tc>
        <w:tc>
          <w:tcPr>
            <w:tcW w:w="992" w:type="dxa"/>
            <w:shd w:val="clear" w:color="auto" w:fill="9BBB59" w:themeFill="accent3"/>
            <w:vAlign w:val="center"/>
          </w:tcPr>
          <w:p w14:paraId="0B462571"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rPr>
              <w:t>GREEN</w:t>
            </w:r>
            <w:r w:rsidRPr="00F550D1">
              <w:rPr>
                <w:rFonts w:ascii="Calibri" w:hAnsi="Calibri" w:cs="Calibri"/>
                <w:b/>
                <w:szCs w:val="24"/>
              </w:rPr>
              <w:t xml:space="preserve"> </w:t>
            </w:r>
          </w:p>
        </w:tc>
        <w:tc>
          <w:tcPr>
            <w:tcW w:w="8930" w:type="dxa"/>
            <w:vAlign w:val="center"/>
          </w:tcPr>
          <w:p w14:paraId="10400A6A" w14:textId="49A1E4D4" w:rsidR="00114E45" w:rsidRPr="00114E45" w:rsidRDefault="00114E45" w:rsidP="00025C49">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4E45">
              <w:rPr>
                <w:rFonts w:ascii="Calibri" w:hAnsi="Calibri" w:cs="Calibri"/>
                <w:color w:val="000000"/>
                <w:szCs w:val="24"/>
              </w:rPr>
              <w:t xml:space="preserve">Species prioritisation - Board </w:t>
            </w:r>
            <w:r w:rsidR="00E728B0">
              <w:rPr>
                <w:rFonts w:ascii="Calibri" w:hAnsi="Calibri" w:cs="Calibri"/>
                <w:color w:val="000000"/>
                <w:szCs w:val="24"/>
              </w:rPr>
              <w:t>confirmed t</w:t>
            </w:r>
            <w:r w:rsidRPr="00114E45">
              <w:rPr>
                <w:rFonts w:ascii="Calibri" w:hAnsi="Calibri" w:cs="Calibri"/>
                <w:color w:val="000000"/>
                <w:szCs w:val="24"/>
              </w:rPr>
              <w:t xml:space="preserve">he high priority </w:t>
            </w:r>
            <w:r w:rsidRPr="003B1A4C">
              <w:rPr>
                <w:rFonts w:ascii="Calibri" w:hAnsi="Calibri" w:cs="Calibri"/>
                <w:color w:val="000000"/>
                <w:szCs w:val="24"/>
              </w:rPr>
              <w:t xml:space="preserve">of this work.  </w:t>
            </w:r>
            <w:r w:rsidR="00E728B0" w:rsidRPr="003B1A4C">
              <w:rPr>
                <w:rFonts w:ascii="Calibri" w:hAnsi="Calibri" w:cs="Calibri"/>
                <w:color w:val="000000"/>
                <w:szCs w:val="24"/>
              </w:rPr>
              <w:t>Me</w:t>
            </w:r>
            <w:r w:rsidR="003B1A4C" w:rsidRPr="003B1A4C">
              <w:rPr>
                <w:rFonts w:ascii="Calibri" w:hAnsi="Calibri" w:cs="Calibri"/>
                <w:color w:val="000000"/>
                <w:szCs w:val="24"/>
              </w:rPr>
              <w:t xml:space="preserve">t </w:t>
            </w:r>
            <w:r w:rsidR="00E728B0" w:rsidRPr="003B1A4C">
              <w:rPr>
                <w:rFonts w:ascii="Calibri" w:hAnsi="Calibri" w:cs="Calibri"/>
                <w:color w:val="000000"/>
                <w:szCs w:val="24"/>
              </w:rPr>
              <w:t>with</w:t>
            </w:r>
            <w:r w:rsidRPr="003B1A4C">
              <w:rPr>
                <w:rFonts w:ascii="Calibri" w:hAnsi="Calibri" w:cs="Calibri"/>
                <w:color w:val="000000"/>
                <w:szCs w:val="24"/>
              </w:rPr>
              <w:t xml:space="preserve"> specialists from </w:t>
            </w:r>
            <w:r w:rsidR="00734EB1" w:rsidRPr="003B1A4C">
              <w:rPr>
                <w:rFonts w:ascii="Calibri" w:hAnsi="Calibri" w:cs="Calibri"/>
                <w:color w:val="000000"/>
                <w:szCs w:val="24"/>
              </w:rPr>
              <w:t>environmental non-government</w:t>
            </w:r>
            <w:r w:rsidR="003B1A4C" w:rsidRPr="003B1A4C">
              <w:rPr>
                <w:rFonts w:ascii="Calibri" w:hAnsi="Calibri" w:cs="Calibri"/>
                <w:color w:val="000000"/>
                <w:szCs w:val="24"/>
              </w:rPr>
              <w:t>al</w:t>
            </w:r>
            <w:r w:rsidR="00734EB1" w:rsidRPr="003B1A4C">
              <w:rPr>
                <w:rFonts w:ascii="Calibri" w:hAnsi="Calibri" w:cs="Calibri"/>
                <w:color w:val="000000"/>
                <w:szCs w:val="24"/>
              </w:rPr>
              <w:t xml:space="preserve"> organisations</w:t>
            </w:r>
            <w:r w:rsidR="00734EB1">
              <w:rPr>
                <w:rFonts w:ascii="Calibri" w:hAnsi="Calibri" w:cs="Calibri"/>
                <w:color w:val="000000"/>
                <w:szCs w:val="24"/>
              </w:rPr>
              <w:t xml:space="preserve"> (</w:t>
            </w:r>
            <w:proofErr w:type="spellStart"/>
            <w:r w:rsidRPr="00114E45">
              <w:rPr>
                <w:rFonts w:ascii="Calibri" w:hAnsi="Calibri" w:cs="Calibri"/>
                <w:color w:val="000000"/>
                <w:szCs w:val="24"/>
              </w:rPr>
              <w:t>eNGOs</w:t>
            </w:r>
            <w:proofErr w:type="spellEnd"/>
            <w:r w:rsidR="00734EB1">
              <w:rPr>
                <w:rFonts w:ascii="Calibri" w:hAnsi="Calibri" w:cs="Calibri"/>
                <w:color w:val="000000"/>
                <w:szCs w:val="24"/>
              </w:rPr>
              <w:t>)</w:t>
            </w:r>
            <w:r w:rsidRPr="00114E45">
              <w:rPr>
                <w:rFonts w:ascii="Calibri" w:hAnsi="Calibri" w:cs="Calibri"/>
                <w:color w:val="000000"/>
                <w:szCs w:val="24"/>
              </w:rPr>
              <w:t xml:space="preserve"> to confirm progress and next steps</w:t>
            </w:r>
            <w:r w:rsidR="00E728B0">
              <w:rPr>
                <w:rFonts w:ascii="Calibri" w:hAnsi="Calibri" w:cs="Calibri"/>
                <w:color w:val="000000"/>
                <w:szCs w:val="24"/>
              </w:rPr>
              <w:t>, including links</w:t>
            </w:r>
            <w:r w:rsidRPr="00114E45">
              <w:rPr>
                <w:rFonts w:ascii="Calibri" w:hAnsi="Calibri" w:cs="Calibri"/>
                <w:color w:val="000000"/>
                <w:szCs w:val="24"/>
              </w:rPr>
              <w:t xml:space="preserve"> to the Scottish Biodiversity List. </w:t>
            </w:r>
          </w:p>
          <w:p w14:paraId="03DC446D" w14:textId="1C806537" w:rsidR="00114E45" w:rsidRPr="00114E45" w:rsidRDefault="00114E45" w:rsidP="00025C49">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4E45">
              <w:rPr>
                <w:rFonts w:ascii="Calibri" w:hAnsi="Calibri" w:cs="Calibri"/>
                <w:color w:val="000000"/>
                <w:szCs w:val="24"/>
              </w:rPr>
              <w:t>Fossil Code - the revised statutory Fossil Code was launched in August accompanied by blog</w:t>
            </w:r>
            <w:r w:rsidR="00E728B0">
              <w:rPr>
                <w:rFonts w:ascii="Calibri" w:hAnsi="Calibri" w:cs="Calibri"/>
                <w:color w:val="000000"/>
                <w:szCs w:val="24"/>
              </w:rPr>
              <w:t xml:space="preserve"> and podcast</w:t>
            </w:r>
            <w:r w:rsidRPr="00114E45">
              <w:rPr>
                <w:rFonts w:ascii="Calibri" w:hAnsi="Calibri" w:cs="Calibri"/>
                <w:color w:val="000000"/>
                <w:szCs w:val="24"/>
              </w:rPr>
              <w:t xml:space="preserve"> from a prominent palaeontologist, Dr Elsa </w:t>
            </w:r>
            <w:proofErr w:type="spellStart"/>
            <w:r w:rsidRPr="00114E45">
              <w:rPr>
                <w:rFonts w:ascii="Calibri" w:hAnsi="Calibri" w:cs="Calibri"/>
                <w:color w:val="000000"/>
                <w:szCs w:val="24"/>
              </w:rPr>
              <w:t>Panciroli</w:t>
            </w:r>
            <w:proofErr w:type="spellEnd"/>
            <w:r w:rsidRPr="00114E45">
              <w:rPr>
                <w:rFonts w:ascii="Calibri" w:hAnsi="Calibri" w:cs="Calibri"/>
                <w:color w:val="000000"/>
                <w:szCs w:val="24"/>
              </w:rPr>
              <w:t xml:space="preserve">. </w:t>
            </w:r>
          </w:p>
          <w:p w14:paraId="3439BAC0" w14:textId="72D9BC6C" w:rsidR="00114E45" w:rsidRPr="00114E45" w:rsidRDefault="00114E45" w:rsidP="00025C49">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4E45">
              <w:rPr>
                <w:rFonts w:ascii="Calibri" w:hAnsi="Calibri" w:cs="Calibri"/>
                <w:color w:val="000000"/>
                <w:szCs w:val="24"/>
              </w:rPr>
              <w:t xml:space="preserve">Water scarcity - </w:t>
            </w:r>
            <w:r w:rsidR="00E728B0">
              <w:rPr>
                <w:rFonts w:ascii="Calibri" w:hAnsi="Calibri" w:cs="Calibri"/>
                <w:color w:val="000000"/>
                <w:szCs w:val="24"/>
              </w:rPr>
              <w:t>following a change in the</w:t>
            </w:r>
            <w:r w:rsidR="00E728B0" w:rsidRPr="00114E45">
              <w:rPr>
                <w:rFonts w:ascii="Calibri" w:hAnsi="Calibri" w:cs="Calibri"/>
                <w:color w:val="000000"/>
                <w:szCs w:val="24"/>
              </w:rPr>
              <w:t xml:space="preserve"> </w:t>
            </w:r>
            <w:r w:rsidRPr="00114E45">
              <w:rPr>
                <w:rFonts w:ascii="Calibri" w:hAnsi="Calibri" w:cs="Calibri"/>
                <w:color w:val="000000"/>
                <w:szCs w:val="24"/>
              </w:rPr>
              <w:t>weather in Q2 the water scarcity cross</w:t>
            </w:r>
            <w:r w:rsidR="00E728B0">
              <w:rPr>
                <w:rFonts w:ascii="Calibri" w:hAnsi="Calibri" w:cs="Calibri"/>
                <w:color w:val="000000"/>
                <w:szCs w:val="24"/>
              </w:rPr>
              <w:t>-</w:t>
            </w:r>
            <w:r w:rsidRPr="00114E45">
              <w:rPr>
                <w:rFonts w:ascii="Calibri" w:hAnsi="Calibri" w:cs="Calibri"/>
                <w:color w:val="000000"/>
                <w:szCs w:val="24"/>
              </w:rPr>
              <w:t>government group was stood down.  We are following up internally and with partners on lessons learned.</w:t>
            </w:r>
          </w:p>
          <w:p w14:paraId="1E224F3C" w14:textId="0B04AF00" w:rsidR="00ED602F" w:rsidRDefault="00114E45" w:rsidP="00025C49">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114E45">
              <w:rPr>
                <w:rFonts w:ascii="Calibri" w:hAnsi="Calibri" w:cs="Calibri"/>
                <w:color w:val="000000"/>
                <w:szCs w:val="24"/>
              </w:rPr>
              <w:t>N</w:t>
            </w:r>
            <w:r w:rsidR="00E728B0">
              <w:rPr>
                <w:rFonts w:ascii="Calibri" w:hAnsi="Calibri" w:cs="Calibri"/>
                <w:color w:val="000000"/>
                <w:szCs w:val="24"/>
              </w:rPr>
              <w:t>ature Restoration Fund</w:t>
            </w:r>
            <w:r w:rsidRPr="00114E45">
              <w:rPr>
                <w:rFonts w:ascii="Calibri" w:hAnsi="Calibri" w:cs="Calibri"/>
                <w:color w:val="000000"/>
                <w:szCs w:val="24"/>
              </w:rPr>
              <w:t xml:space="preserve"> </w:t>
            </w:r>
            <w:r w:rsidR="00E728B0">
              <w:rPr>
                <w:rFonts w:ascii="Calibri" w:hAnsi="Calibri" w:cs="Calibri"/>
                <w:color w:val="000000"/>
                <w:szCs w:val="24"/>
              </w:rPr>
              <w:t>–</w:t>
            </w:r>
            <w:r w:rsidRPr="00114E45">
              <w:rPr>
                <w:rFonts w:ascii="Calibri" w:hAnsi="Calibri" w:cs="Calibri"/>
                <w:color w:val="000000"/>
                <w:szCs w:val="24"/>
              </w:rPr>
              <w:t xml:space="preserve"> </w:t>
            </w:r>
            <w:r w:rsidR="00E728B0">
              <w:rPr>
                <w:rFonts w:ascii="Calibri" w:hAnsi="Calibri" w:cs="Calibri"/>
                <w:color w:val="000000"/>
                <w:szCs w:val="24"/>
              </w:rPr>
              <w:t>‘Helping N</w:t>
            </w:r>
            <w:r w:rsidR="00E728B0" w:rsidRPr="00114E45">
              <w:rPr>
                <w:rFonts w:ascii="Calibri" w:hAnsi="Calibri" w:cs="Calibri"/>
                <w:color w:val="000000"/>
                <w:szCs w:val="24"/>
              </w:rPr>
              <w:t>ature</w:t>
            </w:r>
            <w:r w:rsidR="00E728B0">
              <w:rPr>
                <w:rFonts w:ascii="Calibri" w:hAnsi="Calibri" w:cs="Calibri"/>
                <w:color w:val="000000"/>
                <w:szCs w:val="24"/>
              </w:rPr>
              <w:t>’</w:t>
            </w:r>
            <w:r w:rsidR="00E728B0" w:rsidRPr="00114E45">
              <w:rPr>
                <w:rFonts w:ascii="Calibri" w:hAnsi="Calibri" w:cs="Calibri"/>
                <w:color w:val="000000"/>
                <w:szCs w:val="24"/>
              </w:rPr>
              <w:t xml:space="preserve"> grants awarded in </w:t>
            </w:r>
            <w:r w:rsidR="00B12352">
              <w:rPr>
                <w:rFonts w:ascii="Calibri" w:hAnsi="Calibri" w:cs="Calibri"/>
                <w:color w:val="000000"/>
                <w:szCs w:val="24"/>
              </w:rPr>
              <w:t>June</w:t>
            </w:r>
            <w:r w:rsidR="00E728B0" w:rsidRPr="00114E45">
              <w:rPr>
                <w:rFonts w:ascii="Calibri" w:hAnsi="Calibri" w:cs="Calibri"/>
                <w:color w:val="000000"/>
                <w:szCs w:val="24"/>
              </w:rPr>
              <w:t>, have now been offered</w:t>
            </w:r>
            <w:r w:rsidR="00B12352">
              <w:rPr>
                <w:rFonts w:ascii="Calibri" w:hAnsi="Calibri" w:cs="Calibri"/>
                <w:color w:val="000000"/>
                <w:szCs w:val="24"/>
              </w:rPr>
              <w:t xml:space="preserve"> (27 projects awarded with funding totalling £4.1m)</w:t>
            </w:r>
            <w:r w:rsidR="00E728B0">
              <w:rPr>
                <w:rFonts w:ascii="Calibri" w:hAnsi="Calibri" w:cs="Calibri"/>
                <w:color w:val="000000"/>
                <w:szCs w:val="24"/>
              </w:rPr>
              <w:t xml:space="preserve">. </w:t>
            </w:r>
            <w:r w:rsidR="00C34985">
              <w:rPr>
                <w:rFonts w:ascii="Calibri" w:hAnsi="Calibri" w:cs="Calibri"/>
                <w:color w:val="000000"/>
                <w:szCs w:val="24"/>
              </w:rPr>
              <w:t>A</w:t>
            </w:r>
            <w:r w:rsidR="00E728B0">
              <w:rPr>
                <w:rFonts w:ascii="Calibri" w:hAnsi="Calibri" w:cs="Calibri"/>
                <w:color w:val="000000"/>
                <w:szCs w:val="24"/>
              </w:rPr>
              <w:t xml:space="preserve">wards </w:t>
            </w:r>
            <w:r w:rsidRPr="00114E45">
              <w:rPr>
                <w:rFonts w:ascii="Calibri" w:hAnsi="Calibri" w:cs="Calibri"/>
                <w:color w:val="000000"/>
                <w:szCs w:val="24"/>
              </w:rPr>
              <w:t xml:space="preserve">panel for </w:t>
            </w:r>
            <w:r w:rsidR="00E728B0">
              <w:rPr>
                <w:rFonts w:ascii="Calibri" w:hAnsi="Calibri" w:cs="Calibri"/>
                <w:color w:val="000000"/>
                <w:szCs w:val="24"/>
              </w:rPr>
              <w:t>‘T</w:t>
            </w:r>
            <w:r w:rsidRPr="00114E45">
              <w:rPr>
                <w:rFonts w:ascii="Calibri" w:hAnsi="Calibri" w:cs="Calibri"/>
                <w:color w:val="000000"/>
                <w:szCs w:val="24"/>
              </w:rPr>
              <w:t xml:space="preserve">ransforming </w:t>
            </w:r>
            <w:r w:rsidR="00E728B0">
              <w:rPr>
                <w:rFonts w:ascii="Calibri" w:hAnsi="Calibri" w:cs="Calibri"/>
                <w:color w:val="000000"/>
                <w:szCs w:val="24"/>
              </w:rPr>
              <w:t>N</w:t>
            </w:r>
            <w:r w:rsidRPr="00114E45">
              <w:rPr>
                <w:rFonts w:ascii="Calibri" w:hAnsi="Calibri" w:cs="Calibri"/>
                <w:color w:val="000000"/>
                <w:szCs w:val="24"/>
              </w:rPr>
              <w:t>ature</w:t>
            </w:r>
            <w:r w:rsidR="00E728B0">
              <w:rPr>
                <w:rFonts w:ascii="Calibri" w:hAnsi="Calibri" w:cs="Calibri"/>
                <w:color w:val="000000"/>
                <w:szCs w:val="24"/>
              </w:rPr>
              <w:t>’</w:t>
            </w:r>
            <w:r w:rsidRPr="00114E45">
              <w:rPr>
                <w:rFonts w:ascii="Calibri" w:hAnsi="Calibri" w:cs="Calibri"/>
                <w:color w:val="000000"/>
                <w:szCs w:val="24"/>
              </w:rPr>
              <w:t xml:space="preserve"> grants met at the end of September</w:t>
            </w:r>
            <w:r w:rsidR="00B71A8F">
              <w:rPr>
                <w:rFonts w:ascii="Calibri" w:hAnsi="Calibri" w:cs="Calibri"/>
                <w:color w:val="000000"/>
                <w:szCs w:val="24"/>
              </w:rPr>
              <w:t xml:space="preserve"> and 7 projects totalling £</w:t>
            </w:r>
            <w:r w:rsidR="00B12352">
              <w:rPr>
                <w:rFonts w:ascii="Calibri" w:hAnsi="Calibri" w:cs="Calibri"/>
                <w:color w:val="000000"/>
                <w:szCs w:val="24"/>
              </w:rPr>
              <w:t>6.4m</w:t>
            </w:r>
            <w:r w:rsidR="00B71A8F">
              <w:rPr>
                <w:rFonts w:ascii="Calibri" w:hAnsi="Calibri" w:cs="Calibri"/>
                <w:color w:val="000000"/>
                <w:szCs w:val="24"/>
              </w:rPr>
              <w:t xml:space="preserve"> were awarded.</w:t>
            </w:r>
            <w:r w:rsidRPr="00114E45">
              <w:rPr>
                <w:rFonts w:ascii="Calibri" w:hAnsi="Calibri" w:cs="Calibri"/>
                <w:color w:val="000000"/>
                <w:szCs w:val="24"/>
              </w:rPr>
              <w:t xml:space="preserve"> </w:t>
            </w:r>
            <w:r w:rsidR="00B12352">
              <w:rPr>
                <w:rFonts w:ascii="Calibri" w:hAnsi="Calibri" w:cs="Calibri"/>
                <w:color w:val="000000"/>
                <w:szCs w:val="24"/>
              </w:rPr>
              <w:t xml:space="preserve">The value of these grants are indicative as are subject to change during the negotiation process before an offer is issued, </w:t>
            </w:r>
          </w:p>
          <w:p w14:paraId="417EEEA3" w14:textId="3C10B948" w:rsidR="00202841" w:rsidRPr="00ED602F" w:rsidRDefault="00202841" w:rsidP="00025C49">
            <w:pPr>
              <w:numPr>
                <w:ilvl w:val="0"/>
                <w:numId w:val="8"/>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bookmarkStart w:id="1" w:name="_Hlk147916200"/>
            <w:r w:rsidRPr="00EF1487">
              <w:rPr>
                <w:rFonts w:ascii="Calibri" w:hAnsi="Calibri" w:cs="Calibri"/>
                <w:color w:val="000000"/>
                <w:szCs w:val="24"/>
              </w:rPr>
              <w:t xml:space="preserve">Published action plan on </w:t>
            </w:r>
            <w:r w:rsidRPr="00B63F5B">
              <w:rPr>
                <w:rFonts w:ascii="Calibri" w:hAnsi="Calibri" w:cs="Calibri"/>
                <w:color w:val="000000"/>
                <w:szCs w:val="24"/>
              </w:rPr>
              <w:t xml:space="preserve">Highly pathogenic avian influenza </w:t>
            </w:r>
            <w:r>
              <w:rPr>
                <w:rFonts w:ascii="Calibri" w:hAnsi="Calibri" w:cs="Calibri"/>
                <w:color w:val="000000"/>
                <w:szCs w:val="24"/>
              </w:rPr>
              <w:t>(</w:t>
            </w:r>
            <w:r w:rsidRPr="00EF1487">
              <w:rPr>
                <w:rFonts w:ascii="Calibri" w:hAnsi="Calibri" w:cs="Calibri"/>
                <w:color w:val="000000"/>
                <w:szCs w:val="24"/>
              </w:rPr>
              <w:t>HPAI</w:t>
            </w:r>
            <w:r>
              <w:rPr>
                <w:rFonts w:ascii="Calibri" w:hAnsi="Calibri" w:cs="Calibri"/>
                <w:color w:val="000000"/>
                <w:szCs w:val="24"/>
              </w:rPr>
              <w:t>)</w:t>
            </w:r>
            <w:r w:rsidRPr="00EF1487">
              <w:rPr>
                <w:rFonts w:ascii="Calibri" w:hAnsi="Calibri" w:cs="Calibri"/>
                <w:color w:val="000000"/>
                <w:szCs w:val="24"/>
              </w:rPr>
              <w:t xml:space="preserve"> monitoring, </w:t>
            </w:r>
            <w:proofErr w:type="gramStart"/>
            <w:r w:rsidRPr="00EF1487">
              <w:rPr>
                <w:rFonts w:ascii="Calibri" w:hAnsi="Calibri" w:cs="Calibri"/>
                <w:color w:val="000000"/>
                <w:szCs w:val="24"/>
              </w:rPr>
              <w:t>guidance</w:t>
            </w:r>
            <w:proofErr w:type="gramEnd"/>
            <w:r w:rsidRPr="00EF1487">
              <w:rPr>
                <w:rFonts w:ascii="Calibri" w:hAnsi="Calibri" w:cs="Calibri"/>
                <w:color w:val="000000"/>
                <w:szCs w:val="24"/>
              </w:rPr>
              <w:t xml:space="preserve"> and communications.</w:t>
            </w:r>
            <w:bookmarkEnd w:id="1"/>
          </w:p>
        </w:tc>
      </w:tr>
      <w:tr w:rsidR="008D20BE" w:rsidRPr="00F550D1" w14:paraId="219D7521" w14:textId="77777777" w:rsidTr="00DD1243">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3282EAC7" w14:textId="77777777"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t>Demonstrate how agriculture can be transformed with new approaches to deliver targeted outcomes for nature and climate</w:t>
            </w:r>
          </w:p>
        </w:tc>
        <w:tc>
          <w:tcPr>
            <w:tcW w:w="1276" w:type="dxa"/>
            <w:vAlign w:val="center"/>
          </w:tcPr>
          <w:p w14:paraId="6375B253"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Robbie Kernahan</w:t>
            </w:r>
          </w:p>
        </w:tc>
        <w:tc>
          <w:tcPr>
            <w:tcW w:w="992" w:type="dxa"/>
            <w:shd w:val="clear" w:color="auto" w:fill="9BBB59" w:themeFill="accent3"/>
            <w:vAlign w:val="center"/>
          </w:tcPr>
          <w:p w14:paraId="354718C8"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930" w:type="dxa"/>
            <w:vAlign w:val="center"/>
          </w:tcPr>
          <w:p w14:paraId="45116878" w14:textId="76D0EE0B" w:rsidR="000B2C17" w:rsidRDefault="000B2C17" w:rsidP="000B2C17">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2</w:t>
            </w:r>
            <w:r w:rsidRPr="000B2C17">
              <w:rPr>
                <w:rFonts w:ascii="Calibri" w:hAnsi="Calibri" w:cs="Calibri"/>
                <w:color w:val="000000"/>
                <w:szCs w:val="24"/>
              </w:rPr>
              <w:t>023 AECS: 148 applications allocated to NatureScot (no Improving Public Access applications this year), sufficient case officers assigned and trained to assess them all with case officer assessments mostly completed by end Q2 in order to complete final assessments and approvals in Q3.</w:t>
            </w:r>
          </w:p>
          <w:p w14:paraId="038F79D9" w14:textId="358832CB" w:rsidR="004A66C2" w:rsidRPr="00114E45" w:rsidRDefault="00114E45" w:rsidP="00025C49">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5D1EE3">
              <w:rPr>
                <w:rFonts w:ascii="Calibri" w:hAnsi="Calibri" w:cs="Calibri"/>
                <w:color w:val="000000"/>
                <w:szCs w:val="24"/>
              </w:rPr>
              <w:t>Biodiversity Audit App</w:t>
            </w:r>
            <w:r w:rsidR="004A66C2" w:rsidRPr="005D1EE3">
              <w:rPr>
                <w:rFonts w:ascii="Calibri" w:hAnsi="Calibri" w:cs="Calibri"/>
                <w:color w:val="000000"/>
                <w:szCs w:val="24"/>
              </w:rPr>
              <w:t xml:space="preserve"> mainstreamed within SG who lead on scoping</w:t>
            </w:r>
            <w:r w:rsidR="004A66C2">
              <w:rPr>
                <w:rFonts w:ascii="Calibri" w:hAnsi="Calibri" w:cs="Calibri"/>
                <w:color w:val="000000"/>
                <w:szCs w:val="24"/>
              </w:rPr>
              <w:t xml:space="preserve"> future options through a ‘D</w:t>
            </w:r>
            <w:r w:rsidRPr="00114E45">
              <w:rPr>
                <w:rFonts w:ascii="Calibri" w:hAnsi="Calibri" w:cs="Calibri"/>
                <w:color w:val="000000"/>
                <w:szCs w:val="24"/>
              </w:rPr>
              <w:t>iscovery</w:t>
            </w:r>
            <w:r w:rsidR="00B63F5B">
              <w:rPr>
                <w:rFonts w:ascii="Calibri" w:hAnsi="Calibri" w:cs="Calibri"/>
                <w:color w:val="000000"/>
                <w:szCs w:val="24"/>
              </w:rPr>
              <w:t xml:space="preserve"> phase</w:t>
            </w:r>
            <w:r w:rsidR="004A66C2">
              <w:rPr>
                <w:rFonts w:ascii="Calibri" w:hAnsi="Calibri" w:cs="Calibri"/>
                <w:color w:val="000000"/>
                <w:szCs w:val="24"/>
              </w:rPr>
              <w:t>’</w:t>
            </w:r>
            <w:r w:rsidR="0037041C">
              <w:rPr>
                <w:rFonts w:ascii="Calibri" w:hAnsi="Calibri" w:cs="Calibri"/>
                <w:color w:val="000000"/>
                <w:szCs w:val="24"/>
              </w:rPr>
              <w:t>,</w:t>
            </w:r>
            <w:r w:rsidR="002704C0">
              <w:rPr>
                <w:rFonts w:ascii="Calibri" w:hAnsi="Calibri" w:cs="Calibri"/>
                <w:color w:val="000000"/>
                <w:szCs w:val="24"/>
              </w:rPr>
              <w:t xml:space="preserve"> although s</w:t>
            </w:r>
            <w:r w:rsidR="004A66C2">
              <w:rPr>
                <w:rFonts w:ascii="Calibri" w:hAnsi="Calibri" w:cs="Calibri"/>
                <w:color w:val="000000"/>
                <w:szCs w:val="24"/>
              </w:rPr>
              <w:t xml:space="preserve">till need to clarify governance for the </w:t>
            </w:r>
            <w:r w:rsidR="00C34985">
              <w:rPr>
                <w:rFonts w:ascii="Calibri" w:hAnsi="Calibri" w:cs="Calibri"/>
                <w:color w:val="000000"/>
                <w:szCs w:val="24"/>
              </w:rPr>
              <w:t>a</w:t>
            </w:r>
            <w:r w:rsidR="004A66C2">
              <w:rPr>
                <w:rFonts w:ascii="Calibri" w:hAnsi="Calibri" w:cs="Calibri"/>
                <w:color w:val="000000"/>
                <w:szCs w:val="24"/>
              </w:rPr>
              <w:t>udit within SG works</w:t>
            </w:r>
            <w:r w:rsidR="00DD1243">
              <w:rPr>
                <w:rFonts w:ascii="Calibri" w:hAnsi="Calibri" w:cs="Calibri"/>
                <w:color w:val="000000"/>
                <w:szCs w:val="24"/>
              </w:rPr>
              <w:t>t</w:t>
            </w:r>
            <w:r w:rsidR="004A66C2">
              <w:rPr>
                <w:rFonts w:ascii="Calibri" w:hAnsi="Calibri" w:cs="Calibri"/>
                <w:color w:val="000000"/>
                <w:szCs w:val="24"/>
              </w:rPr>
              <w:t>reams for Agricultural Reform Programme. Meanwhile, we have c</w:t>
            </w:r>
            <w:r w:rsidR="004A66C2" w:rsidRPr="00114E45">
              <w:rPr>
                <w:rFonts w:ascii="Calibri" w:hAnsi="Calibri" w:cs="Calibri"/>
                <w:color w:val="000000"/>
                <w:szCs w:val="24"/>
              </w:rPr>
              <w:t>ompleted development and testing of Biodiversity Audit process and score cards with farmers and crofters ready for App developers to build the app.</w:t>
            </w:r>
          </w:p>
          <w:p w14:paraId="1954C280" w14:textId="3881182B" w:rsidR="004A66C2" w:rsidRPr="00114E45" w:rsidRDefault="004A66C2" w:rsidP="00025C49">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S</w:t>
            </w:r>
            <w:r w:rsidR="00114E45" w:rsidRPr="00114E45">
              <w:rPr>
                <w:rFonts w:ascii="Calibri" w:hAnsi="Calibri" w:cs="Calibri"/>
                <w:color w:val="000000"/>
                <w:szCs w:val="24"/>
              </w:rPr>
              <w:t xml:space="preserve">ecured </w:t>
            </w:r>
            <w:r w:rsidR="00ED602F">
              <w:rPr>
                <w:rFonts w:ascii="Calibri" w:hAnsi="Calibri" w:cs="Calibri"/>
                <w:color w:val="000000"/>
                <w:szCs w:val="24"/>
              </w:rPr>
              <w:t>Piloting an Outcome Based Approach in Scotland (</w:t>
            </w:r>
            <w:r w:rsidR="00114E45" w:rsidRPr="00114E45">
              <w:rPr>
                <w:rFonts w:ascii="Calibri" w:hAnsi="Calibri" w:cs="Calibri"/>
                <w:color w:val="000000"/>
                <w:szCs w:val="24"/>
              </w:rPr>
              <w:t>POBAS</w:t>
            </w:r>
            <w:r w:rsidR="00ED602F">
              <w:rPr>
                <w:rFonts w:ascii="Calibri" w:hAnsi="Calibri" w:cs="Calibri"/>
                <w:color w:val="000000"/>
                <w:szCs w:val="24"/>
              </w:rPr>
              <w:t>)</w:t>
            </w:r>
            <w:r w:rsidR="00114E45" w:rsidRPr="00114E45">
              <w:rPr>
                <w:rFonts w:ascii="Calibri" w:hAnsi="Calibri" w:cs="Calibri"/>
                <w:color w:val="000000"/>
                <w:szCs w:val="24"/>
              </w:rPr>
              <w:t xml:space="preserve"> platform and intellectual property rights from </w:t>
            </w:r>
            <w:proofErr w:type="spellStart"/>
            <w:r w:rsidR="00114E45" w:rsidRPr="00114E45">
              <w:rPr>
                <w:rFonts w:ascii="Calibri" w:hAnsi="Calibri" w:cs="Calibri"/>
                <w:color w:val="000000"/>
                <w:szCs w:val="24"/>
              </w:rPr>
              <w:t>Sabbio</w:t>
            </w:r>
            <w:proofErr w:type="spellEnd"/>
            <w:r w:rsidR="00114E45" w:rsidRPr="00114E45">
              <w:rPr>
                <w:rFonts w:ascii="Calibri" w:hAnsi="Calibri" w:cs="Calibri"/>
                <w:color w:val="000000"/>
                <w:szCs w:val="24"/>
              </w:rPr>
              <w:t xml:space="preserve"> </w:t>
            </w:r>
            <w:r w:rsidR="002704C0">
              <w:rPr>
                <w:rFonts w:ascii="Calibri" w:hAnsi="Calibri" w:cs="Calibri"/>
                <w:color w:val="000000"/>
                <w:szCs w:val="24"/>
              </w:rPr>
              <w:t xml:space="preserve">(App developer) </w:t>
            </w:r>
            <w:r w:rsidR="00B63F5B">
              <w:rPr>
                <w:rFonts w:ascii="Calibri" w:hAnsi="Calibri" w:cs="Calibri"/>
                <w:color w:val="000000"/>
                <w:szCs w:val="24"/>
              </w:rPr>
              <w:t>which will provide a</w:t>
            </w:r>
            <w:r w:rsidR="00114E45" w:rsidRPr="00114E45">
              <w:rPr>
                <w:rFonts w:ascii="Calibri" w:hAnsi="Calibri" w:cs="Calibri"/>
                <w:color w:val="000000"/>
                <w:szCs w:val="24"/>
              </w:rPr>
              <w:t xml:space="preserve"> starting platform for new contractors. </w:t>
            </w:r>
            <w:r w:rsidRPr="00114E45">
              <w:rPr>
                <w:rFonts w:ascii="Calibri" w:hAnsi="Calibri" w:cs="Calibri"/>
                <w:color w:val="000000"/>
                <w:szCs w:val="24"/>
              </w:rPr>
              <w:t xml:space="preserve">Work to expand POBAS and Biodiversity Audit testing </w:t>
            </w:r>
            <w:r w:rsidRPr="00114E45">
              <w:rPr>
                <w:rFonts w:ascii="Calibri" w:hAnsi="Calibri" w:cs="Calibri"/>
                <w:color w:val="000000"/>
                <w:szCs w:val="24"/>
              </w:rPr>
              <w:lastRenderedPageBreak/>
              <w:t xml:space="preserve">with wider groups of farmers and crofters held back by delays in building Biodiversity Audit app. </w:t>
            </w:r>
          </w:p>
          <w:p w14:paraId="4037B8A0" w14:textId="5F192FBE" w:rsidR="00114E45" w:rsidRPr="00114E45" w:rsidRDefault="00114E45" w:rsidP="00025C49">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114E45">
              <w:rPr>
                <w:rFonts w:ascii="Calibri" w:hAnsi="Calibri" w:cs="Calibri"/>
                <w:color w:val="000000"/>
                <w:szCs w:val="24"/>
              </w:rPr>
              <w:t xml:space="preserve">Considerable input to </w:t>
            </w:r>
            <w:r w:rsidR="004A66C2">
              <w:rPr>
                <w:rFonts w:ascii="Calibri" w:hAnsi="Calibri" w:cs="Calibri"/>
                <w:color w:val="000000"/>
                <w:szCs w:val="24"/>
              </w:rPr>
              <w:t xml:space="preserve">SG policy development through the use of </w:t>
            </w:r>
            <w:r w:rsidR="00B63F5B">
              <w:rPr>
                <w:rFonts w:ascii="Calibri" w:hAnsi="Calibri" w:cs="Calibri"/>
                <w:color w:val="000000"/>
                <w:szCs w:val="24"/>
              </w:rPr>
              <w:t>‘</w:t>
            </w:r>
            <w:r w:rsidRPr="00114E45">
              <w:rPr>
                <w:rFonts w:ascii="Calibri" w:hAnsi="Calibri" w:cs="Calibri"/>
                <w:color w:val="000000"/>
                <w:szCs w:val="24"/>
              </w:rPr>
              <w:t xml:space="preserve">discovery </w:t>
            </w:r>
            <w:r w:rsidR="00B63F5B">
              <w:rPr>
                <w:rFonts w:ascii="Calibri" w:hAnsi="Calibri" w:cs="Calibri"/>
                <w:color w:val="000000"/>
                <w:szCs w:val="24"/>
              </w:rPr>
              <w:t xml:space="preserve">phase’ </w:t>
            </w:r>
            <w:r w:rsidRPr="00114E45">
              <w:rPr>
                <w:rFonts w:ascii="Calibri" w:hAnsi="Calibri" w:cs="Calibri"/>
                <w:color w:val="000000"/>
                <w:szCs w:val="24"/>
              </w:rPr>
              <w:t xml:space="preserve">agile processes to help define </w:t>
            </w:r>
            <w:r w:rsidR="00B63F5B">
              <w:rPr>
                <w:rFonts w:ascii="Calibri" w:hAnsi="Calibri" w:cs="Calibri"/>
                <w:color w:val="000000"/>
                <w:szCs w:val="24"/>
              </w:rPr>
              <w:t xml:space="preserve">the </w:t>
            </w:r>
            <w:r w:rsidRPr="00114E45">
              <w:rPr>
                <w:rFonts w:ascii="Calibri" w:hAnsi="Calibri" w:cs="Calibri"/>
                <w:color w:val="000000"/>
                <w:szCs w:val="24"/>
              </w:rPr>
              <w:t xml:space="preserve">business cases for Whole Farm Plans, Biodiversity Audit and cross-support framework measures.  Likely to continue into Q3.  </w:t>
            </w:r>
          </w:p>
          <w:p w14:paraId="44ACFDB7" w14:textId="40D4696A" w:rsidR="00114E45" w:rsidRPr="00114E45" w:rsidRDefault="00114E45" w:rsidP="00025C49">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114E45">
              <w:rPr>
                <w:rFonts w:ascii="Calibri" w:hAnsi="Calibri" w:cs="Calibri"/>
                <w:color w:val="000000"/>
                <w:szCs w:val="24"/>
              </w:rPr>
              <w:t>Progress on embedding 10% and 30% nature rich habitat targets into policy thinking.  At least 2-3 occasions SG A</w:t>
            </w:r>
            <w:r w:rsidR="00B63F5B">
              <w:rPr>
                <w:rFonts w:ascii="Calibri" w:hAnsi="Calibri" w:cs="Calibri"/>
                <w:color w:val="000000"/>
                <w:szCs w:val="24"/>
              </w:rPr>
              <w:t>griculture and Rural Economy</w:t>
            </w:r>
            <w:r w:rsidRPr="00114E45">
              <w:rPr>
                <w:rFonts w:ascii="Calibri" w:hAnsi="Calibri" w:cs="Calibri"/>
                <w:color w:val="000000"/>
                <w:szCs w:val="24"/>
              </w:rPr>
              <w:t xml:space="preserve"> policy leads quoted these targets to inform policy development independently of NatureScot input.  </w:t>
            </w:r>
          </w:p>
          <w:p w14:paraId="1D0345E7" w14:textId="01BF768E" w:rsidR="008D20BE" w:rsidRPr="004D675C" w:rsidRDefault="00114E45" w:rsidP="00025C49">
            <w:pPr>
              <w:numPr>
                <w:ilvl w:val="0"/>
                <w:numId w:val="8"/>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114E45">
              <w:rPr>
                <w:rFonts w:ascii="Calibri" w:hAnsi="Calibri" w:cs="Calibri"/>
                <w:color w:val="000000"/>
                <w:szCs w:val="24"/>
              </w:rPr>
              <w:t>Discussions started on ways and means of embedding wildlife management schemes into mainstream ag</w:t>
            </w:r>
            <w:r w:rsidR="00B63F5B">
              <w:rPr>
                <w:rFonts w:ascii="Calibri" w:hAnsi="Calibri" w:cs="Calibri"/>
                <w:color w:val="000000"/>
                <w:szCs w:val="24"/>
              </w:rPr>
              <w:t>riculture</w:t>
            </w:r>
            <w:r w:rsidRPr="00114E45">
              <w:rPr>
                <w:rFonts w:ascii="Calibri" w:hAnsi="Calibri" w:cs="Calibri"/>
                <w:color w:val="000000"/>
                <w:szCs w:val="24"/>
              </w:rPr>
              <w:t xml:space="preserve"> support precipitated by Sea Eagle Scheme </w:t>
            </w:r>
            <w:proofErr w:type="spellStart"/>
            <w:r w:rsidRPr="00114E45">
              <w:rPr>
                <w:rFonts w:ascii="Calibri" w:hAnsi="Calibri" w:cs="Calibri"/>
                <w:color w:val="000000"/>
                <w:szCs w:val="24"/>
              </w:rPr>
              <w:t>Drissaig</w:t>
            </w:r>
            <w:proofErr w:type="spellEnd"/>
            <w:r w:rsidRPr="00114E45">
              <w:rPr>
                <w:rFonts w:ascii="Calibri" w:hAnsi="Calibri" w:cs="Calibri"/>
                <w:color w:val="000000"/>
                <w:szCs w:val="24"/>
              </w:rPr>
              <w:t xml:space="preserve"> case.</w:t>
            </w:r>
          </w:p>
        </w:tc>
      </w:tr>
    </w:tbl>
    <w:p w14:paraId="30A32E08" w14:textId="77777777" w:rsidR="008D20BE" w:rsidRPr="00F550D1" w:rsidRDefault="008D20BE" w:rsidP="008D20BE">
      <w:pPr>
        <w:keepNext/>
        <w:keepLines/>
        <w:spacing w:before="40" w:after="0" w:line="259" w:lineRule="auto"/>
        <w:outlineLvl w:val="1"/>
        <w:rPr>
          <w:rFonts w:ascii="Calibri" w:eastAsiaTheme="majorEastAsia" w:hAnsi="Calibri" w:cs="Calibri"/>
          <w:b/>
          <w:szCs w:val="26"/>
        </w:rPr>
      </w:pPr>
    </w:p>
    <w:p w14:paraId="7F29C7D6" w14:textId="77777777" w:rsidR="008D20BE" w:rsidRPr="00F550D1" w:rsidRDefault="008D20BE" w:rsidP="008D20BE">
      <w:pPr>
        <w:keepNext/>
        <w:keepLines/>
        <w:shd w:val="clear" w:color="auto" w:fill="007DC3"/>
        <w:spacing w:before="40" w:after="0" w:line="259" w:lineRule="auto"/>
        <w:jc w:val="center"/>
        <w:outlineLvl w:val="1"/>
        <w:rPr>
          <w:rFonts w:ascii="Calibri" w:eastAsiaTheme="majorEastAsia" w:hAnsi="Calibri" w:cs="Calibri"/>
          <w:b/>
          <w:szCs w:val="26"/>
        </w:rPr>
      </w:pPr>
      <w:r w:rsidRPr="00F550D1">
        <w:rPr>
          <w:rFonts w:ascii="Calibri" w:eastAsiaTheme="majorEastAsia" w:hAnsi="Calibri" w:cs="Calibri"/>
          <w:b/>
          <w:szCs w:val="26"/>
        </w:rPr>
        <w:t>THE VALUE OF NATURE IS RECOGNISED</w:t>
      </w:r>
    </w:p>
    <w:tbl>
      <w:tblPr>
        <w:tblStyle w:val="PlainTable1"/>
        <w:tblW w:w="145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HE VALUE OF NATURE IS RECOGNISED Q1 UPDATE"/>
      </w:tblPr>
      <w:tblGrid>
        <w:gridCol w:w="3544"/>
        <w:gridCol w:w="1559"/>
        <w:gridCol w:w="993"/>
        <w:gridCol w:w="8466"/>
      </w:tblGrid>
      <w:tr w:rsidR="008D20BE" w:rsidRPr="00F550D1" w14:paraId="6255B615" w14:textId="77777777" w:rsidTr="00C3498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0E46245" w14:textId="77777777" w:rsidR="008D20BE" w:rsidRPr="00F550D1" w:rsidRDefault="008D20BE" w:rsidP="008D20BE">
            <w:pPr>
              <w:jc w:val="center"/>
              <w:rPr>
                <w:rFonts w:ascii="Calibri" w:hAnsi="Calibri" w:cs="Calibri"/>
                <w:szCs w:val="26"/>
              </w:rPr>
            </w:pPr>
            <w:r w:rsidRPr="00F550D1">
              <w:rPr>
                <w:rFonts w:ascii="Calibri" w:hAnsi="Calibri" w:cs="Calibri"/>
                <w:szCs w:val="26"/>
              </w:rPr>
              <w:t>CORPORATE PLAN OBJECTIVE</w:t>
            </w:r>
          </w:p>
        </w:tc>
        <w:tc>
          <w:tcPr>
            <w:tcW w:w="1559" w:type="dxa"/>
            <w:vAlign w:val="center"/>
          </w:tcPr>
          <w:p w14:paraId="549A988D"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49DB4EDC"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466" w:type="dxa"/>
            <w:vAlign w:val="center"/>
          </w:tcPr>
          <w:p w14:paraId="7D6D39F7" w14:textId="4F1B9C43" w:rsidR="008D20BE" w:rsidRPr="00F550D1" w:rsidRDefault="00701FAD"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Q2</w:t>
            </w:r>
            <w:r w:rsidR="008D20BE" w:rsidRPr="00F550D1">
              <w:rPr>
                <w:rFonts w:ascii="Calibri" w:hAnsi="Calibri" w:cs="Calibri"/>
                <w:szCs w:val="26"/>
              </w:rPr>
              <w:t xml:space="preserve"> UPDATE</w:t>
            </w:r>
          </w:p>
        </w:tc>
      </w:tr>
      <w:tr w:rsidR="008D20BE" w:rsidRPr="00F550D1" w14:paraId="1919863C" w14:textId="77777777" w:rsidTr="004F3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D373F7D" w14:textId="77777777"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t>Inspire people to connect with nature, increasing appreciation of nature’s value through impactful delivery and communication of our work</w:t>
            </w:r>
          </w:p>
        </w:tc>
        <w:tc>
          <w:tcPr>
            <w:tcW w:w="1559" w:type="dxa"/>
            <w:vAlign w:val="center"/>
          </w:tcPr>
          <w:p w14:paraId="1B8B5B8E"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Nick Halfhide</w:t>
            </w:r>
          </w:p>
        </w:tc>
        <w:tc>
          <w:tcPr>
            <w:tcW w:w="993" w:type="dxa"/>
            <w:shd w:val="clear" w:color="auto" w:fill="9BBB59" w:themeFill="accent3"/>
            <w:vAlign w:val="center"/>
          </w:tcPr>
          <w:p w14:paraId="4C441274"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395EC643" w14:textId="5D4D15D2" w:rsidR="00EF1487" w:rsidRPr="00C90221" w:rsidRDefault="00EF1487" w:rsidP="00025C49">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C90221">
              <w:rPr>
                <w:rFonts w:ascii="Calibri" w:hAnsi="Calibri" w:cs="Calibri"/>
                <w:color w:val="000000"/>
                <w:szCs w:val="24"/>
              </w:rPr>
              <w:t>S</w:t>
            </w:r>
            <w:r w:rsidR="00951E50" w:rsidRPr="00C90221">
              <w:rPr>
                <w:rFonts w:ascii="Calibri" w:hAnsi="Calibri" w:cs="Calibri"/>
                <w:color w:val="000000"/>
                <w:szCs w:val="24"/>
              </w:rPr>
              <w:t xml:space="preserve">trategic </w:t>
            </w:r>
            <w:r w:rsidRPr="00C90221">
              <w:rPr>
                <w:rFonts w:ascii="Calibri" w:hAnsi="Calibri" w:cs="Calibri"/>
                <w:color w:val="000000"/>
                <w:szCs w:val="24"/>
              </w:rPr>
              <w:t>F</w:t>
            </w:r>
            <w:r w:rsidR="00951E50" w:rsidRPr="00C90221">
              <w:rPr>
                <w:rFonts w:ascii="Calibri" w:hAnsi="Calibri" w:cs="Calibri"/>
                <w:color w:val="000000"/>
                <w:szCs w:val="24"/>
              </w:rPr>
              <w:t>unds</w:t>
            </w:r>
            <w:r w:rsidRPr="00C90221">
              <w:rPr>
                <w:rFonts w:ascii="Calibri" w:hAnsi="Calibri" w:cs="Calibri"/>
                <w:color w:val="000000"/>
                <w:szCs w:val="24"/>
              </w:rPr>
              <w:t xml:space="preserve"> - </w:t>
            </w:r>
            <w:r w:rsidR="00951E50" w:rsidRPr="00C90221">
              <w:rPr>
                <w:rFonts w:ascii="Calibri" w:hAnsi="Calibri" w:cs="Calibri"/>
                <w:color w:val="000000"/>
                <w:szCs w:val="24"/>
              </w:rPr>
              <w:t>Natural and Cultural Heritage Fund</w:t>
            </w:r>
            <w:r w:rsidR="00951E50" w:rsidRPr="00C90221" w:rsidDel="00951E50">
              <w:rPr>
                <w:rFonts w:ascii="Calibri" w:hAnsi="Calibri" w:cs="Calibri"/>
                <w:color w:val="000000"/>
                <w:szCs w:val="24"/>
              </w:rPr>
              <w:t xml:space="preserve"> </w:t>
            </w:r>
            <w:r w:rsidR="00DD1243" w:rsidRPr="00C90221">
              <w:rPr>
                <w:rFonts w:ascii="Calibri" w:hAnsi="Calibri" w:cs="Calibri"/>
                <w:color w:val="000000"/>
                <w:szCs w:val="24"/>
              </w:rPr>
              <w:t xml:space="preserve">(NCHF) </w:t>
            </w:r>
            <w:r w:rsidRPr="00C90221">
              <w:rPr>
                <w:rFonts w:ascii="Calibri" w:hAnsi="Calibri" w:cs="Calibri"/>
                <w:color w:val="000000"/>
                <w:szCs w:val="24"/>
              </w:rPr>
              <w:t>Claim 2 and G</w:t>
            </w:r>
            <w:r w:rsidR="00951E50" w:rsidRPr="00C90221">
              <w:rPr>
                <w:rFonts w:ascii="Calibri" w:hAnsi="Calibri" w:cs="Calibri"/>
                <w:color w:val="000000"/>
                <w:szCs w:val="24"/>
              </w:rPr>
              <w:t xml:space="preserve">reen </w:t>
            </w:r>
            <w:r w:rsidRPr="00C90221">
              <w:rPr>
                <w:rFonts w:ascii="Calibri" w:hAnsi="Calibri" w:cs="Calibri"/>
                <w:color w:val="000000"/>
                <w:szCs w:val="24"/>
              </w:rPr>
              <w:t>I</w:t>
            </w:r>
            <w:r w:rsidR="00951E50" w:rsidRPr="00C90221">
              <w:rPr>
                <w:rFonts w:ascii="Calibri" w:hAnsi="Calibri" w:cs="Calibri"/>
                <w:color w:val="000000"/>
                <w:szCs w:val="24"/>
              </w:rPr>
              <w:t>nfrastructure</w:t>
            </w:r>
            <w:r w:rsidR="00C34985" w:rsidRPr="00C90221">
              <w:rPr>
                <w:rFonts w:ascii="Calibri" w:hAnsi="Calibri" w:cs="Calibri"/>
                <w:color w:val="000000"/>
                <w:szCs w:val="24"/>
              </w:rPr>
              <w:t xml:space="preserve"> (GI)</w:t>
            </w:r>
            <w:r w:rsidRPr="00C90221">
              <w:rPr>
                <w:rFonts w:ascii="Calibri" w:hAnsi="Calibri" w:cs="Calibri"/>
                <w:color w:val="000000"/>
                <w:szCs w:val="24"/>
              </w:rPr>
              <w:t xml:space="preserve"> Claim 9 submitted</w:t>
            </w:r>
            <w:r w:rsidR="00BC2772" w:rsidRPr="00C90221">
              <w:rPr>
                <w:rFonts w:ascii="Calibri" w:hAnsi="Calibri" w:cs="Calibri"/>
                <w:color w:val="000000"/>
                <w:szCs w:val="24"/>
              </w:rPr>
              <w:t xml:space="preserve"> although the NCHF Claim 2 has since been rejected by the Managing Authority (SG)</w:t>
            </w:r>
            <w:r w:rsidRPr="00C90221">
              <w:rPr>
                <w:rFonts w:ascii="Calibri" w:hAnsi="Calibri" w:cs="Calibri"/>
                <w:color w:val="000000"/>
                <w:szCs w:val="24"/>
              </w:rPr>
              <w:t>; 12/13 NCHF projects completed; 10/12 GI projects completed.</w:t>
            </w:r>
          </w:p>
          <w:p w14:paraId="03E8D2C8" w14:textId="0A326A2F" w:rsidR="00EF1487" w:rsidRPr="00EF1487" w:rsidRDefault="003B1A4C" w:rsidP="00025C49">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National Nature Reserves (</w:t>
            </w:r>
            <w:r w:rsidR="00EF1487" w:rsidRPr="00EF1487">
              <w:rPr>
                <w:rFonts w:ascii="Calibri" w:hAnsi="Calibri" w:cs="Calibri"/>
                <w:color w:val="000000"/>
                <w:szCs w:val="24"/>
              </w:rPr>
              <w:t>NNRs</w:t>
            </w:r>
            <w:r>
              <w:rPr>
                <w:rFonts w:ascii="Calibri" w:hAnsi="Calibri" w:cs="Calibri"/>
                <w:color w:val="000000"/>
                <w:szCs w:val="24"/>
              </w:rPr>
              <w:t>)</w:t>
            </w:r>
            <w:r w:rsidR="00EF1487" w:rsidRPr="00EF1487">
              <w:rPr>
                <w:rFonts w:ascii="Calibri" w:hAnsi="Calibri" w:cs="Calibri"/>
                <w:color w:val="000000"/>
                <w:szCs w:val="24"/>
              </w:rPr>
              <w:t xml:space="preserve"> - peatland action work progressing at Ben </w:t>
            </w:r>
            <w:proofErr w:type="spellStart"/>
            <w:r w:rsidR="00EF1487" w:rsidRPr="00EF1487">
              <w:rPr>
                <w:rFonts w:ascii="Calibri" w:hAnsi="Calibri" w:cs="Calibri"/>
                <w:color w:val="000000"/>
                <w:szCs w:val="24"/>
              </w:rPr>
              <w:t>Wyvis</w:t>
            </w:r>
            <w:proofErr w:type="spellEnd"/>
            <w:r w:rsidR="00EF1487" w:rsidRPr="00EF1487">
              <w:rPr>
                <w:rFonts w:ascii="Calibri" w:hAnsi="Calibri" w:cs="Calibri"/>
                <w:color w:val="000000"/>
                <w:szCs w:val="24"/>
              </w:rPr>
              <w:t xml:space="preserve"> and </w:t>
            </w:r>
            <w:proofErr w:type="spellStart"/>
            <w:r w:rsidR="00EF1487" w:rsidRPr="00EF1487">
              <w:rPr>
                <w:rFonts w:ascii="Calibri" w:hAnsi="Calibri" w:cs="Calibri"/>
                <w:color w:val="000000"/>
                <w:szCs w:val="24"/>
              </w:rPr>
              <w:t>Kirkconnel</w:t>
            </w:r>
            <w:proofErr w:type="spellEnd"/>
            <w:r w:rsidR="00EF1487" w:rsidRPr="00EF1487">
              <w:rPr>
                <w:rFonts w:ascii="Calibri" w:hAnsi="Calibri" w:cs="Calibri"/>
                <w:color w:val="000000"/>
                <w:szCs w:val="24"/>
              </w:rPr>
              <w:t xml:space="preserve"> Flows (</w:t>
            </w:r>
            <w:r w:rsidR="00951E50" w:rsidRPr="00EF1487">
              <w:rPr>
                <w:rFonts w:ascii="Calibri" w:hAnsi="Calibri" w:cs="Calibri"/>
                <w:color w:val="000000"/>
                <w:szCs w:val="24"/>
              </w:rPr>
              <w:t>with</w:t>
            </w:r>
            <w:r w:rsidR="00EF1487" w:rsidRPr="00EF1487">
              <w:rPr>
                <w:rFonts w:ascii="Calibri" w:hAnsi="Calibri" w:cs="Calibri"/>
                <w:color w:val="000000"/>
                <w:szCs w:val="24"/>
              </w:rPr>
              <w:t xml:space="preserve"> NatureScot </w:t>
            </w:r>
            <w:r w:rsidR="00951E50" w:rsidRPr="00EF1487">
              <w:rPr>
                <w:rFonts w:ascii="Calibri" w:hAnsi="Calibri" w:cs="Calibri"/>
                <w:color w:val="000000"/>
                <w:szCs w:val="24"/>
              </w:rPr>
              <w:t>registering</w:t>
            </w:r>
            <w:r w:rsidR="00EF1487" w:rsidRPr="00EF1487">
              <w:rPr>
                <w:rFonts w:ascii="Calibri" w:hAnsi="Calibri" w:cs="Calibri"/>
                <w:color w:val="000000"/>
                <w:szCs w:val="24"/>
              </w:rPr>
              <w:t xml:space="preserve"> for its first carbon credit for </w:t>
            </w:r>
            <w:r w:rsidR="00951E50">
              <w:rPr>
                <w:rFonts w:ascii="Calibri" w:hAnsi="Calibri" w:cs="Calibri"/>
                <w:color w:val="000000"/>
                <w:szCs w:val="24"/>
              </w:rPr>
              <w:t xml:space="preserve">Ben </w:t>
            </w:r>
            <w:proofErr w:type="spellStart"/>
            <w:r w:rsidR="00951E50">
              <w:rPr>
                <w:rFonts w:ascii="Calibri" w:hAnsi="Calibri" w:cs="Calibri"/>
                <w:color w:val="000000"/>
                <w:szCs w:val="24"/>
              </w:rPr>
              <w:t>Wyvis</w:t>
            </w:r>
            <w:proofErr w:type="spellEnd"/>
            <w:r w:rsidR="00EF1487" w:rsidRPr="00EF1487">
              <w:rPr>
                <w:rFonts w:ascii="Calibri" w:hAnsi="Calibri" w:cs="Calibri"/>
                <w:color w:val="000000"/>
                <w:szCs w:val="24"/>
              </w:rPr>
              <w:t>); visitor management reporting remains mainly positive with</w:t>
            </w:r>
            <w:r w:rsidR="00314E25">
              <w:rPr>
                <w:rFonts w:ascii="Calibri" w:hAnsi="Calibri" w:cs="Calibri"/>
                <w:color w:val="000000"/>
                <w:szCs w:val="24"/>
              </w:rPr>
              <w:t xml:space="preserve"> good initial results </w:t>
            </w:r>
            <w:r w:rsidR="00314E25" w:rsidRPr="00EF1487">
              <w:rPr>
                <w:rFonts w:ascii="Calibri" w:hAnsi="Calibri" w:cs="Calibri"/>
                <w:color w:val="000000"/>
                <w:szCs w:val="24"/>
              </w:rPr>
              <w:t>reported</w:t>
            </w:r>
            <w:r w:rsidR="00314E25">
              <w:rPr>
                <w:rFonts w:ascii="Calibri" w:hAnsi="Calibri" w:cs="Calibri"/>
                <w:color w:val="000000"/>
                <w:szCs w:val="24"/>
              </w:rPr>
              <w:t xml:space="preserve"> from </w:t>
            </w:r>
            <w:r w:rsidR="00EF1487" w:rsidRPr="00EF1487">
              <w:rPr>
                <w:rFonts w:ascii="Calibri" w:hAnsi="Calibri" w:cs="Calibri"/>
                <w:color w:val="000000"/>
                <w:szCs w:val="24"/>
              </w:rPr>
              <w:t xml:space="preserve">local visitor management measures at Muir of </w:t>
            </w:r>
            <w:proofErr w:type="spellStart"/>
            <w:r w:rsidR="00EF1487" w:rsidRPr="00EF1487">
              <w:rPr>
                <w:rFonts w:ascii="Calibri" w:hAnsi="Calibri" w:cs="Calibri"/>
                <w:color w:val="000000"/>
                <w:szCs w:val="24"/>
              </w:rPr>
              <w:t>Dinnet</w:t>
            </w:r>
            <w:proofErr w:type="spellEnd"/>
            <w:r w:rsidR="00EF1487" w:rsidRPr="00EF1487">
              <w:rPr>
                <w:rFonts w:ascii="Calibri" w:hAnsi="Calibri" w:cs="Calibri"/>
                <w:color w:val="000000"/>
                <w:szCs w:val="24"/>
              </w:rPr>
              <w:t>; scoping of car park</w:t>
            </w:r>
            <w:r w:rsidR="00901043">
              <w:rPr>
                <w:rFonts w:ascii="Calibri" w:hAnsi="Calibri" w:cs="Calibri"/>
                <w:color w:val="000000"/>
                <w:szCs w:val="24"/>
              </w:rPr>
              <w:t xml:space="preserve"> charging</w:t>
            </w:r>
            <w:r w:rsidR="00C34985">
              <w:rPr>
                <w:rFonts w:ascii="Calibri" w:hAnsi="Calibri" w:cs="Calibri"/>
                <w:color w:val="000000"/>
                <w:szCs w:val="24"/>
              </w:rPr>
              <w:t xml:space="preserve"> </w:t>
            </w:r>
            <w:r w:rsidR="00EF1487" w:rsidRPr="00EF1487">
              <w:rPr>
                <w:rFonts w:ascii="Calibri" w:hAnsi="Calibri" w:cs="Calibri"/>
                <w:color w:val="000000"/>
                <w:szCs w:val="24"/>
              </w:rPr>
              <w:t xml:space="preserve">pilot; </w:t>
            </w:r>
            <w:r w:rsidR="00C34985">
              <w:rPr>
                <w:rFonts w:ascii="Calibri" w:hAnsi="Calibri" w:cs="Calibri"/>
                <w:color w:val="000000"/>
                <w:szCs w:val="24"/>
              </w:rPr>
              <w:t>Invasive Non-Native Species (</w:t>
            </w:r>
            <w:r w:rsidR="00951E50">
              <w:rPr>
                <w:rFonts w:ascii="Calibri" w:hAnsi="Calibri" w:cs="Calibri"/>
                <w:color w:val="000000"/>
                <w:szCs w:val="24"/>
              </w:rPr>
              <w:t>I</w:t>
            </w:r>
            <w:r w:rsidR="00EF1487" w:rsidRPr="00EF1487">
              <w:rPr>
                <w:rFonts w:ascii="Calibri" w:hAnsi="Calibri" w:cs="Calibri"/>
                <w:color w:val="000000"/>
                <w:szCs w:val="24"/>
              </w:rPr>
              <w:t>NNS</w:t>
            </w:r>
            <w:r w:rsidR="00C34985">
              <w:rPr>
                <w:rFonts w:ascii="Calibri" w:hAnsi="Calibri" w:cs="Calibri"/>
                <w:color w:val="000000"/>
                <w:szCs w:val="24"/>
              </w:rPr>
              <w:t>)</w:t>
            </w:r>
            <w:r w:rsidR="00EF1487" w:rsidRPr="00EF1487">
              <w:rPr>
                <w:rFonts w:ascii="Calibri" w:hAnsi="Calibri" w:cs="Calibri"/>
                <w:color w:val="000000"/>
                <w:szCs w:val="24"/>
              </w:rPr>
              <w:t xml:space="preserve"> control on wetlands, peatland and woodland sites. Upland path works</w:t>
            </w:r>
            <w:r w:rsidR="00951E50">
              <w:rPr>
                <w:rFonts w:ascii="Calibri" w:hAnsi="Calibri" w:cs="Calibri"/>
                <w:color w:val="000000"/>
                <w:szCs w:val="24"/>
              </w:rPr>
              <w:t xml:space="preserve"> progressing</w:t>
            </w:r>
            <w:r w:rsidR="00EF1487" w:rsidRPr="00EF1487">
              <w:rPr>
                <w:rFonts w:ascii="Calibri" w:hAnsi="Calibri" w:cs="Calibri"/>
                <w:color w:val="000000"/>
                <w:szCs w:val="24"/>
              </w:rPr>
              <w:t xml:space="preserve"> at </w:t>
            </w:r>
            <w:proofErr w:type="spellStart"/>
            <w:r w:rsidR="00EF1487" w:rsidRPr="00EF1487">
              <w:rPr>
                <w:rFonts w:ascii="Calibri" w:hAnsi="Calibri" w:cs="Calibri"/>
                <w:color w:val="000000"/>
                <w:szCs w:val="24"/>
              </w:rPr>
              <w:t>Beinn</w:t>
            </w:r>
            <w:proofErr w:type="spellEnd"/>
            <w:r w:rsidR="00EF1487" w:rsidRPr="00EF1487">
              <w:rPr>
                <w:rFonts w:ascii="Calibri" w:hAnsi="Calibri" w:cs="Calibri"/>
                <w:color w:val="000000"/>
                <w:szCs w:val="24"/>
              </w:rPr>
              <w:t xml:space="preserve"> </w:t>
            </w:r>
            <w:proofErr w:type="spellStart"/>
            <w:r w:rsidR="00EF1487" w:rsidRPr="00EF1487">
              <w:rPr>
                <w:rFonts w:ascii="Calibri" w:hAnsi="Calibri" w:cs="Calibri"/>
                <w:color w:val="000000"/>
                <w:szCs w:val="24"/>
              </w:rPr>
              <w:t>Eighe</w:t>
            </w:r>
            <w:proofErr w:type="spellEnd"/>
            <w:r w:rsidR="00EF1487" w:rsidRPr="00EF1487">
              <w:rPr>
                <w:rFonts w:ascii="Calibri" w:hAnsi="Calibri" w:cs="Calibri"/>
                <w:color w:val="000000"/>
                <w:szCs w:val="24"/>
              </w:rPr>
              <w:t xml:space="preserve"> and Creag </w:t>
            </w:r>
            <w:proofErr w:type="spellStart"/>
            <w:r w:rsidR="00EF1487" w:rsidRPr="00EF1487">
              <w:rPr>
                <w:rFonts w:ascii="Calibri" w:hAnsi="Calibri" w:cs="Calibri"/>
                <w:color w:val="000000"/>
                <w:szCs w:val="24"/>
              </w:rPr>
              <w:t>Meagaidh</w:t>
            </w:r>
            <w:proofErr w:type="spellEnd"/>
            <w:r w:rsidR="00EF1487" w:rsidRPr="00EF1487">
              <w:rPr>
                <w:rFonts w:ascii="Calibri" w:hAnsi="Calibri" w:cs="Calibri"/>
                <w:color w:val="000000"/>
                <w:szCs w:val="24"/>
              </w:rPr>
              <w:t xml:space="preserve">.     </w:t>
            </w:r>
          </w:p>
          <w:p w14:paraId="7352D81D" w14:textId="123787E3" w:rsidR="00EF1487" w:rsidRDefault="00EF1487" w:rsidP="00025C49">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'Make Space </w:t>
            </w:r>
            <w:r w:rsidR="0037041C" w:rsidRPr="00EF1487">
              <w:rPr>
                <w:rFonts w:ascii="Calibri" w:hAnsi="Calibri" w:cs="Calibri"/>
                <w:color w:val="000000"/>
                <w:szCs w:val="24"/>
              </w:rPr>
              <w:t>for</w:t>
            </w:r>
            <w:r w:rsidRPr="00EF1487">
              <w:rPr>
                <w:rFonts w:ascii="Calibri" w:hAnsi="Calibri" w:cs="Calibri"/>
                <w:color w:val="000000"/>
                <w:szCs w:val="24"/>
              </w:rPr>
              <w:t xml:space="preserve"> Nature</w:t>
            </w:r>
            <w:r w:rsidR="00951E50">
              <w:rPr>
                <w:rFonts w:ascii="Calibri" w:hAnsi="Calibri" w:cs="Calibri"/>
                <w:color w:val="000000"/>
                <w:szCs w:val="24"/>
              </w:rPr>
              <w:t>’</w:t>
            </w:r>
            <w:r w:rsidRPr="00EF1487">
              <w:rPr>
                <w:rFonts w:ascii="Calibri" w:hAnsi="Calibri" w:cs="Calibri"/>
                <w:color w:val="000000"/>
                <w:szCs w:val="24"/>
              </w:rPr>
              <w:t xml:space="preserve"> summer campaign</w:t>
            </w:r>
            <w:r w:rsidR="00951E50">
              <w:rPr>
                <w:rFonts w:ascii="Calibri" w:hAnsi="Calibri" w:cs="Calibri"/>
                <w:color w:val="000000"/>
                <w:szCs w:val="24"/>
              </w:rPr>
              <w:t>:</w:t>
            </w:r>
            <w:r w:rsidRPr="00EF1487">
              <w:rPr>
                <w:rFonts w:ascii="Calibri" w:hAnsi="Calibri" w:cs="Calibri"/>
                <w:color w:val="000000"/>
                <w:szCs w:val="24"/>
              </w:rPr>
              <w:t xml:space="preserve"> </w:t>
            </w:r>
            <w:r w:rsidR="00951E50">
              <w:rPr>
                <w:rFonts w:ascii="Calibri" w:hAnsi="Calibri" w:cs="Calibri"/>
                <w:color w:val="000000"/>
                <w:szCs w:val="24"/>
              </w:rPr>
              <w:t>c</w:t>
            </w:r>
            <w:r w:rsidRPr="00EF1487">
              <w:rPr>
                <w:rFonts w:ascii="Calibri" w:hAnsi="Calibri" w:cs="Calibri"/>
                <w:color w:val="000000"/>
                <w:szCs w:val="24"/>
              </w:rPr>
              <w:t xml:space="preserve">reation of engaging content across TikTok, Snapchat and Meta channels encouraging people to help nature in 'five ways for five weeks'. We've seen strong performance across all channels which exceed the two campaign </w:t>
            </w:r>
            <w:r w:rsidR="00C34985">
              <w:rPr>
                <w:rFonts w:ascii="Calibri" w:hAnsi="Calibri" w:cs="Calibri"/>
                <w:color w:val="000000"/>
                <w:szCs w:val="24"/>
              </w:rPr>
              <w:t>Key Performance Indicators (</w:t>
            </w:r>
            <w:r w:rsidRPr="00EF1487">
              <w:rPr>
                <w:rFonts w:ascii="Calibri" w:hAnsi="Calibri" w:cs="Calibri"/>
                <w:color w:val="000000"/>
                <w:szCs w:val="24"/>
              </w:rPr>
              <w:t>KPIs</w:t>
            </w:r>
            <w:r w:rsidR="00C34985">
              <w:rPr>
                <w:rFonts w:ascii="Calibri" w:hAnsi="Calibri" w:cs="Calibri"/>
                <w:color w:val="000000"/>
                <w:szCs w:val="24"/>
              </w:rPr>
              <w:t>)</w:t>
            </w:r>
            <w:r w:rsidRPr="00EF1487">
              <w:rPr>
                <w:rFonts w:ascii="Calibri" w:hAnsi="Calibri" w:cs="Calibri"/>
                <w:color w:val="000000"/>
                <w:szCs w:val="24"/>
              </w:rPr>
              <w:t xml:space="preserve"> this </w:t>
            </w:r>
            <w:r w:rsidR="0037041C" w:rsidRPr="00EF1487">
              <w:rPr>
                <w:rFonts w:ascii="Calibri" w:hAnsi="Calibri" w:cs="Calibri"/>
                <w:color w:val="000000"/>
                <w:szCs w:val="24"/>
              </w:rPr>
              <w:t>quarter.</w:t>
            </w:r>
          </w:p>
          <w:p w14:paraId="4C39C81F" w14:textId="0FAC50FF" w:rsidR="00EF1487" w:rsidRPr="00EF1487" w:rsidRDefault="00EF1487" w:rsidP="00025C49">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lastRenderedPageBreak/>
              <w:t>S</w:t>
            </w:r>
            <w:r w:rsidR="007C290D">
              <w:rPr>
                <w:rFonts w:ascii="Calibri" w:hAnsi="Calibri" w:cs="Calibri"/>
                <w:color w:val="000000"/>
                <w:szCs w:val="24"/>
              </w:rPr>
              <w:t xml:space="preserve">cottish </w:t>
            </w:r>
            <w:r w:rsidRPr="00EF1487">
              <w:rPr>
                <w:rFonts w:ascii="Calibri" w:hAnsi="Calibri" w:cs="Calibri"/>
                <w:color w:val="000000"/>
                <w:szCs w:val="24"/>
              </w:rPr>
              <w:t>O</w:t>
            </w:r>
            <w:r w:rsidR="007C290D">
              <w:rPr>
                <w:rFonts w:ascii="Calibri" w:hAnsi="Calibri" w:cs="Calibri"/>
                <w:color w:val="000000"/>
                <w:szCs w:val="24"/>
              </w:rPr>
              <w:t xml:space="preserve">utdoor </w:t>
            </w:r>
            <w:r w:rsidRPr="00EF1487">
              <w:rPr>
                <w:rFonts w:ascii="Calibri" w:hAnsi="Calibri" w:cs="Calibri"/>
                <w:color w:val="000000"/>
                <w:szCs w:val="24"/>
              </w:rPr>
              <w:t>A</w:t>
            </w:r>
            <w:r w:rsidR="007C290D">
              <w:rPr>
                <w:rFonts w:ascii="Calibri" w:hAnsi="Calibri" w:cs="Calibri"/>
                <w:color w:val="000000"/>
                <w:szCs w:val="24"/>
              </w:rPr>
              <w:t xml:space="preserve">ccess </w:t>
            </w:r>
            <w:r w:rsidRPr="00EF1487">
              <w:rPr>
                <w:rFonts w:ascii="Calibri" w:hAnsi="Calibri" w:cs="Calibri"/>
                <w:color w:val="000000"/>
                <w:szCs w:val="24"/>
              </w:rPr>
              <w:t>C</w:t>
            </w:r>
            <w:r w:rsidR="007C290D">
              <w:rPr>
                <w:rFonts w:ascii="Calibri" w:hAnsi="Calibri" w:cs="Calibri"/>
                <w:color w:val="000000"/>
                <w:szCs w:val="24"/>
              </w:rPr>
              <w:t>ode</w:t>
            </w:r>
            <w:r w:rsidR="00C34985">
              <w:rPr>
                <w:rFonts w:ascii="Calibri" w:hAnsi="Calibri" w:cs="Calibri"/>
                <w:color w:val="000000"/>
                <w:szCs w:val="24"/>
              </w:rPr>
              <w:t xml:space="preserve"> (SOAC)</w:t>
            </w:r>
            <w:r w:rsidRPr="00EF1487">
              <w:rPr>
                <w:rFonts w:ascii="Calibri" w:hAnsi="Calibri" w:cs="Calibri"/>
                <w:color w:val="000000"/>
                <w:szCs w:val="24"/>
              </w:rPr>
              <w:t xml:space="preserve"> summer campaign (paid social media and radio) </w:t>
            </w:r>
            <w:r w:rsidR="007C290D">
              <w:rPr>
                <w:rFonts w:ascii="Calibri" w:hAnsi="Calibri" w:cs="Calibri"/>
                <w:color w:val="000000"/>
                <w:szCs w:val="24"/>
              </w:rPr>
              <w:t>completed</w:t>
            </w:r>
            <w:r w:rsidRPr="00EF1487">
              <w:rPr>
                <w:rFonts w:ascii="Calibri" w:hAnsi="Calibri" w:cs="Calibri"/>
                <w:color w:val="000000"/>
                <w:szCs w:val="24"/>
              </w:rPr>
              <w:t>; new SOAC website content on wildlife disturbance (including Gaelic translation) and deer management published and responsible mountain biking video created with D</w:t>
            </w:r>
            <w:r w:rsidR="007C290D">
              <w:rPr>
                <w:rFonts w:ascii="Calibri" w:hAnsi="Calibri" w:cs="Calibri"/>
                <w:color w:val="000000"/>
                <w:szCs w:val="24"/>
              </w:rPr>
              <w:t xml:space="preserve">eveloping </w:t>
            </w:r>
            <w:r w:rsidRPr="00EF1487">
              <w:rPr>
                <w:rFonts w:ascii="Calibri" w:hAnsi="Calibri" w:cs="Calibri"/>
                <w:color w:val="000000"/>
                <w:szCs w:val="24"/>
              </w:rPr>
              <w:t>M</w:t>
            </w:r>
            <w:r w:rsidR="007C290D">
              <w:rPr>
                <w:rFonts w:ascii="Calibri" w:hAnsi="Calibri" w:cs="Calibri"/>
                <w:color w:val="000000"/>
                <w:szCs w:val="24"/>
              </w:rPr>
              <w:t xml:space="preserve">ountain </w:t>
            </w:r>
            <w:r w:rsidRPr="00EF1487">
              <w:rPr>
                <w:rFonts w:ascii="Calibri" w:hAnsi="Calibri" w:cs="Calibri"/>
                <w:color w:val="000000"/>
                <w:szCs w:val="24"/>
              </w:rPr>
              <w:t>B</w:t>
            </w:r>
            <w:r w:rsidR="007C290D">
              <w:rPr>
                <w:rFonts w:ascii="Calibri" w:hAnsi="Calibri" w:cs="Calibri"/>
                <w:color w:val="000000"/>
                <w:szCs w:val="24"/>
              </w:rPr>
              <w:t xml:space="preserve">iking </w:t>
            </w:r>
            <w:r w:rsidRPr="00EF1487">
              <w:rPr>
                <w:rFonts w:ascii="Calibri" w:hAnsi="Calibri" w:cs="Calibri"/>
                <w:color w:val="000000"/>
                <w:szCs w:val="24"/>
              </w:rPr>
              <w:t>in</w:t>
            </w:r>
            <w:r w:rsidR="007C290D">
              <w:rPr>
                <w:rFonts w:ascii="Calibri" w:hAnsi="Calibri" w:cs="Calibri"/>
                <w:color w:val="000000"/>
                <w:szCs w:val="24"/>
              </w:rPr>
              <w:t xml:space="preserve"> </w:t>
            </w:r>
            <w:r w:rsidRPr="00EF1487">
              <w:rPr>
                <w:rFonts w:ascii="Calibri" w:hAnsi="Calibri" w:cs="Calibri"/>
                <w:color w:val="000000"/>
                <w:szCs w:val="24"/>
              </w:rPr>
              <w:t>S</w:t>
            </w:r>
            <w:r w:rsidR="007C290D">
              <w:rPr>
                <w:rFonts w:ascii="Calibri" w:hAnsi="Calibri" w:cs="Calibri"/>
                <w:color w:val="000000"/>
                <w:szCs w:val="24"/>
              </w:rPr>
              <w:t>cotland</w:t>
            </w:r>
            <w:r w:rsidRPr="00EF1487">
              <w:rPr>
                <w:rFonts w:ascii="Calibri" w:hAnsi="Calibri" w:cs="Calibri"/>
                <w:color w:val="000000"/>
                <w:szCs w:val="24"/>
              </w:rPr>
              <w:t xml:space="preserve"> (launch</w:t>
            </w:r>
            <w:r w:rsidR="003B1A4C">
              <w:rPr>
                <w:rFonts w:ascii="Calibri" w:hAnsi="Calibri" w:cs="Calibri"/>
                <w:color w:val="000000"/>
                <w:szCs w:val="24"/>
              </w:rPr>
              <w:t xml:space="preserve">ed </w:t>
            </w:r>
            <w:r w:rsidRPr="00EF1487">
              <w:rPr>
                <w:rFonts w:ascii="Calibri" w:hAnsi="Calibri" w:cs="Calibri"/>
                <w:color w:val="000000"/>
                <w:szCs w:val="24"/>
              </w:rPr>
              <w:t>during Cycling World Championships).</w:t>
            </w:r>
          </w:p>
          <w:p w14:paraId="46EAAF18" w14:textId="2EAADD9E" w:rsidR="002C4E9F" w:rsidRDefault="002C4E9F" w:rsidP="00025C49">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 xml:space="preserve">Active support </w:t>
            </w:r>
            <w:r w:rsidR="009F63AF">
              <w:rPr>
                <w:rFonts w:ascii="Calibri" w:hAnsi="Calibri" w:cs="Calibri"/>
                <w:color w:val="000000"/>
                <w:szCs w:val="24"/>
              </w:rPr>
              <w:t>and leadership p</w:t>
            </w:r>
            <w:r>
              <w:rPr>
                <w:rFonts w:ascii="Calibri" w:hAnsi="Calibri" w:cs="Calibri"/>
                <w:color w:val="000000"/>
                <w:szCs w:val="24"/>
              </w:rPr>
              <w:t>rovided for the greenspace and biodiversity elements of the NHS Climate Emergency and Sustainability Strategy and the refresh of the Scottish Government’s Learning for Sustainability Action Plan</w:t>
            </w:r>
          </w:p>
          <w:p w14:paraId="42B668D8" w14:textId="31328C62" w:rsidR="00EF1487" w:rsidRPr="00EF1487" w:rsidRDefault="002C4E9F" w:rsidP="00025C49">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P</w:t>
            </w:r>
            <w:r w:rsidR="00EF1487" w:rsidRPr="00EF1487">
              <w:rPr>
                <w:rFonts w:ascii="Calibri" w:hAnsi="Calibri" w:cs="Calibri"/>
                <w:color w:val="000000"/>
                <w:szCs w:val="24"/>
              </w:rPr>
              <w:t xml:space="preserve">resentation on Green Health Partnerships to Directors of Finance annual conference. </w:t>
            </w:r>
          </w:p>
          <w:p w14:paraId="261B3D55" w14:textId="52A04271" w:rsidR="001C009C" w:rsidRDefault="00EF1487" w:rsidP="00025C49">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First meeting of the </w:t>
            </w:r>
            <w:r w:rsidR="0037041C">
              <w:rPr>
                <w:rFonts w:ascii="Calibri" w:hAnsi="Calibri" w:cs="Calibri"/>
                <w:color w:val="000000"/>
                <w:szCs w:val="24"/>
              </w:rPr>
              <w:t>Long-Distance</w:t>
            </w:r>
            <w:r w:rsidR="00951E50">
              <w:rPr>
                <w:rFonts w:ascii="Calibri" w:hAnsi="Calibri" w:cs="Calibri"/>
                <w:color w:val="000000"/>
                <w:szCs w:val="24"/>
              </w:rPr>
              <w:t xml:space="preserve"> Routes</w:t>
            </w:r>
            <w:r w:rsidR="00951E50" w:rsidRPr="00EF1487">
              <w:rPr>
                <w:rFonts w:ascii="Calibri" w:hAnsi="Calibri" w:cs="Calibri"/>
                <w:color w:val="000000"/>
                <w:szCs w:val="24"/>
              </w:rPr>
              <w:t xml:space="preserve"> </w:t>
            </w:r>
            <w:r w:rsidRPr="00EF1487">
              <w:rPr>
                <w:rFonts w:ascii="Calibri" w:hAnsi="Calibri" w:cs="Calibri"/>
                <w:color w:val="000000"/>
                <w:szCs w:val="24"/>
              </w:rPr>
              <w:t>forum held since before COVID19 with circa 25 routes represented.</w:t>
            </w:r>
            <w:r w:rsidR="001C009C" w:rsidRPr="00EF1487">
              <w:rPr>
                <w:rFonts w:ascii="Calibri" w:hAnsi="Calibri" w:cs="Calibri"/>
                <w:color w:val="000000"/>
                <w:szCs w:val="24"/>
              </w:rPr>
              <w:t xml:space="preserve"> </w:t>
            </w:r>
          </w:p>
          <w:p w14:paraId="16175B62" w14:textId="74F44594" w:rsidR="00DD1243" w:rsidRPr="004D3D42" w:rsidRDefault="001C009C" w:rsidP="004D3D42">
            <w:pPr>
              <w:numPr>
                <w:ilvl w:val="0"/>
                <w:numId w:val="10"/>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Publication of latest SOAC awareness and Nature Omnibus survey reports</w:t>
            </w:r>
          </w:p>
        </w:tc>
      </w:tr>
      <w:tr w:rsidR="008D20BE" w:rsidRPr="00F550D1" w14:paraId="553D576D" w14:textId="77777777" w:rsidTr="00DD1243">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33F7827" w14:textId="77777777" w:rsidR="008D20BE" w:rsidRPr="004F3330" w:rsidRDefault="008D20BE" w:rsidP="008D20BE">
            <w:pPr>
              <w:rPr>
                <w:rFonts w:ascii="Calibri" w:hAnsi="Calibri" w:cs="Calibri"/>
                <w:b w:val="0"/>
                <w:color w:val="000000"/>
                <w:szCs w:val="24"/>
                <w:highlight w:val="yellow"/>
              </w:rPr>
            </w:pPr>
            <w:r w:rsidRPr="00014497">
              <w:rPr>
                <w:rFonts w:ascii="Calibri" w:hAnsi="Calibri" w:cs="Calibri"/>
                <w:b w:val="0"/>
                <w:color w:val="000000"/>
                <w:szCs w:val="24"/>
              </w:rPr>
              <w:lastRenderedPageBreak/>
              <w:t>Influence the regulatory, policy, market and institutional infrastructure needed to stimulate private sector investment into nature</w:t>
            </w:r>
          </w:p>
        </w:tc>
        <w:tc>
          <w:tcPr>
            <w:tcW w:w="1559" w:type="dxa"/>
            <w:vAlign w:val="center"/>
          </w:tcPr>
          <w:p w14:paraId="34F1272B"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22785C8A"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2DE03B0E" w14:textId="79EF01AD" w:rsidR="00014497" w:rsidRPr="00014497" w:rsidRDefault="00C34985" w:rsidP="00025C49">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C34985">
              <w:rPr>
                <w:rFonts w:ascii="Calibri" w:hAnsi="Calibri" w:cs="Calibri"/>
                <w:color w:val="000000"/>
                <w:szCs w:val="24"/>
              </w:rPr>
              <w:t>Facility for Investment Ready Nature in Scotland</w:t>
            </w:r>
            <w:r>
              <w:rPr>
                <w:rFonts w:ascii="Calibri" w:hAnsi="Calibri" w:cs="Calibri"/>
                <w:color w:val="000000"/>
                <w:szCs w:val="24"/>
              </w:rPr>
              <w:t xml:space="preserve"> (FIRNS)</w:t>
            </w:r>
            <w:r w:rsidR="00014497" w:rsidRPr="00014497">
              <w:rPr>
                <w:rFonts w:ascii="Calibri" w:hAnsi="Calibri" w:cs="Calibri"/>
                <w:color w:val="000000"/>
                <w:szCs w:val="24"/>
              </w:rPr>
              <w:t xml:space="preserve">: Funding team recruited and in place. Assessments carried out and grant awards </w:t>
            </w:r>
            <w:r w:rsidR="00467896">
              <w:rPr>
                <w:rFonts w:ascii="Calibri" w:hAnsi="Calibri" w:cs="Calibri"/>
                <w:color w:val="000000"/>
                <w:szCs w:val="24"/>
              </w:rPr>
              <w:t xml:space="preserve">announced by Minister. </w:t>
            </w:r>
            <w:r w:rsidR="00B71A8F">
              <w:rPr>
                <w:rStyle w:val="ui-provider"/>
              </w:rPr>
              <w:t xml:space="preserve">27 projects were funded with a spend of £3.6 million (£1.8 NatureScot/SG, £1.8m Lottery). </w:t>
            </w:r>
            <w:r w:rsidR="00467896">
              <w:rPr>
                <w:rFonts w:ascii="Calibri" w:hAnsi="Calibri" w:cs="Calibri"/>
                <w:color w:val="000000"/>
                <w:szCs w:val="24"/>
              </w:rPr>
              <w:t xml:space="preserve">Ministerial announcement of Round 2 planned for 2 October at </w:t>
            </w:r>
            <w:r w:rsidRPr="005B1B32">
              <w:rPr>
                <w:rFonts w:ascii="Calibri" w:hAnsi="Calibri" w:cs="Calibri"/>
                <w:szCs w:val="24"/>
              </w:rPr>
              <w:t>Ecosystems Knowledge Network</w:t>
            </w:r>
            <w:r>
              <w:rPr>
                <w:rFonts w:ascii="Calibri" w:hAnsi="Calibri" w:cs="Calibri"/>
                <w:szCs w:val="24"/>
              </w:rPr>
              <w:t>’s (</w:t>
            </w:r>
            <w:r w:rsidR="00467896">
              <w:rPr>
                <w:rFonts w:ascii="Calibri" w:hAnsi="Calibri" w:cs="Calibri"/>
                <w:color w:val="000000"/>
                <w:szCs w:val="24"/>
              </w:rPr>
              <w:t>EKN</w:t>
            </w:r>
            <w:r>
              <w:rPr>
                <w:rFonts w:ascii="Calibri" w:hAnsi="Calibri" w:cs="Calibri"/>
                <w:color w:val="000000"/>
                <w:szCs w:val="24"/>
              </w:rPr>
              <w:t>)</w:t>
            </w:r>
            <w:r w:rsidR="00467896">
              <w:rPr>
                <w:rFonts w:ascii="Calibri" w:hAnsi="Calibri" w:cs="Calibri"/>
                <w:color w:val="000000"/>
                <w:szCs w:val="24"/>
              </w:rPr>
              <w:t xml:space="preserve"> Scottish Nature Finance Forum</w:t>
            </w:r>
            <w:r w:rsidR="00014497" w:rsidRPr="00014497">
              <w:rPr>
                <w:rFonts w:ascii="Calibri" w:hAnsi="Calibri" w:cs="Calibri"/>
                <w:color w:val="000000"/>
                <w:szCs w:val="24"/>
              </w:rPr>
              <w:t xml:space="preserve">. </w:t>
            </w:r>
          </w:p>
          <w:p w14:paraId="13A25256" w14:textId="396BEB09" w:rsidR="008D20BE" w:rsidRPr="00467896" w:rsidRDefault="00014497" w:rsidP="00025C49">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014497">
              <w:rPr>
                <w:rFonts w:ascii="Calibri" w:hAnsi="Calibri" w:cs="Calibri"/>
                <w:color w:val="000000"/>
                <w:szCs w:val="24"/>
              </w:rPr>
              <w:t xml:space="preserve">Hampdens: Residential </w:t>
            </w:r>
            <w:r w:rsidR="00467896">
              <w:rPr>
                <w:rFonts w:ascii="Calibri" w:hAnsi="Calibri" w:cs="Calibri"/>
                <w:color w:val="000000"/>
                <w:szCs w:val="24"/>
              </w:rPr>
              <w:t>gathering</w:t>
            </w:r>
            <w:r w:rsidR="00951E50">
              <w:rPr>
                <w:rFonts w:ascii="Calibri" w:hAnsi="Calibri" w:cs="Calibri"/>
                <w:color w:val="000000"/>
                <w:szCs w:val="24"/>
              </w:rPr>
              <w:t xml:space="preserve"> </w:t>
            </w:r>
            <w:r w:rsidRPr="00014497">
              <w:rPr>
                <w:rFonts w:ascii="Calibri" w:hAnsi="Calibri" w:cs="Calibri"/>
                <w:color w:val="000000"/>
                <w:szCs w:val="24"/>
              </w:rPr>
              <w:t>held to facilitate further development of th</w:t>
            </w:r>
            <w:r w:rsidR="00FF5834">
              <w:rPr>
                <w:rFonts w:ascii="Calibri" w:hAnsi="Calibri" w:cs="Calibri"/>
                <w:color w:val="000000"/>
                <w:szCs w:val="24"/>
              </w:rPr>
              <w:t>is</w:t>
            </w:r>
            <w:r w:rsidRPr="00014497">
              <w:rPr>
                <w:rFonts w:ascii="Calibri" w:hAnsi="Calibri" w:cs="Calibri"/>
                <w:color w:val="000000"/>
                <w:szCs w:val="24"/>
              </w:rPr>
              <w:t xml:space="preserve"> work. </w:t>
            </w:r>
            <w:r w:rsidR="00C34985">
              <w:rPr>
                <w:rFonts w:ascii="Calibri" w:hAnsi="Calibri" w:cs="Calibri"/>
                <w:color w:val="000000"/>
                <w:szCs w:val="24"/>
              </w:rPr>
              <w:t>South of Scotland Enterprise (</w:t>
            </w:r>
            <w:r w:rsidR="00467896">
              <w:rPr>
                <w:rFonts w:ascii="Calibri" w:hAnsi="Calibri" w:cs="Calibri"/>
                <w:color w:val="000000"/>
                <w:szCs w:val="24"/>
              </w:rPr>
              <w:t>SOSE</w:t>
            </w:r>
            <w:r w:rsidR="00C34985">
              <w:rPr>
                <w:rFonts w:ascii="Calibri" w:hAnsi="Calibri" w:cs="Calibri"/>
                <w:color w:val="000000"/>
                <w:szCs w:val="24"/>
              </w:rPr>
              <w:t>)</w:t>
            </w:r>
            <w:r w:rsidR="00467896">
              <w:rPr>
                <w:rFonts w:ascii="Calibri" w:hAnsi="Calibri" w:cs="Calibri"/>
                <w:color w:val="000000"/>
                <w:szCs w:val="24"/>
              </w:rPr>
              <w:t xml:space="preserve"> supporting next phase of work on the Heart of the Borders expansion project</w:t>
            </w:r>
          </w:p>
        </w:tc>
      </w:tr>
      <w:tr w:rsidR="008D20BE" w:rsidRPr="00F550D1" w14:paraId="46323132" w14:textId="77777777" w:rsidTr="004F3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2D4FD48E" w14:textId="77777777"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t>Drive the establishment of Natural Capital as an integral part of public and private business planning and investment decisions at national, landscape and landholding/business scales</w:t>
            </w:r>
          </w:p>
        </w:tc>
        <w:tc>
          <w:tcPr>
            <w:tcW w:w="1559" w:type="dxa"/>
            <w:vAlign w:val="center"/>
          </w:tcPr>
          <w:p w14:paraId="6A9A0AE6"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Robbie Kernahan</w:t>
            </w:r>
          </w:p>
        </w:tc>
        <w:tc>
          <w:tcPr>
            <w:tcW w:w="993" w:type="dxa"/>
            <w:shd w:val="clear" w:color="auto" w:fill="9BBB59" w:themeFill="accent3"/>
            <w:vAlign w:val="center"/>
          </w:tcPr>
          <w:p w14:paraId="32A1060D"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427A359A" w14:textId="58FC0FE6" w:rsidR="00EF1487" w:rsidRPr="00EF1487" w:rsidRDefault="00951E50" w:rsidP="00025C49">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Pr>
                <w:rFonts w:ascii="Calibri" w:hAnsi="Calibri" w:cs="Calibri"/>
                <w:color w:val="000000"/>
                <w:szCs w:val="24"/>
              </w:rPr>
              <w:t xml:space="preserve">Capacity: </w:t>
            </w:r>
            <w:r w:rsidR="00EF1487" w:rsidRPr="00EF1487">
              <w:rPr>
                <w:rFonts w:ascii="Calibri" w:hAnsi="Calibri" w:cs="Calibri"/>
                <w:color w:val="000000"/>
                <w:szCs w:val="24"/>
              </w:rPr>
              <w:t>E-grade Natural Capital Manager</w:t>
            </w:r>
            <w:r w:rsidR="00512D3E">
              <w:rPr>
                <w:rFonts w:ascii="Calibri" w:hAnsi="Calibri" w:cs="Calibri"/>
                <w:color w:val="000000"/>
                <w:szCs w:val="24"/>
              </w:rPr>
              <w:t xml:space="preserve">, who will lead on </w:t>
            </w:r>
            <w:proofErr w:type="spellStart"/>
            <w:r w:rsidR="00512D3E">
              <w:rPr>
                <w:rFonts w:ascii="Calibri" w:hAnsi="Calibri" w:cs="Calibri"/>
                <w:color w:val="000000"/>
                <w:szCs w:val="24"/>
              </w:rPr>
              <w:t>NatureScot’s</w:t>
            </w:r>
            <w:proofErr w:type="spellEnd"/>
            <w:r w:rsidR="00512D3E">
              <w:rPr>
                <w:rFonts w:ascii="Calibri" w:hAnsi="Calibri" w:cs="Calibri"/>
                <w:color w:val="000000"/>
                <w:szCs w:val="24"/>
              </w:rPr>
              <w:t xml:space="preserve"> policy and advice on Natural Capital, has been</w:t>
            </w:r>
            <w:r w:rsidR="00EF1487" w:rsidRPr="00EF1487">
              <w:rPr>
                <w:rFonts w:ascii="Calibri" w:hAnsi="Calibri" w:cs="Calibri"/>
                <w:color w:val="000000"/>
                <w:szCs w:val="24"/>
              </w:rPr>
              <w:t xml:space="preserve"> recruited.</w:t>
            </w:r>
          </w:p>
          <w:p w14:paraId="6567292A" w14:textId="77777777" w:rsidR="00EF1487" w:rsidRPr="00EF1487" w:rsidRDefault="00EF1487" w:rsidP="00025C49">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Contracts to develop next phase of landscape tool being let. </w:t>
            </w:r>
          </w:p>
          <w:p w14:paraId="41A31064" w14:textId="77777777" w:rsidR="00EF1487" w:rsidRPr="00EF1487" w:rsidRDefault="00EF1487" w:rsidP="00025C49">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Natural Capital Asset Index re-basing workshops underway involving internal and external expert input.</w:t>
            </w:r>
          </w:p>
          <w:p w14:paraId="27B8A7E4" w14:textId="77777777" w:rsidR="00EF1487" w:rsidRPr="00EF1487" w:rsidRDefault="00EF1487" w:rsidP="00025C49">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Paper on landscape partnership prioritisation within NatureScot prepared and shared.</w:t>
            </w:r>
          </w:p>
          <w:p w14:paraId="720DAE51" w14:textId="14C13F87" w:rsidR="00EF1487" w:rsidRPr="00EF1487" w:rsidRDefault="00EF1487" w:rsidP="00025C49">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t xml:space="preserve">Natural Capital awareness sessions offered across </w:t>
            </w:r>
            <w:r w:rsidR="0037041C" w:rsidRPr="00EF1487">
              <w:rPr>
                <w:rFonts w:ascii="Calibri" w:hAnsi="Calibri" w:cs="Calibri"/>
                <w:color w:val="000000"/>
                <w:szCs w:val="24"/>
              </w:rPr>
              <w:t>NatureScot,</w:t>
            </w:r>
            <w:r w:rsidRPr="00EF1487">
              <w:rPr>
                <w:rFonts w:ascii="Calibri" w:hAnsi="Calibri" w:cs="Calibri"/>
                <w:color w:val="000000"/>
                <w:szCs w:val="24"/>
              </w:rPr>
              <w:t xml:space="preserve"> and </w:t>
            </w:r>
            <w:r w:rsidR="0037041C" w:rsidRPr="00EF1487">
              <w:rPr>
                <w:rFonts w:ascii="Calibri" w:hAnsi="Calibri" w:cs="Calibri"/>
                <w:color w:val="000000"/>
                <w:szCs w:val="24"/>
              </w:rPr>
              <w:t>SharePoint</w:t>
            </w:r>
            <w:r w:rsidRPr="00EF1487">
              <w:rPr>
                <w:rFonts w:ascii="Calibri" w:hAnsi="Calibri" w:cs="Calibri"/>
                <w:color w:val="000000"/>
                <w:szCs w:val="24"/>
              </w:rPr>
              <w:t>/website information material being revised and developed.</w:t>
            </w:r>
          </w:p>
          <w:p w14:paraId="32A6DB27" w14:textId="217CF34B" w:rsidR="008D20BE" w:rsidRPr="00F550D1" w:rsidRDefault="00EF1487" w:rsidP="00025C49">
            <w:pPr>
              <w:numPr>
                <w:ilvl w:val="0"/>
                <w:numId w:val="11"/>
              </w:num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EF1487">
              <w:rPr>
                <w:rFonts w:ascii="Calibri" w:hAnsi="Calibri" w:cs="Calibri"/>
                <w:color w:val="000000"/>
                <w:szCs w:val="24"/>
              </w:rPr>
              <w:lastRenderedPageBreak/>
              <w:t xml:space="preserve">Lessons learned from Natural Capital Landholding tool template shared with SG whole farm planning </w:t>
            </w:r>
            <w:r w:rsidR="00951E50">
              <w:rPr>
                <w:rFonts w:ascii="Calibri" w:hAnsi="Calibri" w:cs="Calibri"/>
                <w:color w:val="000000"/>
                <w:szCs w:val="24"/>
              </w:rPr>
              <w:t>‘</w:t>
            </w:r>
            <w:r w:rsidRPr="00EF1487">
              <w:rPr>
                <w:rFonts w:ascii="Calibri" w:hAnsi="Calibri" w:cs="Calibri"/>
                <w:color w:val="000000"/>
                <w:szCs w:val="24"/>
              </w:rPr>
              <w:t>discovery</w:t>
            </w:r>
            <w:r w:rsidR="00951E50">
              <w:rPr>
                <w:rFonts w:ascii="Calibri" w:hAnsi="Calibri" w:cs="Calibri"/>
                <w:color w:val="000000"/>
                <w:szCs w:val="24"/>
              </w:rPr>
              <w:t xml:space="preserve"> phase’</w:t>
            </w:r>
            <w:r w:rsidRPr="00EF1487">
              <w:rPr>
                <w:rFonts w:ascii="Calibri" w:hAnsi="Calibri" w:cs="Calibri"/>
                <w:color w:val="000000"/>
                <w:szCs w:val="24"/>
              </w:rPr>
              <w:t xml:space="preserve"> team.</w:t>
            </w:r>
          </w:p>
        </w:tc>
      </w:tr>
      <w:tr w:rsidR="008D20BE" w:rsidRPr="00F550D1" w14:paraId="0756AC9D" w14:textId="77777777" w:rsidTr="004F3330">
        <w:trPr>
          <w:jc w:val="center"/>
        </w:trPr>
        <w:tc>
          <w:tcPr>
            <w:cnfStyle w:val="001000000000" w:firstRow="0" w:lastRow="0" w:firstColumn="1" w:lastColumn="0" w:oddVBand="0" w:evenVBand="0" w:oddHBand="0" w:evenHBand="0" w:firstRowFirstColumn="0" w:firstRowLastColumn="0" w:lastRowFirstColumn="0" w:lastRowLastColumn="0"/>
            <w:tcW w:w="3544" w:type="dxa"/>
            <w:vAlign w:val="center"/>
          </w:tcPr>
          <w:p w14:paraId="0E9636B1" w14:textId="3E4D75D2"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lastRenderedPageBreak/>
              <w:t xml:space="preserve">Promote understanding and awareness of skills and capacity needs for the </w:t>
            </w:r>
            <w:r w:rsidR="0037041C" w:rsidRPr="00F550D1">
              <w:rPr>
                <w:rFonts w:ascii="Calibri" w:hAnsi="Calibri" w:cs="Calibri"/>
                <w:b w:val="0"/>
                <w:color w:val="000000"/>
                <w:szCs w:val="24"/>
              </w:rPr>
              <w:t>nature-based</w:t>
            </w:r>
            <w:r w:rsidRPr="00F550D1">
              <w:rPr>
                <w:rFonts w:ascii="Calibri" w:hAnsi="Calibri" w:cs="Calibri"/>
                <w:b w:val="0"/>
                <w:color w:val="000000"/>
                <w:szCs w:val="24"/>
              </w:rPr>
              <w:t xml:space="preserve"> sector</w:t>
            </w:r>
          </w:p>
        </w:tc>
        <w:tc>
          <w:tcPr>
            <w:tcW w:w="1559" w:type="dxa"/>
            <w:vAlign w:val="center"/>
          </w:tcPr>
          <w:p w14:paraId="33BCCA84"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color w:val="000000"/>
                <w:szCs w:val="24"/>
              </w:rPr>
              <w:t>Nick Halfhide</w:t>
            </w:r>
          </w:p>
        </w:tc>
        <w:tc>
          <w:tcPr>
            <w:tcW w:w="993" w:type="dxa"/>
            <w:shd w:val="clear" w:color="auto" w:fill="9BBB59" w:themeFill="accent3"/>
            <w:vAlign w:val="center"/>
          </w:tcPr>
          <w:p w14:paraId="6CB1F5DA"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466" w:type="dxa"/>
            <w:vAlign w:val="center"/>
          </w:tcPr>
          <w:p w14:paraId="589CF332" w14:textId="1DB6EA8F" w:rsidR="003173A9" w:rsidRPr="003173A9" w:rsidRDefault="003173A9" w:rsidP="00025C49">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173A9">
              <w:rPr>
                <w:rFonts w:ascii="Calibri" w:hAnsi="Calibri" w:cs="Calibri"/>
                <w:szCs w:val="24"/>
              </w:rPr>
              <w:t>New Land-based Apprenticeships will include 5 new Units developed by NatureScot related to Peatland, Nature</w:t>
            </w:r>
            <w:r w:rsidR="00314E25">
              <w:rPr>
                <w:rFonts w:ascii="Calibri" w:hAnsi="Calibri" w:cs="Calibri"/>
                <w:szCs w:val="24"/>
              </w:rPr>
              <w:t>-</w:t>
            </w:r>
            <w:r w:rsidRPr="003173A9">
              <w:rPr>
                <w:rFonts w:ascii="Calibri" w:hAnsi="Calibri" w:cs="Calibri"/>
                <w:szCs w:val="24"/>
              </w:rPr>
              <w:t xml:space="preserve">positive Amenity Grassland and Regenerative Agriculture. </w:t>
            </w:r>
          </w:p>
          <w:p w14:paraId="182AA766" w14:textId="44D63A00" w:rsidR="003173A9" w:rsidRPr="003173A9" w:rsidRDefault="003173A9" w:rsidP="00025C49">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173A9">
              <w:rPr>
                <w:rFonts w:ascii="Calibri" w:hAnsi="Calibri" w:cs="Calibri"/>
                <w:szCs w:val="24"/>
              </w:rPr>
              <w:t xml:space="preserve">Video commissioned to showcase a range of </w:t>
            </w:r>
            <w:r w:rsidR="0037041C" w:rsidRPr="003173A9">
              <w:rPr>
                <w:rFonts w:ascii="Calibri" w:hAnsi="Calibri" w:cs="Calibri"/>
                <w:szCs w:val="24"/>
              </w:rPr>
              <w:t>nature-based</w:t>
            </w:r>
            <w:r w:rsidRPr="003173A9">
              <w:rPr>
                <w:rFonts w:ascii="Calibri" w:hAnsi="Calibri" w:cs="Calibri"/>
                <w:szCs w:val="24"/>
              </w:rPr>
              <w:t xml:space="preserve"> </w:t>
            </w:r>
            <w:r w:rsidR="0037041C" w:rsidRPr="003173A9">
              <w:rPr>
                <w:rFonts w:ascii="Calibri" w:hAnsi="Calibri" w:cs="Calibri"/>
                <w:szCs w:val="24"/>
              </w:rPr>
              <w:t>jobs.</w:t>
            </w:r>
            <w:r w:rsidRPr="003173A9">
              <w:rPr>
                <w:rFonts w:ascii="Calibri" w:hAnsi="Calibri" w:cs="Calibri"/>
                <w:szCs w:val="24"/>
              </w:rPr>
              <w:t xml:space="preserve"> </w:t>
            </w:r>
          </w:p>
          <w:p w14:paraId="7A1EB6C5" w14:textId="6106FFA8" w:rsidR="008D20BE" w:rsidRPr="00C34985" w:rsidRDefault="003173A9" w:rsidP="00025C49">
            <w:pPr>
              <w:numPr>
                <w:ilvl w:val="0"/>
                <w:numId w:val="10"/>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3173A9">
              <w:rPr>
                <w:rFonts w:ascii="Calibri" w:hAnsi="Calibri" w:cs="Calibri"/>
                <w:szCs w:val="24"/>
              </w:rPr>
              <w:t xml:space="preserve">Joined the </w:t>
            </w:r>
            <w:r w:rsidR="00C90221">
              <w:rPr>
                <w:rFonts w:ascii="Calibri" w:hAnsi="Calibri" w:cs="Calibri"/>
                <w:szCs w:val="24"/>
              </w:rPr>
              <w:t>C</w:t>
            </w:r>
            <w:r w:rsidR="00C90221" w:rsidRPr="00C90221">
              <w:rPr>
                <w:rFonts w:ascii="Calibri" w:hAnsi="Calibri" w:cs="Calibri"/>
                <w:szCs w:val="24"/>
              </w:rPr>
              <w:t>hartered Institute of Ecology and Environmental Managemen</w:t>
            </w:r>
            <w:r w:rsidR="00C90221">
              <w:rPr>
                <w:rFonts w:ascii="Calibri" w:hAnsi="Calibri" w:cs="Calibri"/>
                <w:szCs w:val="24"/>
              </w:rPr>
              <w:t>t (</w:t>
            </w:r>
            <w:r w:rsidRPr="003173A9">
              <w:rPr>
                <w:rFonts w:ascii="Calibri" w:hAnsi="Calibri" w:cs="Calibri"/>
                <w:szCs w:val="24"/>
              </w:rPr>
              <w:t>CIEEM</w:t>
            </w:r>
            <w:r w:rsidR="00C90221">
              <w:rPr>
                <w:rFonts w:ascii="Calibri" w:hAnsi="Calibri" w:cs="Calibri"/>
                <w:szCs w:val="24"/>
              </w:rPr>
              <w:t>)</w:t>
            </w:r>
            <w:r w:rsidRPr="003173A9">
              <w:rPr>
                <w:rFonts w:ascii="Calibri" w:hAnsi="Calibri" w:cs="Calibri"/>
                <w:szCs w:val="24"/>
              </w:rPr>
              <w:t xml:space="preserve">-led ‘Green Jobs for Nature’ Partnership Project, a </w:t>
            </w:r>
            <w:r w:rsidR="0037041C" w:rsidRPr="003173A9">
              <w:rPr>
                <w:rFonts w:ascii="Calibri" w:hAnsi="Calibri" w:cs="Calibri"/>
                <w:szCs w:val="24"/>
              </w:rPr>
              <w:t>2-year</w:t>
            </w:r>
            <w:r w:rsidRPr="003173A9">
              <w:rPr>
                <w:rFonts w:ascii="Calibri" w:hAnsi="Calibri" w:cs="Calibri"/>
                <w:szCs w:val="24"/>
              </w:rPr>
              <w:t xml:space="preserve"> communications campaign focussed on people/groups not adequately represented in the </w:t>
            </w:r>
            <w:r w:rsidR="00FF5834">
              <w:rPr>
                <w:rFonts w:ascii="Calibri" w:hAnsi="Calibri" w:cs="Calibri"/>
                <w:szCs w:val="24"/>
              </w:rPr>
              <w:t>n</w:t>
            </w:r>
            <w:r w:rsidRPr="003173A9">
              <w:rPr>
                <w:rFonts w:ascii="Calibri" w:hAnsi="Calibri" w:cs="Calibri"/>
                <w:szCs w:val="24"/>
              </w:rPr>
              <w:t xml:space="preserve">ature-based </w:t>
            </w:r>
            <w:r w:rsidR="00FF5834">
              <w:rPr>
                <w:rFonts w:ascii="Calibri" w:hAnsi="Calibri" w:cs="Calibri"/>
                <w:szCs w:val="24"/>
              </w:rPr>
              <w:t>s</w:t>
            </w:r>
            <w:r w:rsidRPr="003173A9">
              <w:rPr>
                <w:rFonts w:ascii="Calibri" w:hAnsi="Calibri" w:cs="Calibri"/>
                <w:szCs w:val="24"/>
              </w:rPr>
              <w:t>ector</w:t>
            </w:r>
            <w:r w:rsidR="00FF5834">
              <w:rPr>
                <w:rFonts w:ascii="Calibri" w:hAnsi="Calibri" w:cs="Calibri"/>
                <w:szCs w:val="24"/>
              </w:rPr>
              <w:t>.</w:t>
            </w:r>
          </w:p>
        </w:tc>
      </w:tr>
    </w:tbl>
    <w:p w14:paraId="2328BF0E" w14:textId="6CA6A37D" w:rsidR="00C34985" w:rsidRDefault="00C34985" w:rsidP="008D20BE">
      <w:pPr>
        <w:spacing w:after="160" w:line="259" w:lineRule="auto"/>
        <w:rPr>
          <w:rFonts w:ascii="Calibri" w:eastAsiaTheme="majorEastAsia" w:hAnsi="Calibri" w:cs="Calibri"/>
          <w:b/>
          <w:szCs w:val="26"/>
        </w:rPr>
      </w:pPr>
    </w:p>
    <w:p w14:paraId="6D364284" w14:textId="393F2170" w:rsidR="008D20BE" w:rsidRPr="00F550D1" w:rsidRDefault="004F3330" w:rsidP="008D20BE">
      <w:pPr>
        <w:keepNext/>
        <w:keepLines/>
        <w:shd w:val="clear" w:color="auto" w:fill="007DC3"/>
        <w:spacing w:before="40" w:after="0" w:line="259" w:lineRule="auto"/>
        <w:jc w:val="center"/>
        <w:outlineLvl w:val="1"/>
        <w:rPr>
          <w:rFonts w:ascii="Calibri" w:eastAsiaTheme="majorEastAsia" w:hAnsi="Calibri" w:cs="Calibri"/>
          <w:b/>
          <w:szCs w:val="26"/>
        </w:rPr>
      </w:pPr>
      <w:r>
        <w:rPr>
          <w:rFonts w:ascii="Calibri" w:eastAsiaTheme="majorEastAsia" w:hAnsi="Calibri" w:cs="Calibri"/>
          <w:b/>
          <w:szCs w:val="26"/>
        </w:rPr>
        <w:t>W</w:t>
      </w:r>
      <w:r w:rsidR="008D20BE" w:rsidRPr="00F550D1">
        <w:rPr>
          <w:rFonts w:ascii="Calibri" w:eastAsiaTheme="majorEastAsia" w:hAnsi="Calibri" w:cs="Calibri"/>
          <w:b/>
          <w:szCs w:val="26"/>
        </w:rPr>
        <w:t>E HAVE TRANSFORMED HOW WE WORK</w:t>
      </w: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E HAVE TRANSFORMED HOW WE WORK Q1 UPDATE"/>
      </w:tblPr>
      <w:tblGrid>
        <w:gridCol w:w="3402"/>
        <w:gridCol w:w="1701"/>
        <w:gridCol w:w="993"/>
        <w:gridCol w:w="8309"/>
      </w:tblGrid>
      <w:tr w:rsidR="008D20BE" w:rsidRPr="00F550D1" w14:paraId="37B02CDA" w14:textId="77777777" w:rsidTr="007B190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55A2B844" w14:textId="77777777" w:rsidR="008D20BE" w:rsidRPr="00F550D1" w:rsidRDefault="008D20BE" w:rsidP="008D20BE">
            <w:pPr>
              <w:rPr>
                <w:rFonts w:ascii="Calibri" w:hAnsi="Calibri" w:cs="Calibri"/>
                <w:szCs w:val="26"/>
              </w:rPr>
            </w:pPr>
            <w:r>
              <w:rPr>
                <w:rFonts w:ascii="Calibri" w:hAnsi="Calibri" w:cs="Calibri"/>
                <w:szCs w:val="26"/>
              </w:rPr>
              <w:t xml:space="preserve"> </w:t>
            </w:r>
            <w:r w:rsidRPr="00F550D1">
              <w:rPr>
                <w:rFonts w:ascii="Calibri" w:hAnsi="Calibri" w:cs="Calibri"/>
                <w:szCs w:val="26"/>
              </w:rPr>
              <w:t>CORPORATE PLAN OBJECTIVE</w:t>
            </w:r>
          </w:p>
        </w:tc>
        <w:tc>
          <w:tcPr>
            <w:tcW w:w="1701" w:type="dxa"/>
            <w:vAlign w:val="center"/>
          </w:tcPr>
          <w:p w14:paraId="5E83DB59"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SLT LEAD</w:t>
            </w:r>
          </w:p>
        </w:tc>
        <w:tc>
          <w:tcPr>
            <w:tcW w:w="993" w:type="dxa"/>
            <w:vAlign w:val="center"/>
          </w:tcPr>
          <w:p w14:paraId="0382CC96" w14:textId="77777777" w:rsidR="008D20BE" w:rsidRPr="00F550D1" w:rsidRDefault="008D20BE"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sidRPr="00F550D1">
              <w:rPr>
                <w:rFonts w:ascii="Calibri" w:hAnsi="Calibri" w:cs="Calibri"/>
                <w:szCs w:val="26"/>
              </w:rPr>
              <w:t>RAG SCORE</w:t>
            </w:r>
          </w:p>
        </w:tc>
        <w:tc>
          <w:tcPr>
            <w:tcW w:w="8309" w:type="dxa"/>
            <w:vAlign w:val="center"/>
          </w:tcPr>
          <w:p w14:paraId="4BEF5582" w14:textId="40538707" w:rsidR="008D20BE" w:rsidRPr="00F550D1" w:rsidRDefault="00701FAD" w:rsidP="008D20B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6"/>
              </w:rPr>
            </w:pPr>
            <w:r>
              <w:rPr>
                <w:rFonts w:ascii="Calibri" w:hAnsi="Calibri" w:cs="Calibri"/>
                <w:szCs w:val="26"/>
              </w:rPr>
              <w:t>Q2</w:t>
            </w:r>
            <w:r w:rsidR="008D20BE" w:rsidRPr="00F550D1">
              <w:rPr>
                <w:rFonts w:ascii="Calibri" w:hAnsi="Calibri" w:cs="Calibri"/>
                <w:szCs w:val="26"/>
              </w:rPr>
              <w:t xml:space="preserve"> UPDATE</w:t>
            </w:r>
          </w:p>
        </w:tc>
      </w:tr>
      <w:tr w:rsidR="008D20BE" w:rsidRPr="00F550D1" w14:paraId="0CABD062" w14:textId="77777777" w:rsidTr="004F3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7CB56BC0" w14:textId="77777777" w:rsidR="008D20BE" w:rsidRPr="00F550D1" w:rsidRDefault="008D20BE" w:rsidP="008D20BE">
            <w:pPr>
              <w:rPr>
                <w:rFonts w:ascii="Calibri" w:hAnsi="Calibri" w:cs="Calibri"/>
                <w:b w:val="0"/>
                <w:color w:val="000000"/>
                <w:szCs w:val="24"/>
              </w:rPr>
            </w:pPr>
            <w:r w:rsidRPr="00F550D1">
              <w:rPr>
                <w:rFonts w:ascii="Calibri" w:hAnsi="Calibri" w:cs="Calibri"/>
                <w:b w:val="0"/>
                <w:color w:val="000000"/>
                <w:szCs w:val="24"/>
              </w:rPr>
              <w:t>Deliver new ways of working to stimulate achievement of our ambitions</w:t>
            </w:r>
          </w:p>
        </w:tc>
        <w:tc>
          <w:tcPr>
            <w:tcW w:w="1701" w:type="dxa"/>
            <w:vAlign w:val="center"/>
          </w:tcPr>
          <w:p w14:paraId="56F3ACAB"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5D340924"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F550D1">
              <w:rPr>
                <w:rFonts w:ascii="Calibri" w:hAnsi="Calibri" w:cs="Calibri"/>
                <w:b/>
                <w:szCs w:val="24"/>
              </w:rPr>
              <w:t>GREEN</w:t>
            </w:r>
          </w:p>
        </w:tc>
        <w:tc>
          <w:tcPr>
            <w:tcW w:w="8309" w:type="dxa"/>
            <w:vAlign w:val="center"/>
          </w:tcPr>
          <w:p w14:paraId="02AEC79C" w14:textId="648ACB10" w:rsidR="00663359" w:rsidRDefault="00C97C1C" w:rsidP="00C97C1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 xml:space="preserve">Excellent progress </w:t>
            </w:r>
            <w:r>
              <w:rPr>
                <w:rFonts w:ascii="Calibri" w:hAnsi="Calibri" w:cs="Calibri"/>
                <w:szCs w:val="24"/>
              </w:rPr>
              <w:t xml:space="preserve">has been made </w:t>
            </w:r>
            <w:r w:rsidRPr="008F329B">
              <w:rPr>
                <w:rFonts w:ascii="Calibri" w:hAnsi="Calibri" w:cs="Calibri"/>
                <w:szCs w:val="24"/>
              </w:rPr>
              <w:t>throughout the quarter with all commitments</w:t>
            </w:r>
            <w:r>
              <w:rPr>
                <w:rFonts w:ascii="Calibri" w:hAnsi="Calibri" w:cs="Calibri"/>
                <w:szCs w:val="24"/>
              </w:rPr>
              <w:t xml:space="preserve"> from our</w:t>
            </w:r>
            <w:r w:rsidRPr="008F329B">
              <w:rPr>
                <w:rFonts w:ascii="Calibri" w:hAnsi="Calibri" w:cs="Calibri"/>
                <w:szCs w:val="24"/>
              </w:rPr>
              <w:t xml:space="preserve"> </w:t>
            </w:r>
            <w:r>
              <w:rPr>
                <w:rFonts w:ascii="Calibri" w:hAnsi="Calibri" w:cs="Calibri"/>
                <w:szCs w:val="24"/>
              </w:rPr>
              <w:t>transformation delivery programmes and other enabling services</w:t>
            </w:r>
            <w:r w:rsidRPr="008F329B">
              <w:rPr>
                <w:rFonts w:ascii="Calibri" w:hAnsi="Calibri" w:cs="Calibri"/>
                <w:szCs w:val="24"/>
              </w:rPr>
              <w:t xml:space="preserve"> either achieved or substantive progress made</w:t>
            </w:r>
            <w:r>
              <w:rPr>
                <w:rFonts w:ascii="Calibri" w:hAnsi="Calibri" w:cs="Calibri"/>
                <w:szCs w:val="24"/>
              </w:rPr>
              <w:t xml:space="preserve"> against longer term plans</w:t>
            </w:r>
            <w:r w:rsidRPr="008F329B">
              <w:rPr>
                <w:rFonts w:ascii="Calibri" w:hAnsi="Calibri" w:cs="Calibri"/>
                <w:szCs w:val="24"/>
              </w:rPr>
              <w:t xml:space="preserve">. Resource has also been provided in response to short term urgent requests to allow progress to be made on major projects within other objectives e.g. deployment of Senior Developer to provide Technical Architect support to </w:t>
            </w:r>
            <w:proofErr w:type="spellStart"/>
            <w:r w:rsidRPr="008F329B">
              <w:rPr>
                <w:rFonts w:ascii="Calibri" w:hAnsi="Calibri" w:cs="Calibri"/>
                <w:szCs w:val="24"/>
              </w:rPr>
              <w:t>InformedInsights</w:t>
            </w:r>
            <w:proofErr w:type="spellEnd"/>
            <w:r w:rsidRPr="008F329B">
              <w:rPr>
                <w:rFonts w:ascii="Calibri" w:hAnsi="Calibri" w:cs="Calibri"/>
                <w:szCs w:val="24"/>
              </w:rPr>
              <w:t xml:space="preserve">. </w:t>
            </w:r>
          </w:p>
          <w:p w14:paraId="27808A54" w14:textId="77777777" w:rsidR="00C97C1C" w:rsidRPr="005608DF" w:rsidRDefault="00C97C1C" w:rsidP="00C97C1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5608DF">
              <w:rPr>
                <w:rFonts w:ascii="Calibri" w:hAnsi="Calibri" w:cs="Calibri"/>
                <w:b/>
                <w:szCs w:val="24"/>
              </w:rPr>
              <w:t>Workplaces:</w:t>
            </w:r>
          </w:p>
          <w:p w14:paraId="09477FB3" w14:textId="5C25F248" w:rsidR="00C97C1C" w:rsidRPr="005608DF" w:rsidRDefault="00C97C1C" w:rsidP="00025C4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 xml:space="preserve">In line with our Estates Strategy, which aims to reduce space, cost and carbon emissions, the </w:t>
            </w:r>
            <w:r w:rsidRPr="008F329B">
              <w:rPr>
                <w:rFonts w:ascii="Calibri" w:hAnsi="Calibri" w:cs="Calibri"/>
                <w:szCs w:val="24"/>
              </w:rPr>
              <w:t xml:space="preserve">Silvan House relocation </w:t>
            </w:r>
            <w:r w:rsidR="00FF5834">
              <w:rPr>
                <w:rFonts w:ascii="Calibri" w:hAnsi="Calibri" w:cs="Calibri"/>
                <w:szCs w:val="24"/>
              </w:rPr>
              <w:t xml:space="preserve">to Meadowbank House </w:t>
            </w:r>
            <w:r w:rsidRPr="008F329B">
              <w:rPr>
                <w:rFonts w:ascii="Calibri" w:hAnsi="Calibri" w:cs="Calibri"/>
                <w:szCs w:val="24"/>
              </w:rPr>
              <w:t>has been completed successfully and staff have settled in well to the new environment.</w:t>
            </w:r>
            <w:r>
              <w:rPr>
                <w:rFonts w:ascii="Calibri" w:hAnsi="Calibri" w:cs="Calibri"/>
                <w:szCs w:val="24"/>
              </w:rPr>
              <w:t xml:space="preserve"> This move will deliver an annual saving of more than £200,000.</w:t>
            </w:r>
            <w:r w:rsidRPr="008F329B">
              <w:rPr>
                <w:rFonts w:ascii="Calibri" w:hAnsi="Calibri" w:cs="Calibri"/>
                <w:szCs w:val="24"/>
              </w:rPr>
              <w:t xml:space="preserve">  </w:t>
            </w:r>
          </w:p>
          <w:p w14:paraId="16FABEEF" w14:textId="71CAF71E" w:rsidR="00C97C1C" w:rsidRDefault="00F976E6" w:rsidP="00025C4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Our new</w:t>
            </w:r>
            <w:r>
              <w:rPr>
                <w:rFonts w:ascii="Calibri" w:hAnsi="Calibri" w:cs="Calibri"/>
                <w:szCs w:val="24"/>
              </w:rPr>
              <w:t xml:space="preserve"> </w:t>
            </w:r>
            <w:r w:rsidRPr="007B190E">
              <w:rPr>
                <w:rFonts w:ascii="Calibri" w:hAnsi="Calibri" w:cs="Calibri"/>
                <w:szCs w:val="24"/>
              </w:rPr>
              <w:t>NatureScot Way Workplaces Programme Manager</w:t>
            </w:r>
            <w:r>
              <w:rPr>
                <w:rFonts w:ascii="Calibri" w:hAnsi="Calibri" w:cs="Calibri"/>
                <w:szCs w:val="24"/>
              </w:rPr>
              <w:t xml:space="preserve"> </w:t>
            </w:r>
            <w:r w:rsidRPr="007B190E">
              <w:rPr>
                <w:rFonts w:ascii="Calibri" w:hAnsi="Calibri" w:cs="Calibri"/>
                <w:szCs w:val="24"/>
              </w:rPr>
              <w:t xml:space="preserve">is now leading on prioritised </w:t>
            </w:r>
            <w:r>
              <w:rPr>
                <w:rFonts w:ascii="Calibri" w:hAnsi="Calibri" w:cs="Calibri"/>
                <w:szCs w:val="24"/>
              </w:rPr>
              <w:t>location r</w:t>
            </w:r>
            <w:r w:rsidRPr="007B190E">
              <w:rPr>
                <w:rFonts w:ascii="Calibri" w:hAnsi="Calibri" w:cs="Calibri"/>
                <w:szCs w:val="24"/>
              </w:rPr>
              <w:t>eviews</w:t>
            </w:r>
            <w:r>
              <w:rPr>
                <w:rFonts w:ascii="Calibri" w:hAnsi="Calibri" w:cs="Calibri"/>
                <w:szCs w:val="24"/>
              </w:rPr>
              <w:t xml:space="preserve"> which will accelerate progress</w:t>
            </w:r>
            <w:r w:rsidRPr="007B190E">
              <w:rPr>
                <w:rFonts w:ascii="Calibri" w:hAnsi="Calibri" w:cs="Calibri"/>
                <w:szCs w:val="24"/>
              </w:rPr>
              <w:t>.</w:t>
            </w:r>
            <w:r>
              <w:rPr>
                <w:rFonts w:ascii="Calibri" w:hAnsi="Calibri" w:cs="Calibri"/>
                <w:szCs w:val="24"/>
              </w:rPr>
              <w:t xml:space="preserve"> </w:t>
            </w:r>
            <w:proofErr w:type="spellStart"/>
            <w:r w:rsidR="00C97C1C" w:rsidRPr="008F329B">
              <w:rPr>
                <w:rFonts w:ascii="Calibri" w:hAnsi="Calibri" w:cs="Calibri"/>
                <w:szCs w:val="24"/>
              </w:rPr>
              <w:t>Battleby</w:t>
            </w:r>
            <w:proofErr w:type="spellEnd"/>
            <w:r w:rsidR="00C97C1C" w:rsidRPr="008F329B">
              <w:rPr>
                <w:rFonts w:ascii="Calibri" w:hAnsi="Calibri" w:cs="Calibri"/>
                <w:szCs w:val="24"/>
              </w:rPr>
              <w:t xml:space="preserve"> Business Case concluded and </w:t>
            </w:r>
            <w:r w:rsidR="00F544EB">
              <w:rPr>
                <w:rFonts w:ascii="Calibri" w:hAnsi="Calibri" w:cs="Calibri"/>
                <w:szCs w:val="24"/>
              </w:rPr>
              <w:t>s</w:t>
            </w:r>
            <w:r w:rsidR="00C97C1C" w:rsidRPr="008F329B">
              <w:rPr>
                <w:rFonts w:ascii="Calibri" w:hAnsi="Calibri" w:cs="Calibri"/>
                <w:szCs w:val="24"/>
              </w:rPr>
              <w:t xml:space="preserve">taff consultation on details of relocation commenced.  </w:t>
            </w:r>
            <w:r>
              <w:rPr>
                <w:rFonts w:ascii="Calibri" w:hAnsi="Calibri" w:cs="Calibri"/>
                <w:szCs w:val="24"/>
              </w:rPr>
              <w:t>Work continues on the Dunoon options appraisal and business case</w:t>
            </w:r>
            <w:r w:rsidR="00C97C1C" w:rsidRPr="008F329B">
              <w:rPr>
                <w:rFonts w:ascii="Calibri" w:hAnsi="Calibri" w:cs="Calibri"/>
                <w:szCs w:val="24"/>
              </w:rPr>
              <w:t xml:space="preserve">.  </w:t>
            </w:r>
            <w:r>
              <w:rPr>
                <w:rFonts w:ascii="Calibri" w:hAnsi="Calibri" w:cs="Calibri"/>
                <w:szCs w:val="24"/>
              </w:rPr>
              <w:t>In addition to the Edinburgh</w:t>
            </w:r>
            <w:r w:rsidR="00C97C1C">
              <w:rPr>
                <w:rFonts w:ascii="Calibri" w:hAnsi="Calibri" w:cs="Calibri"/>
                <w:szCs w:val="24"/>
              </w:rPr>
              <w:t xml:space="preserve"> savings above</w:t>
            </w:r>
            <w:r w:rsidR="00D723DF">
              <w:rPr>
                <w:rFonts w:ascii="Calibri" w:hAnsi="Calibri" w:cs="Calibri"/>
                <w:szCs w:val="24"/>
              </w:rPr>
              <w:t>,</w:t>
            </w:r>
            <w:r w:rsidR="00C97C1C">
              <w:rPr>
                <w:rFonts w:ascii="Calibri" w:hAnsi="Calibri" w:cs="Calibri"/>
                <w:szCs w:val="24"/>
              </w:rPr>
              <w:t xml:space="preserve"> recent decisions (</w:t>
            </w:r>
            <w:proofErr w:type="spellStart"/>
            <w:r w:rsidR="00C97C1C">
              <w:rPr>
                <w:rFonts w:ascii="Calibri" w:hAnsi="Calibri" w:cs="Calibri"/>
                <w:szCs w:val="24"/>
              </w:rPr>
              <w:t>Battleby</w:t>
            </w:r>
            <w:proofErr w:type="spellEnd"/>
            <w:r w:rsidR="00C97C1C">
              <w:rPr>
                <w:rFonts w:ascii="Calibri" w:hAnsi="Calibri" w:cs="Calibri"/>
                <w:szCs w:val="24"/>
              </w:rPr>
              <w:t xml:space="preserve">, Stirling, </w:t>
            </w:r>
            <w:r w:rsidR="00C97C1C">
              <w:rPr>
                <w:rFonts w:ascii="Calibri" w:hAnsi="Calibri" w:cs="Calibri"/>
                <w:szCs w:val="24"/>
              </w:rPr>
              <w:lastRenderedPageBreak/>
              <w:t xml:space="preserve">Clydebank) will save around £50,000 per year, </w:t>
            </w:r>
            <w:r w:rsidR="00D723DF">
              <w:rPr>
                <w:rFonts w:ascii="Calibri" w:hAnsi="Calibri" w:cs="Calibri"/>
                <w:szCs w:val="24"/>
              </w:rPr>
              <w:t>and</w:t>
            </w:r>
            <w:r w:rsidR="00C97C1C">
              <w:rPr>
                <w:rFonts w:ascii="Calibri" w:hAnsi="Calibri" w:cs="Calibri"/>
                <w:szCs w:val="24"/>
              </w:rPr>
              <w:t xml:space="preserve"> more importantly we will also avoid over £1,000,000 capital costs for impending structural works.</w:t>
            </w:r>
          </w:p>
          <w:p w14:paraId="70A11716" w14:textId="1F46A6B0" w:rsidR="00663359" w:rsidRPr="00663359" w:rsidRDefault="00C97C1C" w:rsidP="0066335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GGH Air Con project has progressed following detailed consideration of requirements.  This project will be delivered in Q3</w:t>
            </w:r>
            <w:r>
              <w:rPr>
                <w:rFonts w:ascii="Calibri" w:hAnsi="Calibri" w:cs="Calibri"/>
                <w:szCs w:val="24"/>
              </w:rPr>
              <w:t xml:space="preserve"> and will address a key business continuity risk</w:t>
            </w:r>
            <w:r w:rsidRPr="008F329B">
              <w:rPr>
                <w:rFonts w:ascii="Calibri" w:hAnsi="Calibri" w:cs="Calibri"/>
                <w:szCs w:val="24"/>
              </w:rPr>
              <w:t xml:space="preserve">.  </w:t>
            </w:r>
          </w:p>
          <w:p w14:paraId="427D539D" w14:textId="77777777" w:rsidR="00C97C1C" w:rsidRDefault="00C97C1C" w:rsidP="00C97C1C">
            <w:pPr>
              <w:tabs>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C97C1C">
              <w:rPr>
                <w:rFonts w:ascii="Calibri" w:hAnsi="Calibri" w:cs="Calibri"/>
                <w:b/>
                <w:szCs w:val="24"/>
              </w:rPr>
              <w:t>Public service reform</w:t>
            </w:r>
          </w:p>
          <w:p w14:paraId="51E42428" w14:textId="3DAC4204" w:rsidR="00663359" w:rsidRPr="00663359" w:rsidRDefault="00C97C1C" w:rsidP="00663359">
            <w:pPr>
              <w:numPr>
                <w:ilvl w:val="0"/>
                <w:numId w:val="12"/>
              </w:numPr>
              <w:tabs>
                <w:tab w:val="center" w:pos="4513"/>
                <w:tab w:val="right" w:pos="9026"/>
              </w:tabs>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C97C1C">
              <w:rPr>
                <w:rFonts w:ascii="Calibri" w:hAnsi="Calibri" w:cs="Calibri"/>
                <w:szCs w:val="24"/>
              </w:rPr>
              <w:t xml:space="preserve">As part of Public Service Reform (PSR), NatureScot led a review of Environment and Economy Leaders Group </w:t>
            </w:r>
            <w:r w:rsidR="00FF5834">
              <w:rPr>
                <w:rFonts w:ascii="Calibri" w:hAnsi="Calibri" w:cs="Calibri"/>
                <w:szCs w:val="24"/>
              </w:rPr>
              <w:t xml:space="preserve">(EELG) </w:t>
            </w:r>
            <w:r w:rsidRPr="00C97C1C">
              <w:rPr>
                <w:rFonts w:ascii="Calibri" w:hAnsi="Calibri" w:cs="Calibri"/>
                <w:szCs w:val="24"/>
              </w:rPr>
              <w:t>Estate lease dates</w:t>
            </w:r>
            <w:r w:rsidR="00F976E6">
              <w:rPr>
                <w:rFonts w:ascii="Calibri" w:hAnsi="Calibri" w:cs="Calibri"/>
                <w:szCs w:val="24"/>
              </w:rPr>
              <w:t>. This</w:t>
            </w:r>
            <w:r w:rsidRPr="00C97C1C">
              <w:rPr>
                <w:rFonts w:ascii="Calibri" w:hAnsi="Calibri" w:cs="Calibri"/>
                <w:szCs w:val="24"/>
              </w:rPr>
              <w:t xml:space="preserve"> includ</w:t>
            </w:r>
            <w:r w:rsidR="00F976E6">
              <w:rPr>
                <w:rFonts w:ascii="Calibri" w:hAnsi="Calibri" w:cs="Calibri"/>
                <w:szCs w:val="24"/>
              </w:rPr>
              <w:t>ed</w:t>
            </w:r>
            <w:r w:rsidRPr="00C97C1C">
              <w:rPr>
                <w:rFonts w:ascii="Calibri" w:hAnsi="Calibri" w:cs="Calibri"/>
                <w:szCs w:val="24"/>
              </w:rPr>
              <w:t xml:space="preserve"> hot spot locations where organisations can work more closely together on Estate rationalisation.</w:t>
            </w:r>
          </w:p>
          <w:p w14:paraId="7E15BDA6" w14:textId="77777777" w:rsidR="00663359" w:rsidRPr="00003AA8" w:rsidRDefault="00663359" w:rsidP="0066335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003AA8">
              <w:rPr>
                <w:rFonts w:ascii="Calibri" w:hAnsi="Calibri" w:cs="Calibri"/>
                <w:b/>
                <w:szCs w:val="24"/>
              </w:rPr>
              <w:t>Finance</w:t>
            </w:r>
          </w:p>
          <w:p w14:paraId="481F0FA3" w14:textId="2319883C" w:rsidR="00663359" w:rsidRDefault="00663359" w:rsidP="00663359">
            <w:pPr>
              <w:tabs>
                <w:tab w:val="center" w:pos="4513"/>
                <w:tab w:val="right" w:pos="9026"/>
              </w:tabs>
              <w:ind w:left="36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Draft 2022/23 Annual Report and Accounts were prepared and subject to external fieldwork review by Mazars (our auditors) in Q2.  We remain on track to have the audit</w:t>
            </w:r>
            <w:r>
              <w:rPr>
                <w:rFonts w:ascii="Calibri" w:hAnsi="Calibri" w:cs="Calibri"/>
                <w:szCs w:val="24"/>
              </w:rPr>
              <w:t>ed</w:t>
            </w:r>
            <w:r w:rsidRPr="008F329B">
              <w:rPr>
                <w:rFonts w:ascii="Calibri" w:hAnsi="Calibri" w:cs="Calibri"/>
                <w:szCs w:val="24"/>
              </w:rPr>
              <w:t xml:space="preserve"> accounts completed and signed in November.</w:t>
            </w:r>
          </w:p>
          <w:p w14:paraId="0E13ED1D" w14:textId="45D270F3" w:rsidR="00C97C1C" w:rsidRPr="005608DF" w:rsidRDefault="00C97C1C" w:rsidP="00C97C1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5608DF">
              <w:rPr>
                <w:rFonts w:ascii="Calibri" w:hAnsi="Calibri" w:cs="Calibri"/>
                <w:b/>
                <w:szCs w:val="24"/>
              </w:rPr>
              <w:t>ITIP</w:t>
            </w:r>
            <w:r>
              <w:rPr>
                <w:rFonts w:ascii="Calibri" w:hAnsi="Calibri" w:cs="Calibri"/>
                <w:b/>
                <w:szCs w:val="24"/>
              </w:rPr>
              <w:t xml:space="preserve"> and Digital Delivery</w:t>
            </w:r>
            <w:r w:rsidRPr="005608DF">
              <w:rPr>
                <w:rFonts w:ascii="Calibri" w:hAnsi="Calibri" w:cs="Calibri"/>
                <w:b/>
                <w:szCs w:val="24"/>
              </w:rPr>
              <w:t>:</w:t>
            </w:r>
          </w:p>
          <w:p w14:paraId="2D7C338C" w14:textId="77777777" w:rsidR="00C97C1C" w:rsidRDefault="00C97C1C" w:rsidP="00025C4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Silvan House Data Centre was shut down and core network re-architecture work completed with very minimal business disruption. IT work to support entry to Meadowbank House was also completed to plan.</w:t>
            </w:r>
            <w:r>
              <w:rPr>
                <w:rFonts w:ascii="Calibri" w:hAnsi="Calibri" w:cs="Calibri"/>
                <w:szCs w:val="24"/>
              </w:rPr>
              <w:t xml:space="preserve"> </w:t>
            </w:r>
          </w:p>
          <w:p w14:paraId="10D25CAD" w14:textId="42352861" w:rsidR="00C97C1C" w:rsidRPr="008F329B" w:rsidRDefault="00C97C1C" w:rsidP="00025C4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D52B21">
              <w:rPr>
                <w:rFonts w:ascii="Calibri" w:hAnsi="Calibri" w:cs="Calibri"/>
                <w:color w:val="000000" w:themeColor="text1"/>
              </w:rPr>
              <w:t xml:space="preserve">Full access to key business systems now hosted/ accessed via the Cloud (including email, MS Teams, Oracle Fusion, </w:t>
            </w:r>
            <w:r w:rsidR="00663359">
              <w:rPr>
                <w:rFonts w:ascii="Calibri" w:hAnsi="Calibri" w:cs="Calibri"/>
                <w:color w:val="000000" w:themeColor="text1"/>
              </w:rPr>
              <w:t>our electronic records and document management system</w:t>
            </w:r>
            <w:r w:rsidR="00663359" w:rsidRPr="00D52B21">
              <w:rPr>
                <w:rFonts w:ascii="Calibri" w:hAnsi="Calibri" w:cs="Calibri"/>
                <w:color w:val="000000" w:themeColor="text1"/>
              </w:rPr>
              <w:t xml:space="preserve"> </w:t>
            </w:r>
            <w:r w:rsidR="00663359">
              <w:rPr>
                <w:rFonts w:ascii="Calibri" w:hAnsi="Calibri" w:cs="Calibri"/>
                <w:color w:val="000000" w:themeColor="text1"/>
              </w:rPr>
              <w:t>(</w:t>
            </w:r>
            <w:proofErr w:type="spellStart"/>
            <w:r w:rsidR="00663359" w:rsidRPr="00D52B21">
              <w:rPr>
                <w:rFonts w:ascii="Calibri" w:hAnsi="Calibri" w:cs="Calibri"/>
                <w:color w:val="000000" w:themeColor="text1"/>
              </w:rPr>
              <w:t>eRDMS</w:t>
            </w:r>
            <w:proofErr w:type="spellEnd"/>
            <w:r w:rsidR="00663359">
              <w:rPr>
                <w:rFonts w:ascii="Calibri" w:hAnsi="Calibri" w:cs="Calibri"/>
                <w:color w:val="000000" w:themeColor="text1"/>
              </w:rPr>
              <w:t xml:space="preserve">) </w:t>
            </w:r>
            <w:r w:rsidRPr="00D52B21">
              <w:rPr>
                <w:rFonts w:ascii="Calibri" w:hAnsi="Calibri" w:cs="Calibri"/>
                <w:color w:val="000000" w:themeColor="text1"/>
              </w:rPr>
              <w:t>and the intranet) was maintained throughout</w:t>
            </w:r>
            <w:r>
              <w:rPr>
                <w:rFonts w:ascii="Calibri" w:hAnsi="Calibri" w:cs="Calibri"/>
                <w:color w:val="000000" w:themeColor="text1"/>
              </w:rPr>
              <w:t xml:space="preserve"> the recent failure of the GGH aircon system</w:t>
            </w:r>
            <w:r w:rsidR="00F976E6">
              <w:rPr>
                <w:rFonts w:ascii="Calibri" w:hAnsi="Calibri" w:cs="Calibri"/>
                <w:color w:val="000000" w:themeColor="text1"/>
              </w:rPr>
              <w:t xml:space="preserve">, a </w:t>
            </w:r>
            <w:r w:rsidR="00FF5834">
              <w:rPr>
                <w:rFonts w:ascii="Calibri" w:hAnsi="Calibri" w:cs="Calibri"/>
                <w:color w:val="000000" w:themeColor="text1"/>
              </w:rPr>
              <w:t>much-enhanced</w:t>
            </w:r>
            <w:r w:rsidR="00F976E6">
              <w:rPr>
                <w:rFonts w:ascii="Calibri" w:hAnsi="Calibri" w:cs="Calibri"/>
                <w:color w:val="000000" w:themeColor="text1"/>
              </w:rPr>
              <w:t xml:space="preserve"> level of resilience for business continuity.</w:t>
            </w:r>
            <w:r>
              <w:rPr>
                <w:rFonts w:ascii="Calibri" w:hAnsi="Calibri" w:cs="Calibri"/>
                <w:color w:val="000000" w:themeColor="text1"/>
              </w:rPr>
              <w:t xml:space="preserve">  </w:t>
            </w:r>
          </w:p>
          <w:p w14:paraId="713A1204" w14:textId="77777777" w:rsidR="00C97C1C" w:rsidRPr="008F329B" w:rsidRDefault="00C97C1C" w:rsidP="00025C4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Additional Click-Share units and cameras have now been configured and distributed to larger offices in line with agreed prioritisation.</w:t>
            </w:r>
            <w:r>
              <w:rPr>
                <w:rFonts w:ascii="Calibri" w:hAnsi="Calibri" w:cs="Calibri"/>
                <w:szCs w:val="24"/>
              </w:rPr>
              <w:t xml:space="preserve"> This will improve our connectivity and the quality of calls in support of our hybrid working model.</w:t>
            </w:r>
            <w:r w:rsidRPr="008F329B">
              <w:rPr>
                <w:rFonts w:ascii="Calibri" w:hAnsi="Calibri" w:cs="Calibri"/>
                <w:szCs w:val="24"/>
              </w:rPr>
              <w:t xml:space="preserve">  Any remaining sites are offices with single figures occupancy.</w:t>
            </w:r>
            <w:r>
              <w:rPr>
                <w:rFonts w:ascii="Calibri" w:hAnsi="Calibri" w:cs="Calibri"/>
                <w:szCs w:val="24"/>
              </w:rPr>
              <w:t xml:space="preserve"> These will be addressed in Q3.</w:t>
            </w:r>
          </w:p>
          <w:p w14:paraId="5BD213FE" w14:textId="7AA39DEB" w:rsidR="00C97C1C" w:rsidRDefault="00C97C1C" w:rsidP="00025C4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Appointment of Idox plc to assist with the options appraisal for GIS cloud migration</w:t>
            </w:r>
            <w:r w:rsidR="00FF5834">
              <w:rPr>
                <w:rFonts w:ascii="Calibri" w:hAnsi="Calibri" w:cs="Calibri"/>
                <w:szCs w:val="24"/>
              </w:rPr>
              <w:t>;</w:t>
            </w:r>
            <w:r w:rsidRPr="008F329B">
              <w:rPr>
                <w:rFonts w:ascii="Calibri" w:hAnsi="Calibri" w:cs="Calibri"/>
                <w:szCs w:val="24"/>
              </w:rPr>
              <w:t xml:space="preserve"> discovery workshops have been completed and work is on track for completion of summary report and recommendations b</w:t>
            </w:r>
            <w:r w:rsidR="00FF5834">
              <w:rPr>
                <w:rFonts w:ascii="Calibri" w:hAnsi="Calibri" w:cs="Calibri"/>
                <w:szCs w:val="24"/>
              </w:rPr>
              <w:t>y</w:t>
            </w:r>
            <w:r w:rsidRPr="008F329B">
              <w:rPr>
                <w:rFonts w:ascii="Calibri" w:hAnsi="Calibri" w:cs="Calibri"/>
                <w:szCs w:val="24"/>
              </w:rPr>
              <w:t xml:space="preserve"> the end of Q2.</w:t>
            </w:r>
            <w:r w:rsidRPr="00D02191">
              <w:rPr>
                <w:rFonts w:ascii="Calibri" w:hAnsi="Calibri" w:cs="Calibri"/>
                <w:szCs w:val="24"/>
              </w:rPr>
              <w:t xml:space="preserve"> </w:t>
            </w:r>
          </w:p>
          <w:p w14:paraId="2555F0E2" w14:textId="77777777" w:rsidR="00C97C1C" w:rsidRPr="008F329B" w:rsidRDefault="00C97C1C" w:rsidP="00025C4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lastRenderedPageBreak/>
              <w:t>Q2 saw us more than 40% of the way through this year's planned laptop replacement.  Supplies of additional laptops are on order to allow replacements to be completed in Q3.  Most of the older mobile phones in circulation have now also been replaced with up-to-date models.</w:t>
            </w:r>
            <w:r>
              <w:rPr>
                <w:rFonts w:ascii="Calibri" w:hAnsi="Calibri" w:cs="Calibri"/>
                <w:szCs w:val="24"/>
              </w:rPr>
              <w:t xml:space="preserve"> This is again critical to the success of our hybrid working model and business resilience.</w:t>
            </w:r>
          </w:p>
          <w:p w14:paraId="4294EF28" w14:textId="3BF9ABCB" w:rsidR="00F976E6" w:rsidRDefault="00C97C1C" w:rsidP="00C97C1C">
            <w:pPr>
              <w:numPr>
                <w:ilvl w:val="0"/>
                <w:numId w:val="12"/>
              </w:numPr>
              <w:tabs>
                <w:tab w:val="center" w:pos="4513"/>
                <w:tab w:val="right" w:pos="9026"/>
              </w:tabs>
              <w:ind w:left="357" w:hanging="357"/>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 xml:space="preserve">A project is underway to develop an online funding application portal and grant management system.  This aims to improve our own </w:t>
            </w:r>
            <w:r w:rsidR="00F976E6">
              <w:rPr>
                <w:rFonts w:ascii="Calibri" w:hAnsi="Calibri" w:cs="Calibri"/>
                <w:szCs w:val="24"/>
              </w:rPr>
              <w:t xml:space="preserve">efficiency </w:t>
            </w:r>
            <w:r w:rsidRPr="008F329B">
              <w:rPr>
                <w:rFonts w:ascii="Calibri" w:hAnsi="Calibri" w:cs="Calibri"/>
                <w:szCs w:val="24"/>
              </w:rPr>
              <w:t xml:space="preserve">as well as provide a more inclusive process for those applying for our funds.  It is due to complete in Q3. Workshops involving the business, external stakeholders and customers all completed.  </w:t>
            </w:r>
          </w:p>
          <w:p w14:paraId="5D0F6D8E" w14:textId="77777777" w:rsidR="00663359" w:rsidRPr="00003AA8" w:rsidRDefault="00663359" w:rsidP="00663359">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003AA8">
              <w:rPr>
                <w:rFonts w:ascii="Calibri" w:hAnsi="Calibri" w:cs="Calibri"/>
                <w:b/>
                <w:szCs w:val="24"/>
              </w:rPr>
              <w:t>Net zero:</w:t>
            </w:r>
          </w:p>
          <w:p w14:paraId="33EAD82C" w14:textId="77777777" w:rsidR="00663359" w:rsidRDefault="00663359" w:rsidP="0066335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GGH PV project is underway and will provide a further 100kW of renewable energy</w:t>
            </w:r>
            <w:r>
              <w:rPr>
                <w:rFonts w:ascii="Calibri" w:hAnsi="Calibri" w:cs="Calibri"/>
                <w:szCs w:val="24"/>
              </w:rPr>
              <w:t xml:space="preserve"> as part of delivering our net zero plan</w:t>
            </w:r>
            <w:r w:rsidRPr="008F329B">
              <w:rPr>
                <w:rFonts w:ascii="Calibri" w:hAnsi="Calibri" w:cs="Calibri"/>
                <w:szCs w:val="24"/>
              </w:rPr>
              <w:t>.  This project will be completed by mid Q3.</w:t>
            </w:r>
          </w:p>
          <w:p w14:paraId="4984CF37" w14:textId="2359AED5" w:rsidR="00C97C1C" w:rsidRPr="00400C8F" w:rsidRDefault="00C97C1C" w:rsidP="00C97C1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Pr>
                <w:rFonts w:ascii="Calibri" w:hAnsi="Calibri" w:cs="Calibri"/>
                <w:b/>
                <w:szCs w:val="24"/>
              </w:rPr>
              <w:t>Data s</w:t>
            </w:r>
            <w:r w:rsidRPr="00400C8F">
              <w:rPr>
                <w:rFonts w:ascii="Calibri" w:hAnsi="Calibri" w:cs="Calibri"/>
                <w:b/>
                <w:szCs w:val="24"/>
              </w:rPr>
              <w:t>trategy</w:t>
            </w:r>
            <w:r>
              <w:rPr>
                <w:rFonts w:ascii="Calibri" w:hAnsi="Calibri" w:cs="Calibri"/>
                <w:b/>
                <w:szCs w:val="24"/>
              </w:rPr>
              <w:t xml:space="preserve"> implementation</w:t>
            </w:r>
          </w:p>
          <w:p w14:paraId="070E46B4" w14:textId="77777777" w:rsidR="00C97C1C" w:rsidRPr="009B4AF2" w:rsidRDefault="00C97C1C" w:rsidP="00025C49">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 xml:space="preserve">Work has continued to embed the data strategy and </w:t>
            </w:r>
            <w:r w:rsidRPr="00400C8F">
              <w:rPr>
                <w:rFonts w:ascii="Calibri" w:hAnsi="Calibri" w:cs="Calibri"/>
                <w:szCs w:val="24"/>
              </w:rPr>
              <w:t>establish measures</w:t>
            </w:r>
            <w:r>
              <w:rPr>
                <w:rFonts w:ascii="Calibri" w:hAnsi="Calibri" w:cs="Calibri"/>
                <w:szCs w:val="24"/>
              </w:rPr>
              <w:t xml:space="preserve"> with a view to having a</w:t>
            </w:r>
            <w:r w:rsidRPr="00400C8F">
              <w:rPr>
                <w:rFonts w:ascii="Calibri" w:hAnsi="Calibri" w:cs="Calibri"/>
                <w:szCs w:val="24"/>
              </w:rPr>
              <w:t xml:space="preserve"> clear plan in place to improve data maturity</w:t>
            </w:r>
            <w:r>
              <w:rPr>
                <w:rFonts w:ascii="Calibri" w:hAnsi="Calibri" w:cs="Calibri"/>
                <w:szCs w:val="24"/>
              </w:rPr>
              <w:t xml:space="preserve"> by the end of the year</w:t>
            </w:r>
            <w:r w:rsidRPr="00400C8F">
              <w:rPr>
                <w:rFonts w:ascii="Calibri" w:hAnsi="Calibri" w:cs="Calibri"/>
                <w:szCs w:val="24"/>
              </w:rPr>
              <w:t>.</w:t>
            </w:r>
            <w:r>
              <w:rPr>
                <w:rFonts w:ascii="Calibri" w:hAnsi="Calibri" w:cs="Calibri"/>
                <w:szCs w:val="24"/>
              </w:rPr>
              <w:t xml:space="preserve"> Work in Q2 has focussed on mapping key </w:t>
            </w:r>
            <w:r w:rsidRPr="00400C8F">
              <w:rPr>
                <w:rFonts w:ascii="Calibri" w:hAnsi="Calibri" w:cs="Calibri"/>
                <w:szCs w:val="24"/>
              </w:rPr>
              <w:t>data flows</w:t>
            </w:r>
            <w:r>
              <w:rPr>
                <w:rFonts w:ascii="Calibri" w:hAnsi="Calibri" w:cs="Calibri"/>
                <w:szCs w:val="24"/>
              </w:rPr>
              <w:t xml:space="preserve"> and producing data concept models for delivery plans.</w:t>
            </w:r>
            <w:r w:rsidRPr="00400C8F">
              <w:rPr>
                <w:rFonts w:ascii="Calibri" w:hAnsi="Calibri" w:cs="Calibri"/>
                <w:szCs w:val="24"/>
              </w:rPr>
              <w:t xml:space="preserve"> </w:t>
            </w:r>
            <w:r>
              <w:rPr>
                <w:rFonts w:ascii="Calibri" w:hAnsi="Calibri" w:cs="Calibri"/>
                <w:szCs w:val="24"/>
              </w:rPr>
              <w:t>This will in turn s</w:t>
            </w:r>
            <w:r w:rsidRPr="009B4AF2">
              <w:rPr>
                <w:rFonts w:ascii="Calibri" w:hAnsi="Calibri" w:cs="Calibri"/>
                <w:szCs w:val="24"/>
              </w:rPr>
              <w:t>upport the implementation of new technologies to deliver our work</w:t>
            </w:r>
            <w:r>
              <w:rPr>
                <w:rFonts w:ascii="Calibri" w:hAnsi="Calibri" w:cs="Calibri"/>
                <w:szCs w:val="24"/>
              </w:rPr>
              <w:t>.</w:t>
            </w:r>
          </w:p>
          <w:p w14:paraId="29CB9CDA" w14:textId="77777777" w:rsidR="00C97C1C" w:rsidRPr="00003AA8" w:rsidRDefault="00C97C1C" w:rsidP="00C97C1C">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Cs w:val="24"/>
              </w:rPr>
            </w:pPr>
            <w:r w:rsidRPr="00003AA8">
              <w:rPr>
                <w:rFonts w:ascii="Calibri" w:hAnsi="Calibri" w:cs="Calibri"/>
                <w:b/>
                <w:szCs w:val="24"/>
              </w:rPr>
              <w:t>Communications</w:t>
            </w:r>
          </w:p>
          <w:p w14:paraId="034D1192" w14:textId="77777777" w:rsidR="00C97C1C" w:rsidRPr="008F329B" w:rsidRDefault="00C97C1C" w:rsidP="00025C4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 xml:space="preserve">Formal feedback results from the staff conferences held in May found that 80% of respondents agreed that their expectations of the events were met, and 46% cited clarity of understanding of </w:t>
            </w:r>
            <w:proofErr w:type="spellStart"/>
            <w:r w:rsidRPr="008F329B">
              <w:rPr>
                <w:rFonts w:ascii="Calibri" w:hAnsi="Calibri" w:cs="Calibri"/>
                <w:szCs w:val="24"/>
              </w:rPr>
              <w:t>NatureScot's</w:t>
            </w:r>
            <w:proofErr w:type="spellEnd"/>
            <w:r w:rsidRPr="008F329B">
              <w:rPr>
                <w:rFonts w:ascii="Calibri" w:hAnsi="Calibri" w:cs="Calibri"/>
                <w:szCs w:val="24"/>
              </w:rPr>
              <w:t xml:space="preserve"> purpose.</w:t>
            </w:r>
          </w:p>
          <w:p w14:paraId="78C730E6" w14:textId="21028156" w:rsidR="008D20BE" w:rsidRPr="00663359" w:rsidRDefault="00C97C1C" w:rsidP="00663359">
            <w:pPr>
              <w:numPr>
                <w:ilvl w:val="0"/>
                <w:numId w:val="12"/>
              </w:numPr>
              <w:tabs>
                <w:tab w:val="center" w:pos="4513"/>
                <w:tab w:val="right" w:pos="9026"/>
              </w:tabs>
              <w:spacing w:after="200"/>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F329B">
              <w:rPr>
                <w:rFonts w:ascii="Calibri" w:hAnsi="Calibri" w:cs="Calibri"/>
                <w:szCs w:val="24"/>
              </w:rPr>
              <w:t>Our intranet won a silver award at this year's Intranet and Digital Workplace Awards. The annual global awards recognise outstanding contributions to the fields of intranets, digital workplaces, and digital employee experience.</w:t>
            </w:r>
          </w:p>
        </w:tc>
      </w:tr>
      <w:tr w:rsidR="008D20BE" w:rsidRPr="00F550D1" w14:paraId="4B9E57BD" w14:textId="77777777" w:rsidTr="00804D5C">
        <w:trPr>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3665F793" w14:textId="77777777" w:rsidR="008D20BE" w:rsidRPr="00804D5C" w:rsidRDefault="008D20BE" w:rsidP="008D20BE">
            <w:pPr>
              <w:rPr>
                <w:rFonts w:ascii="Calibri" w:hAnsi="Calibri" w:cs="Calibri"/>
                <w:b w:val="0"/>
                <w:color w:val="000000"/>
                <w:szCs w:val="24"/>
              </w:rPr>
            </w:pPr>
            <w:r w:rsidRPr="00804D5C">
              <w:rPr>
                <w:rFonts w:ascii="Calibri" w:hAnsi="Calibri" w:cs="Calibri"/>
                <w:b w:val="0"/>
                <w:color w:val="000000"/>
                <w:szCs w:val="24"/>
              </w:rPr>
              <w:lastRenderedPageBreak/>
              <w:t>Transform our individual and collective leadership capability</w:t>
            </w:r>
          </w:p>
        </w:tc>
        <w:tc>
          <w:tcPr>
            <w:tcW w:w="1701" w:type="dxa"/>
            <w:vAlign w:val="center"/>
          </w:tcPr>
          <w:p w14:paraId="00D7902F" w14:textId="77777777" w:rsidR="008D20BE" w:rsidRPr="00F550D1" w:rsidRDefault="008D20BE" w:rsidP="008D20B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68C2FD04" w14:textId="77777777" w:rsidR="008D20BE" w:rsidRPr="00F550D1" w:rsidRDefault="008D20BE" w:rsidP="008D20B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F550D1">
              <w:rPr>
                <w:rFonts w:ascii="Calibri" w:hAnsi="Calibri" w:cs="Calibri"/>
                <w:b/>
                <w:szCs w:val="24"/>
              </w:rPr>
              <w:t>GREEN</w:t>
            </w:r>
          </w:p>
        </w:tc>
        <w:tc>
          <w:tcPr>
            <w:tcW w:w="8309" w:type="dxa"/>
            <w:vAlign w:val="center"/>
          </w:tcPr>
          <w:p w14:paraId="3B1A00FF" w14:textId="77777777" w:rsidR="00C97C1C" w:rsidRPr="003278C3" w:rsidRDefault="00C97C1C" w:rsidP="00C97C1C">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r w:rsidRPr="003278C3">
              <w:rPr>
                <w:rFonts w:ascii="Calibri" w:hAnsi="Calibri" w:cs="Calibri"/>
                <w:b/>
                <w:szCs w:val="24"/>
              </w:rPr>
              <w:t xml:space="preserve">People </w:t>
            </w:r>
            <w:r>
              <w:rPr>
                <w:rFonts w:ascii="Calibri" w:hAnsi="Calibri" w:cs="Calibri"/>
                <w:b/>
                <w:szCs w:val="24"/>
              </w:rPr>
              <w:t>strategy implementation</w:t>
            </w:r>
          </w:p>
          <w:p w14:paraId="6FA4FEF1" w14:textId="0075D64B" w:rsidR="00C97C1C" w:rsidRPr="00C97C1C" w:rsidRDefault="00C97C1C" w:rsidP="00025C4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C97C1C">
              <w:rPr>
                <w:rFonts w:ascii="Calibri" w:hAnsi="Calibri" w:cs="Calibri"/>
                <w:szCs w:val="24"/>
              </w:rPr>
              <w:t xml:space="preserve">Our People Strategy will be delivered by a new People Programme. We are planning a soft launch in Q3. In the </w:t>
            </w:r>
            <w:r w:rsidR="002628E0" w:rsidRPr="00C97C1C">
              <w:rPr>
                <w:rFonts w:ascii="Calibri" w:hAnsi="Calibri" w:cs="Calibri"/>
                <w:szCs w:val="24"/>
              </w:rPr>
              <w:t>meantime,</w:t>
            </w:r>
            <w:r w:rsidRPr="00C97C1C">
              <w:rPr>
                <w:rFonts w:ascii="Calibri" w:hAnsi="Calibri" w:cs="Calibri"/>
                <w:szCs w:val="24"/>
              </w:rPr>
              <w:t xml:space="preserve"> work continues across </w:t>
            </w:r>
            <w:r w:rsidR="002628E0" w:rsidRPr="00C97C1C">
              <w:rPr>
                <w:rFonts w:ascii="Calibri" w:hAnsi="Calibri" w:cs="Calibri"/>
                <w:szCs w:val="24"/>
              </w:rPr>
              <w:t>several</w:t>
            </w:r>
            <w:r w:rsidRPr="00C97C1C">
              <w:rPr>
                <w:rFonts w:ascii="Calibri" w:hAnsi="Calibri" w:cs="Calibri"/>
                <w:szCs w:val="24"/>
              </w:rPr>
              <w:t xml:space="preserve"> high priority actions which will be absorbed within the delivery programme. </w:t>
            </w:r>
          </w:p>
          <w:p w14:paraId="27D54842" w14:textId="37BB47FD" w:rsidR="00C97C1C" w:rsidRPr="00804D5C" w:rsidRDefault="00C97C1C" w:rsidP="00025C49">
            <w:pPr>
              <w:numPr>
                <w:ilvl w:val="0"/>
                <w:numId w:val="13"/>
              </w:numPr>
              <w:tabs>
                <w:tab w:val="center" w:pos="4513"/>
                <w:tab w:val="right" w:pos="9026"/>
              </w:tabs>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804D5C">
              <w:rPr>
                <w:rFonts w:ascii="Calibri" w:hAnsi="Calibri" w:cs="Calibri"/>
                <w:szCs w:val="24"/>
              </w:rPr>
              <w:lastRenderedPageBreak/>
              <w:t xml:space="preserve">Phase 2 of skills requirements work underway and to be concluded in </w:t>
            </w:r>
            <w:r w:rsidR="0070585B">
              <w:rPr>
                <w:rFonts w:ascii="Calibri" w:hAnsi="Calibri" w:cs="Calibri"/>
                <w:szCs w:val="24"/>
              </w:rPr>
              <w:t>Q3</w:t>
            </w:r>
            <w:r w:rsidRPr="00804D5C">
              <w:rPr>
                <w:rFonts w:ascii="Calibri" w:hAnsi="Calibri" w:cs="Calibri"/>
                <w:szCs w:val="24"/>
              </w:rPr>
              <w:t>.</w:t>
            </w:r>
            <w:r>
              <w:rPr>
                <w:rFonts w:ascii="Calibri" w:hAnsi="Calibri" w:cs="Calibri"/>
                <w:szCs w:val="24"/>
              </w:rPr>
              <w:t xml:space="preserve"> This will help us to understand any skills gaps and is critical to delivering a strategic workforce </w:t>
            </w:r>
            <w:r w:rsidR="002628E0">
              <w:rPr>
                <w:rFonts w:ascii="Calibri" w:hAnsi="Calibri" w:cs="Calibri"/>
                <w:szCs w:val="24"/>
              </w:rPr>
              <w:t>plan.</w:t>
            </w:r>
            <w:r>
              <w:rPr>
                <w:rFonts w:ascii="Calibri" w:hAnsi="Calibri" w:cs="Calibri"/>
                <w:szCs w:val="24"/>
              </w:rPr>
              <w:t xml:space="preserve"> </w:t>
            </w:r>
          </w:p>
          <w:p w14:paraId="3C41C440" w14:textId="7860F3FB" w:rsidR="00C97C1C" w:rsidRDefault="00C97C1C" w:rsidP="00025C49">
            <w:pPr>
              <w:numPr>
                <w:ilvl w:val="0"/>
                <w:numId w:val="13"/>
              </w:numPr>
              <w:tabs>
                <w:tab w:val="center" w:pos="4513"/>
                <w:tab w:val="right" w:pos="9026"/>
              </w:tabs>
              <w:spacing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804D5C">
              <w:rPr>
                <w:rFonts w:ascii="Calibri" w:hAnsi="Calibri" w:cs="Calibri"/>
                <w:szCs w:val="24"/>
              </w:rPr>
              <w:t>Inner Development Goal</w:t>
            </w:r>
            <w:r w:rsidR="00F976E6">
              <w:rPr>
                <w:rFonts w:ascii="Calibri" w:hAnsi="Calibri" w:cs="Calibri"/>
                <w:szCs w:val="24"/>
              </w:rPr>
              <w:t>s</w:t>
            </w:r>
            <w:r w:rsidRPr="00804D5C">
              <w:rPr>
                <w:rFonts w:ascii="Calibri" w:hAnsi="Calibri" w:cs="Calibri"/>
                <w:szCs w:val="24"/>
              </w:rPr>
              <w:t xml:space="preserve"> framework has been introduced to </w:t>
            </w:r>
            <w:r>
              <w:rPr>
                <w:rFonts w:ascii="Calibri" w:hAnsi="Calibri" w:cs="Calibri"/>
                <w:szCs w:val="24"/>
              </w:rPr>
              <w:t>Extended Leadership Team (</w:t>
            </w:r>
            <w:r w:rsidRPr="00804D5C">
              <w:rPr>
                <w:rFonts w:ascii="Calibri" w:hAnsi="Calibri" w:cs="Calibri"/>
                <w:szCs w:val="24"/>
              </w:rPr>
              <w:t>ELT</w:t>
            </w:r>
            <w:r>
              <w:rPr>
                <w:rFonts w:ascii="Calibri" w:hAnsi="Calibri" w:cs="Calibri"/>
                <w:szCs w:val="24"/>
              </w:rPr>
              <w:t>)</w:t>
            </w:r>
            <w:r w:rsidRPr="00804D5C">
              <w:rPr>
                <w:rFonts w:ascii="Calibri" w:hAnsi="Calibri" w:cs="Calibri"/>
                <w:szCs w:val="24"/>
              </w:rPr>
              <w:t xml:space="preserve"> with a view that we embed this into our leadership offering and </w:t>
            </w:r>
            <w:r>
              <w:rPr>
                <w:rFonts w:ascii="Calibri" w:hAnsi="Calibri" w:cs="Calibri"/>
                <w:szCs w:val="24"/>
              </w:rPr>
              <w:t>Per</w:t>
            </w:r>
            <w:r w:rsidR="002628E0">
              <w:rPr>
                <w:rFonts w:ascii="Calibri" w:hAnsi="Calibri" w:cs="Calibri"/>
                <w:szCs w:val="24"/>
              </w:rPr>
              <w:t>formance</w:t>
            </w:r>
            <w:r>
              <w:rPr>
                <w:rFonts w:ascii="Calibri" w:hAnsi="Calibri" w:cs="Calibri"/>
                <w:szCs w:val="24"/>
              </w:rPr>
              <w:t xml:space="preserve"> Development Conversations (</w:t>
            </w:r>
            <w:r w:rsidRPr="00804D5C">
              <w:rPr>
                <w:rFonts w:ascii="Calibri" w:hAnsi="Calibri" w:cs="Calibri"/>
                <w:szCs w:val="24"/>
              </w:rPr>
              <w:t>PDC</w:t>
            </w:r>
            <w:r>
              <w:rPr>
                <w:rFonts w:ascii="Calibri" w:hAnsi="Calibri" w:cs="Calibri"/>
                <w:szCs w:val="24"/>
              </w:rPr>
              <w:t>)</w:t>
            </w:r>
            <w:r w:rsidRPr="00804D5C">
              <w:rPr>
                <w:rFonts w:ascii="Calibri" w:hAnsi="Calibri" w:cs="Calibri"/>
                <w:szCs w:val="24"/>
              </w:rPr>
              <w:t xml:space="preserve"> process. </w:t>
            </w:r>
          </w:p>
          <w:p w14:paraId="5D88291E" w14:textId="32B1E914" w:rsidR="00663359" w:rsidRPr="00B12352" w:rsidRDefault="00C97C1C" w:rsidP="00663359">
            <w:pPr>
              <w:numPr>
                <w:ilvl w:val="0"/>
                <w:numId w:val="13"/>
              </w:num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Cs w:val="24"/>
              </w:rPr>
            </w:pPr>
            <w:r w:rsidRPr="00400C8F">
              <w:rPr>
                <w:rFonts w:ascii="Calibri" w:hAnsi="Calibri" w:cs="Calibri"/>
                <w:szCs w:val="24"/>
              </w:rPr>
              <w:t>Audit of Insights within ELT undertaken. Conclusion of Insights for all ELT in progress</w:t>
            </w:r>
            <w:r w:rsidR="002628E0">
              <w:rPr>
                <w:rFonts w:ascii="Calibri" w:hAnsi="Calibri" w:cs="Calibri"/>
                <w:szCs w:val="24"/>
              </w:rPr>
              <w:t>;</w:t>
            </w:r>
            <w:r w:rsidRPr="00400C8F">
              <w:rPr>
                <w:rFonts w:ascii="Calibri" w:hAnsi="Calibri" w:cs="Calibri"/>
                <w:szCs w:val="24"/>
              </w:rPr>
              <w:t xml:space="preserve"> and met with Transport for Wales leadership lead to review how to embed this tool into our leadership development offering.</w:t>
            </w:r>
          </w:p>
        </w:tc>
      </w:tr>
      <w:tr w:rsidR="008D20BE" w:rsidRPr="00F550D1" w14:paraId="7AF6A97C" w14:textId="77777777" w:rsidTr="00804D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498C075" w14:textId="77777777" w:rsidR="008D20BE" w:rsidRPr="00804D5C" w:rsidRDefault="008D20BE" w:rsidP="008D20BE">
            <w:pPr>
              <w:rPr>
                <w:rFonts w:ascii="Calibri" w:hAnsi="Calibri" w:cs="Calibri"/>
                <w:b w:val="0"/>
                <w:color w:val="000000"/>
                <w:szCs w:val="24"/>
              </w:rPr>
            </w:pPr>
            <w:r w:rsidRPr="00804D5C">
              <w:rPr>
                <w:rFonts w:ascii="Calibri" w:hAnsi="Calibri" w:cs="Calibri"/>
                <w:b w:val="0"/>
                <w:color w:val="000000"/>
                <w:szCs w:val="24"/>
              </w:rPr>
              <w:lastRenderedPageBreak/>
              <w:t>Sustain our focus on developing a happy and resilient workforce</w:t>
            </w:r>
          </w:p>
        </w:tc>
        <w:tc>
          <w:tcPr>
            <w:tcW w:w="1701" w:type="dxa"/>
            <w:vAlign w:val="center"/>
          </w:tcPr>
          <w:p w14:paraId="431C1754" w14:textId="77777777" w:rsidR="008D20BE" w:rsidRPr="00F550D1" w:rsidRDefault="008D20BE" w:rsidP="008D20BE">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4"/>
              </w:rPr>
            </w:pPr>
            <w:r w:rsidRPr="00F550D1">
              <w:rPr>
                <w:rFonts w:ascii="Calibri" w:hAnsi="Calibri" w:cs="Calibri"/>
                <w:color w:val="000000"/>
                <w:szCs w:val="24"/>
              </w:rPr>
              <w:t xml:space="preserve">Jane Macdonald </w:t>
            </w:r>
          </w:p>
        </w:tc>
        <w:tc>
          <w:tcPr>
            <w:tcW w:w="993" w:type="dxa"/>
            <w:shd w:val="clear" w:color="auto" w:fill="9BBB59" w:themeFill="accent3"/>
            <w:vAlign w:val="center"/>
          </w:tcPr>
          <w:p w14:paraId="27B7CEA7" w14:textId="77777777" w:rsidR="008D20BE" w:rsidRPr="00F550D1" w:rsidRDefault="008D20BE" w:rsidP="008D20B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F550D1">
              <w:rPr>
                <w:rFonts w:ascii="Calibri" w:hAnsi="Calibri" w:cs="Calibri"/>
                <w:b/>
                <w:szCs w:val="24"/>
              </w:rPr>
              <w:t>GREEN</w:t>
            </w:r>
          </w:p>
        </w:tc>
        <w:tc>
          <w:tcPr>
            <w:tcW w:w="8309" w:type="dxa"/>
            <w:vAlign w:val="center"/>
          </w:tcPr>
          <w:p w14:paraId="2050DC0A" w14:textId="279C282F" w:rsidR="00C97C1C" w:rsidRPr="00804D5C" w:rsidRDefault="00C97C1C" w:rsidP="00025C49">
            <w:pPr>
              <w:numPr>
                <w:ilvl w:val="0"/>
                <w:numId w:val="14"/>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04D5C">
              <w:rPr>
                <w:rFonts w:ascii="Calibri" w:hAnsi="Calibri" w:cs="Calibri"/>
                <w:szCs w:val="24"/>
              </w:rPr>
              <w:t xml:space="preserve">Career MOTs model has been sourced with supplier engagement to be confirmed </w:t>
            </w:r>
            <w:r w:rsidR="0070585B">
              <w:rPr>
                <w:rFonts w:ascii="Calibri" w:hAnsi="Calibri" w:cs="Calibri"/>
                <w:szCs w:val="24"/>
              </w:rPr>
              <w:t>in Q3</w:t>
            </w:r>
            <w:r w:rsidRPr="00804D5C">
              <w:rPr>
                <w:rFonts w:ascii="Calibri" w:hAnsi="Calibri" w:cs="Calibri"/>
                <w:szCs w:val="24"/>
              </w:rPr>
              <w:t>.</w:t>
            </w:r>
            <w:r>
              <w:rPr>
                <w:rFonts w:ascii="Calibri" w:hAnsi="Calibri" w:cs="Calibri"/>
                <w:szCs w:val="24"/>
              </w:rPr>
              <w:t xml:space="preserve"> Taken together </w:t>
            </w:r>
            <w:r w:rsidR="00F976E6">
              <w:rPr>
                <w:rFonts w:ascii="Calibri" w:hAnsi="Calibri" w:cs="Calibri"/>
                <w:szCs w:val="24"/>
              </w:rPr>
              <w:t xml:space="preserve">with our developing talent programme </w:t>
            </w:r>
            <w:r>
              <w:rPr>
                <w:rFonts w:ascii="Calibri" w:hAnsi="Calibri" w:cs="Calibri"/>
                <w:szCs w:val="24"/>
              </w:rPr>
              <w:t>these actions allow us to develop our staff in line with our ambition to be an employer of choice and will further strengthen succession planning in support of strategic workforce plan</w:t>
            </w:r>
            <w:r w:rsidR="002628E0">
              <w:rPr>
                <w:rFonts w:ascii="Calibri" w:hAnsi="Calibri" w:cs="Calibri"/>
                <w:szCs w:val="24"/>
              </w:rPr>
              <w:t>ning</w:t>
            </w:r>
            <w:r>
              <w:rPr>
                <w:rFonts w:ascii="Calibri" w:hAnsi="Calibri" w:cs="Calibri"/>
                <w:szCs w:val="24"/>
              </w:rPr>
              <w:t>.</w:t>
            </w:r>
          </w:p>
          <w:p w14:paraId="591628A0" w14:textId="7A9D0D3F" w:rsidR="00C97C1C" w:rsidRPr="00804D5C" w:rsidRDefault="00C97C1C" w:rsidP="00025C49">
            <w:pPr>
              <w:numPr>
                <w:ilvl w:val="0"/>
                <w:numId w:val="14"/>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Pr>
                <w:rFonts w:ascii="Calibri" w:hAnsi="Calibri" w:cs="Calibri"/>
                <w:szCs w:val="24"/>
              </w:rPr>
              <w:t xml:space="preserve">In order to increase disclosure rates we </w:t>
            </w:r>
            <w:r w:rsidR="00D63C79">
              <w:rPr>
                <w:rFonts w:ascii="Calibri" w:hAnsi="Calibri" w:cs="Calibri"/>
                <w:szCs w:val="24"/>
              </w:rPr>
              <w:t>will run</w:t>
            </w:r>
            <w:r>
              <w:rPr>
                <w:rFonts w:ascii="Calibri" w:hAnsi="Calibri" w:cs="Calibri"/>
                <w:szCs w:val="24"/>
              </w:rPr>
              <w:t xml:space="preserve"> an a</w:t>
            </w:r>
            <w:r w:rsidRPr="00804D5C">
              <w:rPr>
                <w:rFonts w:ascii="Calibri" w:hAnsi="Calibri" w:cs="Calibri"/>
                <w:szCs w:val="24"/>
              </w:rPr>
              <w:t>wareness raising campaign for E</w:t>
            </w:r>
            <w:r>
              <w:rPr>
                <w:rFonts w:ascii="Calibri" w:hAnsi="Calibri" w:cs="Calibri"/>
                <w:szCs w:val="24"/>
              </w:rPr>
              <w:t>quality, Diversity and Inclusion (EDI)</w:t>
            </w:r>
            <w:r w:rsidRPr="00804D5C">
              <w:rPr>
                <w:rFonts w:ascii="Calibri" w:hAnsi="Calibri" w:cs="Calibri"/>
                <w:szCs w:val="24"/>
              </w:rPr>
              <w:t xml:space="preserve"> with a focus on data cleanse and promotion of data as a tool.</w:t>
            </w:r>
            <w:r>
              <w:rPr>
                <w:rFonts w:ascii="Calibri" w:hAnsi="Calibri" w:cs="Calibri"/>
                <w:szCs w:val="24"/>
              </w:rPr>
              <w:t xml:space="preserve"> </w:t>
            </w:r>
            <w:r w:rsidR="0070585B">
              <w:rPr>
                <w:rFonts w:ascii="Calibri" w:hAnsi="Calibri" w:cs="Calibri"/>
                <w:szCs w:val="24"/>
              </w:rPr>
              <w:t xml:space="preserve">We will also look at whether the structure of our questions acts as a barrier to completion rates. </w:t>
            </w:r>
            <w:r>
              <w:rPr>
                <w:rFonts w:ascii="Calibri" w:hAnsi="Calibri" w:cs="Calibri"/>
                <w:szCs w:val="24"/>
              </w:rPr>
              <w:t>This will help us to ensure that we can support our employees in ways appropriate to their needs.</w:t>
            </w:r>
          </w:p>
          <w:p w14:paraId="4221566B" w14:textId="3B541878" w:rsidR="00C97C1C" w:rsidRPr="00804D5C" w:rsidRDefault="00C97C1C" w:rsidP="00025C49">
            <w:pPr>
              <w:numPr>
                <w:ilvl w:val="0"/>
                <w:numId w:val="14"/>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04D5C">
              <w:rPr>
                <w:rFonts w:ascii="Calibri" w:hAnsi="Calibri" w:cs="Calibri"/>
                <w:szCs w:val="24"/>
              </w:rPr>
              <w:t xml:space="preserve">Implementation of </w:t>
            </w:r>
            <w:r w:rsidR="002628E0">
              <w:rPr>
                <w:rFonts w:ascii="Calibri" w:hAnsi="Calibri" w:cs="Calibri"/>
                <w:szCs w:val="24"/>
              </w:rPr>
              <w:t xml:space="preserve">an </w:t>
            </w:r>
            <w:r w:rsidRPr="00804D5C">
              <w:rPr>
                <w:rFonts w:ascii="Calibri" w:hAnsi="Calibri" w:cs="Calibri"/>
                <w:szCs w:val="24"/>
              </w:rPr>
              <w:t xml:space="preserve">interim flexi system is delayed due to staffing resources issues, but is due to be reviewed </w:t>
            </w:r>
            <w:r w:rsidR="00D63C79">
              <w:rPr>
                <w:rFonts w:ascii="Calibri" w:hAnsi="Calibri" w:cs="Calibri"/>
                <w:szCs w:val="24"/>
              </w:rPr>
              <w:t>in Q3</w:t>
            </w:r>
            <w:r w:rsidRPr="00804D5C">
              <w:rPr>
                <w:rFonts w:ascii="Calibri" w:hAnsi="Calibri" w:cs="Calibri"/>
                <w:szCs w:val="24"/>
              </w:rPr>
              <w:t>.</w:t>
            </w:r>
            <w:r>
              <w:rPr>
                <w:rFonts w:ascii="Calibri" w:hAnsi="Calibri" w:cs="Calibri"/>
                <w:szCs w:val="24"/>
              </w:rPr>
              <w:t xml:space="preserve"> This will support the policy changes brought in to increase the agility of our workforce.</w:t>
            </w:r>
          </w:p>
          <w:p w14:paraId="33D7DAEE" w14:textId="7A78C54E" w:rsidR="002929E5" w:rsidRPr="00C97C1C" w:rsidRDefault="00C97C1C" w:rsidP="00025C49">
            <w:pPr>
              <w:numPr>
                <w:ilvl w:val="0"/>
                <w:numId w:val="14"/>
              </w:numPr>
              <w:tabs>
                <w:tab w:val="center" w:pos="4513"/>
                <w:tab w:val="right" w:pos="9026"/>
              </w:tabs>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szCs w:val="24"/>
              </w:rPr>
            </w:pPr>
            <w:r w:rsidRPr="00804D5C">
              <w:rPr>
                <w:rFonts w:ascii="Calibri" w:hAnsi="Calibri" w:cs="Calibri"/>
                <w:szCs w:val="24"/>
              </w:rPr>
              <w:t>Lone working review in progress as is the review of H&amp;S Coordinators role.</w:t>
            </w:r>
            <w:r>
              <w:rPr>
                <w:rFonts w:ascii="Calibri" w:hAnsi="Calibri" w:cs="Calibri"/>
                <w:szCs w:val="24"/>
              </w:rPr>
              <w:t xml:space="preserve"> This will ensure that we are responsive to emerging needs and issues across the organisation in continuing to ensure the health, safety and wellbeing of our people.</w:t>
            </w:r>
          </w:p>
        </w:tc>
      </w:tr>
    </w:tbl>
    <w:p w14:paraId="63D0EFC2" w14:textId="77777777" w:rsidR="008D20BE" w:rsidRPr="00A65145" w:rsidRDefault="008D20BE" w:rsidP="008D20BE">
      <w:pPr>
        <w:rPr>
          <w:color w:val="000000" w:themeColor="text1"/>
        </w:rPr>
      </w:pPr>
    </w:p>
    <w:p w14:paraId="700EAC5A" w14:textId="0E617B32" w:rsidR="008D20BE" w:rsidRDefault="008D20BE" w:rsidP="008D20BE">
      <w:pPr>
        <w:pStyle w:val="Heading1"/>
        <w:rPr>
          <w:rFonts w:ascii="Calibri" w:eastAsiaTheme="minorHAnsi" w:hAnsi="Calibri" w:cs="Calibri"/>
          <w:color w:val="007DC3"/>
          <w:szCs w:val="22"/>
        </w:rPr>
      </w:pPr>
      <w:r w:rsidRPr="009A7A96">
        <w:rPr>
          <w:rFonts w:ascii="Calibri" w:eastAsiaTheme="minorHAnsi" w:hAnsi="Calibri" w:cs="Calibri"/>
          <w:color w:val="007DC3"/>
          <w:szCs w:val="22"/>
        </w:rPr>
        <w:lastRenderedPageBreak/>
        <w:t>PERFORMANCE DASHBOARD</w:t>
      </w:r>
      <w:r>
        <w:rPr>
          <w:rFonts w:ascii="Calibri" w:eastAsiaTheme="minorHAnsi" w:hAnsi="Calibri" w:cs="Calibri"/>
          <w:color w:val="007DC3"/>
          <w:szCs w:val="22"/>
        </w:rPr>
        <w:t xml:space="preserve"> </w:t>
      </w:r>
    </w:p>
    <w:p w14:paraId="0A2C1BD2" w14:textId="54AF5C34" w:rsidR="00B80F36" w:rsidRPr="00B80F36" w:rsidRDefault="00B80F36" w:rsidP="00B80F36">
      <w:pPr>
        <w:pStyle w:val="Heading1"/>
        <w:spacing w:before="0"/>
        <w:rPr>
          <w:rFonts w:ascii="Calibri" w:hAnsi="Calibri" w:cs="Calibri"/>
          <w:sz w:val="16"/>
          <w:szCs w:val="16"/>
        </w:rPr>
      </w:pPr>
      <w:r w:rsidRPr="00B80F36">
        <w:rPr>
          <w:rFonts w:ascii="Calibri" w:hAnsi="Calibri" w:cs="Calibri"/>
          <w:sz w:val="16"/>
          <w:szCs w:val="16"/>
        </w:rPr>
        <w:t>A dashboard is a high level overview of performance. For more information please click on the measure title that will take you to the source data. RAG status has been removed from the dashboard until we have mature measures.</w:t>
      </w:r>
    </w:p>
    <w:p w14:paraId="41ADC397" w14:textId="0561D956" w:rsidR="00A22E32" w:rsidRPr="00A22E32" w:rsidRDefault="008D20BE" w:rsidP="00A22E32">
      <w:pPr>
        <w:pStyle w:val="Heading2"/>
        <w:shd w:val="clear" w:color="auto" w:fill="007DC3"/>
        <w:jc w:val="center"/>
        <w:rPr>
          <w:rFonts w:ascii="Calibri" w:hAnsi="Calibri" w:cs="Calibri"/>
          <w:szCs w:val="28"/>
        </w:rPr>
      </w:pPr>
      <w:r w:rsidRPr="00B80F36">
        <w:rPr>
          <w:rFonts w:ascii="Calibri" w:hAnsi="Calibri" w:cs="Calibri"/>
          <w:szCs w:val="28"/>
        </w:rPr>
        <w:t>WE HAVE PROTECTED NATUR</w:t>
      </w:r>
      <w:r w:rsidR="001126C6" w:rsidRPr="00B80F36">
        <w:rPr>
          <w:rFonts w:ascii="Calibri" w:hAnsi="Calibri" w:cs="Calibri"/>
          <w:szCs w:val="28"/>
        </w:rPr>
        <w:t>E</w:t>
      </w:r>
    </w:p>
    <w:tbl>
      <w:tblPr>
        <w:tblW w:w="14884" w:type="dxa"/>
        <w:jc w:val="center"/>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1843"/>
        <w:gridCol w:w="3402"/>
        <w:gridCol w:w="992"/>
        <w:gridCol w:w="4678"/>
        <w:gridCol w:w="3969"/>
      </w:tblGrid>
      <w:tr w:rsidR="001126C6" w:rsidRPr="001428C1" w14:paraId="52F29391" w14:textId="77777777" w:rsidTr="00B80F36">
        <w:trPr>
          <w:cantSplit/>
          <w:trHeight w:val="142"/>
          <w:tblHeader/>
          <w:jc w:val="center"/>
        </w:trPr>
        <w:tc>
          <w:tcPr>
            <w:tcW w:w="1843" w:type="dxa"/>
            <w:tcBorders>
              <w:bottom w:val="single" w:sz="4" w:space="0" w:color="548DD4" w:themeColor="text2" w:themeTint="99"/>
            </w:tcBorders>
          </w:tcPr>
          <w:p w14:paraId="00AE7D92" w14:textId="77777777" w:rsidR="001126C6" w:rsidRPr="00330547" w:rsidRDefault="001126C6" w:rsidP="00E80188">
            <w:pPr>
              <w:spacing w:after="0"/>
              <w:jc w:val="center"/>
              <w:rPr>
                <w:rFonts w:ascii="Calibri" w:hAnsi="Calibri" w:cs="Calibri"/>
                <w:b/>
              </w:rPr>
            </w:pPr>
            <w:r w:rsidRPr="00330547">
              <w:rPr>
                <w:rFonts w:ascii="Calibri" w:hAnsi="Calibri" w:cs="Calibri"/>
                <w:b/>
              </w:rPr>
              <w:lastRenderedPageBreak/>
              <w:t>Measure</w:t>
            </w:r>
          </w:p>
        </w:tc>
        <w:tc>
          <w:tcPr>
            <w:tcW w:w="3402" w:type="dxa"/>
            <w:tcBorders>
              <w:bottom w:val="single" w:sz="4" w:space="0" w:color="548DD4" w:themeColor="text2" w:themeTint="99"/>
            </w:tcBorders>
          </w:tcPr>
          <w:p w14:paraId="4113EE74" w14:textId="77777777" w:rsidR="001126C6" w:rsidRPr="00330547" w:rsidRDefault="001126C6" w:rsidP="00E80188">
            <w:pPr>
              <w:spacing w:after="0"/>
              <w:jc w:val="center"/>
              <w:rPr>
                <w:rFonts w:ascii="Calibri" w:hAnsi="Calibri" w:cs="Calibri"/>
                <w:b/>
              </w:rPr>
            </w:pPr>
            <w:r w:rsidRPr="00330547">
              <w:rPr>
                <w:rFonts w:ascii="Calibri" w:hAnsi="Calibri" w:cs="Calibri"/>
                <w:b/>
              </w:rPr>
              <w:t>Performance Overview</w:t>
            </w:r>
          </w:p>
        </w:tc>
        <w:tc>
          <w:tcPr>
            <w:tcW w:w="992" w:type="dxa"/>
            <w:tcBorders>
              <w:bottom w:val="single" w:sz="4" w:space="0" w:color="548DD4" w:themeColor="text2" w:themeTint="99"/>
            </w:tcBorders>
          </w:tcPr>
          <w:p w14:paraId="34AFBC9F" w14:textId="77777777" w:rsidR="001126C6" w:rsidRPr="00330547" w:rsidRDefault="001126C6" w:rsidP="00E80188">
            <w:pPr>
              <w:spacing w:after="0"/>
              <w:jc w:val="center"/>
              <w:rPr>
                <w:rFonts w:ascii="Calibri" w:hAnsi="Calibri" w:cs="Calibri"/>
                <w:b/>
              </w:rPr>
            </w:pPr>
            <w:r w:rsidRPr="00330547">
              <w:rPr>
                <w:rFonts w:ascii="Calibri" w:hAnsi="Calibri" w:cs="Calibri"/>
                <w:b/>
              </w:rPr>
              <w:t>Actual</w:t>
            </w:r>
          </w:p>
        </w:tc>
        <w:tc>
          <w:tcPr>
            <w:tcW w:w="4678" w:type="dxa"/>
            <w:tcBorders>
              <w:bottom w:val="single" w:sz="4" w:space="0" w:color="548DD4" w:themeColor="text2" w:themeTint="99"/>
            </w:tcBorders>
          </w:tcPr>
          <w:p w14:paraId="54E3F4F4" w14:textId="77777777" w:rsidR="001126C6" w:rsidRPr="00330547" w:rsidRDefault="001126C6" w:rsidP="00E80188">
            <w:pPr>
              <w:spacing w:after="0"/>
              <w:jc w:val="center"/>
              <w:rPr>
                <w:rFonts w:ascii="Calibri" w:hAnsi="Calibri" w:cs="Calibri"/>
                <w:b/>
              </w:rPr>
            </w:pPr>
            <w:r w:rsidRPr="00330547">
              <w:rPr>
                <w:rFonts w:ascii="Calibri" w:hAnsi="Calibri" w:cs="Calibri"/>
                <w:b/>
              </w:rPr>
              <w:t>Cause</w:t>
            </w:r>
          </w:p>
        </w:tc>
        <w:tc>
          <w:tcPr>
            <w:tcW w:w="3969" w:type="dxa"/>
            <w:tcBorders>
              <w:bottom w:val="single" w:sz="4" w:space="0" w:color="548DD4" w:themeColor="text2" w:themeTint="99"/>
            </w:tcBorders>
          </w:tcPr>
          <w:p w14:paraId="483922A3" w14:textId="77777777" w:rsidR="001126C6" w:rsidRPr="00330547" w:rsidRDefault="001126C6" w:rsidP="00E80188">
            <w:pPr>
              <w:spacing w:after="0"/>
              <w:jc w:val="center"/>
              <w:rPr>
                <w:rFonts w:ascii="Calibri" w:hAnsi="Calibri" w:cs="Calibri"/>
                <w:b/>
              </w:rPr>
            </w:pPr>
            <w:r w:rsidRPr="00330547">
              <w:rPr>
                <w:rFonts w:ascii="Calibri" w:hAnsi="Calibri" w:cs="Calibri"/>
                <w:b/>
              </w:rPr>
              <w:t>Response</w:t>
            </w:r>
          </w:p>
        </w:tc>
      </w:tr>
      <w:tr w:rsidR="001126C6" w:rsidRPr="001428C1" w14:paraId="05851F79" w14:textId="77777777" w:rsidTr="00B80F36">
        <w:trPr>
          <w:trHeight w:val="850"/>
          <w:tblHeader/>
          <w:jc w:val="center"/>
        </w:trPr>
        <w:tc>
          <w:tcPr>
            <w:tcW w:w="1843" w:type="dxa"/>
            <w:tcBorders>
              <w:bottom w:val="single" w:sz="4" w:space="0" w:color="548DD4" w:themeColor="text2" w:themeTint="99"/>
            </w:tcBorders>
            <w:vAlign w:val="center"/>
          </w:tcPr>
          <w:p w14:paraId="3F13FF09" w14:textId="77777777" w:rsidR="001126C6" w:rsidRPr="00A45D71" w:rsidRDefault="00000000" w:rsidP="00E80188">
            <w:pPr>
              <w:spacing w:after="0"/>
              <w:jc w:val="center"/>
              <w:rPr>
                <w:rFonts w:cstheme="minorHAnsi"/>
                <w:b/>
                <w:sz w:val="20"/>
                <w:szCs w:val="20"/>
              </w:rPr>
            </w:pPr>
            <w:hyperlink r:id="rId12" w:history="1">
              <w:r w:rsidR="001126C6" w:rsidRPr="00B2331C">
                <w:rPr>
                  <w:rStyle w:val="Hyperlink"/>
                  <w:rFonts w:cstheme="minorHAnsi"/>
                  <w:b/>
                  <w:iCs/>
                  <w:color w:val="808080" w:themeColor="background1" w:themeShade="80"/>
                  <w:sz w:val="20"/>
                  <w:szCs w:val="20"/>
                </w:rPr>
                <w:t>Stakeholder interest in MPA Information</w:t>
              </w:r>
            </w:hyperlink>
          </w:p>
        </w:tc>
        <w:tc>
          <w:tcPr>
            <w:tcW w:w="3402" w:type="dxa"/>
            <w:tcBorders>
              <w:bottom w:val="single" w:sz="4" w:space="0" w:color="548DD4" w:themeColor="text2" w:themeTint="99"/>
            </w:tcBorders>
            <w:vAlign w:val="center"/>
          </w:tcPr>
          <w:p w14:paraId="7D2BE28B" w14:textId="77777777" w:rsidR="001126C6" w:rsidRPr="00A45D71" w:rsidRDefault="001126C6" w:rsidP="00E80188">
            <w:pPr>
              <w:spacing w:after="0"/>
              <w:jc w:val="center"/>
              <w:rPr>
                <w:rFonts w:ascii="Calibri" w:hAnsi="Calibri" w:cs="Calibri"/>
                <w:b/>
                <w:color w:val="808080" w:themeColor="background1" w:themeShade="80"/>
                <w:sz w:val="20"/>
                <w:szCs w:val="20"/>
              </w:rPr>
            </w:pPr>
          </w:p>
          <w:p w14:paraId="179EEC61" w14:textId="77777777" w:rsidR="001126C6" w:rsidRPr="00A45D71" w:rsidRDefault="001126C6" w:rsidP="00E80188">
            <w:pPr>
              <w:spacing w:after="0"/>
              <w:jc w:val="center"/>
              <w:rPr>
                <w:rFonts w:ascii="Calibri" w:hAnsi="Calibri" w:cs="Calibri"/>
                <w:color w:val="808080" w:themeColor="background1" w:themeShade="80"/>
                <w:sz w:val="20"/>
                <w:szCs w:val="20"/>
              </w:rPr>
            </w:pPr>
            <w:r w:rsidRPr="00A45D71">
              <w:rPr>
                <w:rFonts w:ascii="Calibri" w:hAnsi="Calibri" w:cs="Calibri"/>
                <w:b/>
                <w:color w:val="808080" w:themeColor="background1" w:themeShade="80"/>
                <w:sz w:val="20"/>
                <w:szCs w:val="20"/>
              </w:rPr>
              <w:t>No Graph Available</w:t>
            </w:r>
          </w:p>
        </w:tc>
        <w:tc>
          <w:tcPr>
            <w:tcW w:w="992" w:type="dxa"/>
            <w:tcBorders>
              <w:bottom w:val="single" w:sz="4" w:space="0" w:color="548DD4" w:themeColor="text2" w:themeTint="99"/>
            </w:tcBorders>
            <w:vAlign w:val="center"/>
          </w:tcPr>
          <w:p w14:paraId="46DEFEB5" w14:textId="77777777" w:rsidR="001126C6" w:rsidRPr="007807A0" w:rsidRDefault="001126C6" w:rsidP="00E80188">
            <w:pPr>
              <w:spacing w:after="0"/>
              <w:jc w:val="center"/>
              <w:rPr>
                <w:rFonts w:ascii="Calibri" w:hAnsi="Calibri" w:cs="Calibri"/>
                <w:color w:val="808080" w:themeColor="background1" w:themeShade="80"/>
                <w:sz w:val="20"/>
                <w:szCs w:val="20"/>
              </w:rPr>
            </w:pPr>
            <w:r w:rsidRPr="007807A0">
              <w:rPr>
                <w:rFonts w:ascii="Calibri" w:hAnsi="Calibri" w:cs="Calibri"/>
                <w:color w:val="808080" w:themeColor="background1" w:themeShade="80"/>
                <w:sz w:val="20"/>
                <w:szCs w:val="20"/>
              </w:rPr>
              <w:t>778</w:t>
            </w:r>
          </w:p>
        </w:tc>
        <w:tc>
          <w:tcPr>
            <w:tcW w:w="4678" w:type="dxa"/>
            <w:tcBorders>
              <w:bottom w:val="single" w:sz="4" w:space="0" w:color="548DD4" w:themeColor="text2" w:themeTint="99"/>
            </w:tcBorders>
            <w:vAlign w:val="center"/>
          </w:tcPr>
          <w:p w14:paraId="73DE4BCE" w14:textId="5BFC71C2" w:rsidR="001126C6" w:rsidRPr="00A45D71" w:rsidRDefault="001126C6" w:rsidP="00E80188">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w:t>
            </w:r>
            <w:r w:rsidRPr="007807A0">
              <w:rPr>
                <w:rFonts w:ascii="Calibri" w:hAnsi="Calibri" w:cs="Calibri"/>
                <w:color w:val="808080" w:themeColor="background1" w:themeShade="80"/>
                <w:sz w:val="20"/>
                <w:szCs w:val="20"/>
              </w:rPr>
              <w:t>he H</w:t>
            </w:r>
            <w:r>
              <w:rPr>
                <w:rFonts w:ascii="Calibri" w:hAnsi="Calibri" w:cs="Calibri"/>
                <w:color w:val="808080" w:themeColor="background1" w:themeShade="80"/>
                <w:sz w:val="20"/>
                <w:szCs w:val="20"/>
              </w:rPr>
              <w:t xml:space="preserve">ighly </w:t>
            </w:r>
            <w:r w:rsidRPr="007807A0">
              <w:rPr>
                <w:rFonts w:ascii="Calibri" w:hAnsi="Calibri" w:cs="Calibri"/>
                <w:color w:val="808080" w:themeColor="background1" w:themeShade="80"/>
                <w:sz w:val="20"/>
                <w:szCs w:val="20"/>
              </w:rPr>
              <w:t>P</w:t>
            </w:r>
            <w:r>
              <w:rPr>
                <w:rFonts w:ascii="Calibri" w:hAnsi="Calibri" w:cs="Calibri"/>
                <w:color w:val="808080" w:themeColor="background1" w:themeShade="80"/>
                <w:sz w:val="20"/>
                <w:szCs w:val="20"/>
              </w:rPr>
              <w:t xml:space="preserve">rotected </w:t>
            </w:r>
            <w:r w:rsidRPr="007807A0">
              <w:rPr>
                <w:rFonts w:ascii="Calibri" w:hAnsi="Calibri" w:cs="Calibri"/>
                <w:color w:val="808080" w:themeColor="background1" w:themeShade="80"/>
                <w:sz w:val="20"/>
                <w:szCs w:val="20"/>
              </w:rPr>
              <w:t>M</w:t>
            </w:r>
            <w:r>
              <w:rPr>
                <w:rFonts w:ascii="Calibri" w:hAnsi="Calibri" w:cs="Calibri"/>
                <w:color w:val="808080" w:themeColor="background1" w:themeShade="80"/>
                <w:sz w:val="20"/>
                <w:szCs w:val="20"/>
              </w:rPr>
              <w:t xml:space="preserve">arine </w:t>
            </w:r>
            <w:r w:rsidRPr="007807A0">
              <w:rPr>
                <w:rFonts w:ascii="Calibri" w:hAnsi="Calibri" w:cs="Calibri"/>
                <w:color w:val="808080" w:themeColor="background1" w:themeShade="80"/>
                <w:sz w:val="20"/>
                <w:szCs w:val="20"/>
              </w:rPr>
              <w:t>A</w:t>
            </w:r>
            <w:r>
              <w:rPr>
                <w:rFonts w:ascii="Calibri" w:hAnsi="Calibri" w:cs="Calibri"/>
                <w:color w:val="808080" w:themeColor="background1" w:themeShade="80"/>
                <w:sz w:val="20"/>
                <w:szCs w:val="20"/>
              </w:rPr>
              <w:t xml:space="preserve">reas </w:t>
            </w:r>
            <w:r w:rsidRPr="007807A0">
              <w:rPr>
                <w:rFonts w:ascii="Calibri" w:hAnsi="Calibri" w:cs="Calibri"/>
                <w:color w:val="808080" w:themeColor="background1" w:themeShade="80"/>
                <w:sz w:val="20"/>
                <w:szCs w:val="20"/>
              </w:rPr>
              <w:t xml:space="preserve">page </w:t>
            </w:r>
            <w:r>
              <w:rPr>
                <w:rFonts w:ascii="Calibri" w:hAnsi="Calibri" w:cs="Calibri"/>
                <w:color w:val="808080" w:themeColor="background1" w:themeShade="80"/>
                <w:sz w:val="20"/>
                <w:szCs w:val="20"/>
              </w:rPr>
              <w:t>had an</w:t>
            </w:r>
            <w:r w:rsidRPr="007807A0">
              <w:rPr>
                <w:rFonts w:ascii="Calibri" w:hAnsi="Calibri" w:cs="Calibri"/>
                <w:color w:val="808080" w:themeColor="background1" w:themeShade="80"/>
                <w:sz w:val="20"/>
                <w:szCs w:val="20"/>
              </w:rPr>
              <w:t xml:space="preserve"> engagement rate of 67.4%</w:t>
            </w:r>
            <w:r>
              <w:rPr>
                <w:rFonts w:ascii="Calibri" w:hAnsi="Calibri" w:cs="Calibri"/>
                <w:color w:val="808080" w:themeColor="background1" w:themeShade="80"/>
                <w:sz w:val="20"/>
                <w:szCs w:val="20"/>
              </w:rPr>
              <w:t xml:space="preserve"> (58/86 were engaged sessions)</w:t>
            </w:r>
            <w:r w:rsidRPr="007807A0">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T</w:t>
            </w:r>
            <w:r w:rsidRPr="007807A0">
              <w:rPr>
                <w:rFonts w:ascii="Calibri" w:hAnsi="Calibri" w:cs="Calibri"/>
                <w:color w:val="808080" w:themeColor="background1" w:themeShade="80"/>
                <w:sz w:val="20"/>
                <w:szCs w:val="20"/>
              </w:rPr>
              <w:t>he</w:t>
            </w:r>
            <w:r>
              <w:rPr>
                <w:rFonts w:ascii="Calibri" w:hAnsi="Calibri" w:cs="Calibri"/>
                <w:color w:val="808080" w:themeColor="background1" w:themeShade="80"/>
                <w:sz w:val="20"/>
                <w:szCs w:val="20"/>
              </w:rPr>
              <w:t xml:space="preserve"> Marine Protected Area (</w:t>
            </w:r>
            <w:r w:rsidRPr="007807A0">
              <w:rPr>
                <w:rFonts w:ascii="Calibri" w:hAnsi="Calibri" w:cs="Calibri"/>
                <w:color w:val="808080" w:themeColor="background1" w:themeShade="80"/>
                <w:sz w:val="20"/>
                <w:szCs w:val="20"/>
              </w:rPr>
              <w:t>MPA</w:t>
            </w:r>
            <w:r>
              <w:rPr>
                <w:rFonts w:ascii="Calibri" w:hAnsi="Calibri" w:cs="Calibri"/>
                <w:color w:val="808080" w:themeColor="background1" w:themeShade="80"/>
                <w:sz w:val="20"/>
                <w:szCs w:val="20"/>
              </w:rPr>
              <w:t>)</w:t>
            </w:r>
            <w:r w:rsidRPr="007807A0">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had an</w:t>
            </w:r>
            <w:r w:rsidRPr="007807A0">
              <w:rPr>
                <w:rFonts w:ascii="Calibri" w:hAnsi="Calibri" w:cs="Calibri"/>
                <w:color w:val="808080" w:themeColor="background1" w:themeShade="80"/>
                <w:sz w:val="20"/>
                <w:szCs w:val="20"/>
              </w:rPr>
              <w:t xml:space="preserve"> engagement rate of 62.9% </w:t>
            </w:r>
            <w:r>
              <w:rPr>
                <w:rFonts w:ascii="Calibri" w:hAnsi="Calibri" w:cs="Calibri"/>
                <w:color w:val="808080" w:themeColor="background1" w:themeShade="80"/>
                <w:sz w:val="20"/>
                <w:szCs w:val="20"/>
              </w:rPr>
              <w:t>(435/692 were engaged sessions).</w:t>
            </w:r>
            <w:r w:rsidRPr="007807A0">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As this is a new measure we do not have enough data points to know whether or not this level of engagement is where we expect it to be.</w:t>
            </w:r>
          </w:p>
        </w:tc>
        <w:tc>
          <w:tcPr>
            <w:tcW w:w="3969" w:type="dxa"/>
            <w:tcBorders>
              <w:bottom w:val="single" w:sz="4" w:space="0" w:color="548DD4" w:themeColor="text2" w:themeTint="99"/>
            </w:tcBorders>
            <w:vAlign w:val="center"/>
          </w:tcPr>
          <w:p w14:paraId="320F06D0" w14:textId="77777777" w:rsidR="001126C6" w:rsidRPr="001428C1" w:rsidRDefault="001126C6" w:rsidP="00E80188">
            <w:pPr>
              <w:spacing w:after="0"/>
              <w:jc w:val="both"/>
              <w:rPr>
                <w:rFonts w:ascii="Calibri" w:hAnsi="Calibri" w:cs="Calibri"/>
                <w:color w:val="808080" w:themeColor="background1" w:themeShade="80"/>
                <w:sz w:val="20"/>
                <w:szCs w:val="20"/>
                <w:highlight w:val="yellow"/>
              </w:rPr>
            </w:pPr>
            <w:r w:rsidRPr="007807A0">
              <w:rPr>
                <w:rFonts w:ascii="Calibri" w:hAnsi="Calibri" w:cs="Calibri"/>
                <w:color w:val="808080" w:themeColor="background1" w:themeShade="80"/>
                <w:sz w:val="20"/>
                <w:szCs w:val="20"/>
              </w:rPr>
              <w:t xml:space="preserve">This is the first </w:t>
            </w:r>
            <w:r>
              <w:rPr>
                <w:rFonts w:ascii="Calibri" w:hAnsi="Calibri" w:cs="Calibri"/>
                <w:color w:val="808080" w:themeColor="background1" w:themeShade="80"/>
                <w:sz w:val="20"/>
                <w:szCs w:val="20"/>
              </w:rPr>
              <w:t>q</w:t>
            </w:r>
            <w:r w:rsidRPr="007807A0">
              <w:rPr>
                <w:rFonts w:ascii="Calibri" w:hAnsi="Calibri" w:cs="Calibri"/>
                <w:color w:val="808080" w:themeColor="background1" w:themeShade="80"/>
                <w:sz w:val="20"/>
                <w:szCs w:val="20"/>
              </w:rPr>
              <w:t>uarter using the new system for reporting stats.</w:t>
            </w:r>
            <w:r>
              <w:rPr>
                <w:rFonts w:ascii="Calibri" w:hAnsi="Calibri" w:cs="Calibri"/>
                <w:color w:val="808080" w:themeColor="background1" w:themeShade="80"/>
                <w:sz w:val="20"/>
                <w:szCs w:val="20"/>
              </w:rPr>
              <w:t xml:space="preserve"> </w:t>
            </w:r>
            <w:r w:rsidRPr="007807A0">
              <w:rPr>
                <w:rFonts w:ascii="Calibri" w:hAnsi="Calibri" w:cs="Calibri"/>
                <w:color w:val="808080" w:themeColor="background1" w:themeShade="80"/>
                <w:sz w:val="20"/>
                <w:szCs w:val="20"/>
              </w:rPr>
              <w:t>Engaged sessions are when a user is on the page for more than 1 second and does something. The HPMA page has been republished under the title Enhancing protection of our seas.</w:t>
            </w:r>
            <w:r>
              <w:rPr>
                <w:rFonts w:ascii="Calibri" w:hAnsi="Calibri" w:cs="Calibri"/>
                <w:color w:val="808080" w:themeColor="background1" w:themeShade="80"/>
                <w:sz w:val="20"/>
                <w:szCs w:val="20"/>
              </w:rPr>
              <w:t xml:space="preserve"> </w:t>
            </w:r>
          </w:p>
        </w:tc>
      </w:tr>
      <w:tr w:rsidR="001126C6" w:rsidRPr="00512D3E" w14:paraId="548C1438" w14:textId="77777777" w:rsidTr="00B80F36">
        <w:trPr>
          <w:cantSplit/>
          <w:trHeight w:val="1217"/>
          <w:tblHeader/>
          <w:jc w:val="center"/>
        </w:trPr>
        <w:tc>
          <w:tcPr>
            <w:tcW w:w="1843" w:type="dxa"/>
            <w:tcBorders>
              <w:bottom w:val="single" w:sz="4" w:space="0" w:color="548DD4" w:themeColor="text2" w:themeTint="99"/>
            </w:tcBorders>
            <w:vAlign w:val="center"/>
          </w:tcPr>
          <w:p w14:paraId="5F152A7D" w14:textId="77777777" w:rsidR="001126C6" w:rsidRPr="00512D3E" w:rsidRDefault="00000000" w:rsidP="00E80188">
            <w:pPr>
              <w:spacing w:after="0"/>
              <w:jc w:val="center"/>
              <w:rPr>
                <w:rFonts w:ascii="Calibri" w:hAnsi="Calibri" w:cs="Calibri"/>
                <w:b/>
                <w:iCs/>
                <w:color w:val="808080" w:themeColor="background1" w:themeShade="80"/>
                <w:sz w:val="20"/>
                <w:szCs w:val="20"/>
              </w:rPr>
            </w:pPr>
            <w:hyperlink r:id="rId13" w:history="1">
              <w:r w:rsidR="001126C6" w:rsidRPr="00512D3E">
                <w:rPr>
                  <w:rStyle w:val="Hyperlink"/>
                  <w:rFonts w:ascii="Calibri" w:hAnsi="Calibri" w:cs="Calibri"/>
                  <w:b/>
                  <w:iCs/>
                  <w:color w:val="808080" w:themeColor="background1" w:themeShade="80"/>
                  <w:sz w:val="20"/>
                  <w:szCs w:val="20"/>
                </w:rPr>
                <w:t>No. of restoration projects for which we’ve provided advice</w:t>
              </w:r>
            </w:hyperlink>
          </w:p>
        </w:tc>
        <w:tc>
          <w:tcPr>
            <w:tcW w:w="3402" w:type="dxa"/>
            <w:tcBorders>
              <w:bottom w:val="single" w:sz="4" w:space="0" w:color="548DD4" w:themeColor="text2" w:themeTint="99"/>
            </w:tcBorders>
            <w:vAlign w:val="center"/>
          </w:tcPr>
          <w:p w14:paraId="4A0BECD4" w14:textId="77777777" w:rsidR="001126C6" w:rsidRPr="00512D3E" w:rsidRDefault="001126C6" w:rsidP="00E80188">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3ED9C0FA" wp14:editId="42CD0891">
                  <wp:extent cx="2047875" cy="676953"/>
                  <wp:effectExtent l="0" t="0" r="0" b="8890"/>
                  <wp:docPr id="1289443513" name="Picture 2" descr="20 restoration projects where we provided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43513" name="Picture 2" descr="20 restoration projects where we provided advi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128" cy="679020"/>
                          </a:xfrm>
                          <a:prstGeom prst="rect">
                            <a:avLst/>
                          </a:prstGeom>
                          <a:noFill/>
                        </pic:spPr>
                      </pic:pic>
                    </a:graphicData>
                  </a:graphic>
                </wp:inline>
              </w:drawing>
            </w:r>
          </w:p>
        </w:tc>
        <w:tc>
          <w:tcPr>
            <w:tcW w:w="992" w:type="dxa"/>
            <w:tcBorders>
              <w:bottom w:val="single" w:sz="4" w:space="0" w:color="548DD4" w:themeColor="text2" w:themeTint="99"/>
            </w:tcBorders>
            <w:vAlign w:val="center"/>
          </w:tcPr>
          <w:p w14:paraId="46895EAD" w14:textId="77777777" w:rsidR="001126C6" w:rsidRPr="00512D3E" w:rsidRDefault="001126C6" w:rsidP="00E80188">
            <w:pPr>
              <w:spacing w:after="0"/>
              <w:jc w:val="center"/>
              <w:rPr>
                <w:rFonts w:ascii="Calibri" w:hAnsi="Calibri" w:cs="Calibri"/>
                <w:color w:val="808080" w:themeColor="background1" w:themeShade="80"/>
                <w:sz w:val="20"/>
                <w:szCs w:val="20"/>
              </w:rPr>
            </w:pPr>
            <w:r w:rsidRPr="00512D3E">
              <w:rPr>
                <w:rFonts w:ascii="Calibri" w:hAnsi="Calibri" w:cs="Calibri"/>
                <w:color w:val="808080" w:themeColor="background1" w:themeShade="80"/>
                <w:sz w:val="20"/>
                <w:szCs w:val="20"/>
              </w:rPr>
              <w:t>20</w:t>
            </w:r>
          </w:p>
        </w:tc>
        <w:tc>
          <w:tcPr>
            <w:tcW w:w="4678" w:type="dxa"/>
            <w:tcBorders>
              <w:bottom w:val="single" w:sz="4" w:space="0" w:color="548DD4" w:themeColor="text2" w:themeTint="99"/>
            </w:tcBorders>
            <w:vAlign w:val="center"/>
          </w:tcPr>
          <w:p w14:paraId="1F01EEA3" w14:textId="77777777" w:rsidR="001126C6" w:rsidRPr="00512D3E" w:rsidRDefault="001126C6" w:rsidP="00E80188">
            <w:pPr>
              <w:spacing w:after="0"/>
              <w:jc w:val="both"/>
              <w:rPr>
                <w:rFonts w:ascii="Calibri" w:hAnsi="Calibri" w:cs="Calibri"/>
                <w:color w:val="808080" w:themeColor="background1" w:themeShade="80"/>
                <w:sz w:val="20"/>
                <w:szCs w:val="20"/>
              </w:rPr>
            </w:pPr>
            <w:r w:rsidRPr="00512D3E">
              <w:rPr>
                <w:rFonts w:ascii="Calibri" w:hAnsi="Calibri" w:cs="Calibri"/>
                <w:color w:val="808080" w:themeColor="background1" w:themeShade="80"/>
                <w:sz w:val="20"/>
                <w:szCs w:val="20"/>
              </w:rPr>
              <w:t xml:space="preserve">This quarter appears to have been a consolidation period and </w:t>
            </w:r>
            <w:r>
              <w:rPr>
                <w:rFonts w:ascii="Calibri" w:hAnsi="Calibri" w:cs="Calibri"/>
                <w:color w:val="808080" w:themeColor="background1" w:themeShade="80"/>
                <w:sz w:val="20"/>
                <w:szCs w:val="20"/>
              </w:rPr>
              <w:t>there are</w:t>
            </w:r>
            <w:r w:rsidRPr="00512D3E">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 xml:space="preserve">fewer </w:t>
            </w:r>
            <w:r w:rsidRPr="00512D3E">
              <w:rPr>
                <w:rFonts w:ascii="Calibri" w:hAnsi="Calibri" w:cs="Calibri"/>
                <w:color w:val="808080" w:themeColor="background1" w:themeShade="80"/>
                <w:sz w:val="20"/>
                <w:szCs w:val="20"/>
              </w:rPr>
              <w:t xml:space="preserve">enquiries from new projects </w:t>
            </w:r>
            <w:r>
              <w:rPr>
                <w:rFonts w:ascii="Calibri" w:hAnsi="Calibri" w:cs="Calibri"/>
                <w:color w:val="808080" w:themeColor="background1" w:themeShade="80"/>
                <w:sz w:val="20"/>
                <w:szCs w:val="20"/>
              </w:rPr>
              <w:t>than last quarter</w:t>
            </w:r>
            <w:r w:rsidRPr="00512D3E">
              <w:rPr>
                <w:rFonts w:ascii="Calibri" w:hAnsi="Calibri" w:cs="Calibri"/>
                <w:color w:val="808080" w:themeColor="background1" w:themeShade="80"/>
                <w:sz w:val="20"/>
                <w:szCs w:val="20"/>
              </w:rPr>
              <w:t xml:space="preserve">. One active project </w:t>
            </w:r>
            <w:r>
              <w:rPr>
                <w:rFonts w:ascii="Calibri" w:hAnsi="Calibri" w:cs="Calibri"/>
                <w:color w:val="808080" w:themeColor="background1" w:themeShade="80"/>
                <w:sz w:val="20"/>
                <w:szCs w:val="20"/>
              </w:rPr>
              <w:t>is</w:t>
            </w:r>
            <w:r w:rsidRPr="00512D3E">
              <w:rPr>
                <w:rFonts w:ascii="Calibri" w:hAnsi="Calibri" w:cs="Calibri"/>
                <w:color w:val="808080" w:themeColor="background1" w:themeShade="80"/>
                <w:sz w:val="20"/>
                <w:szCs w:val="20"/>
              </w:rPr>
              <w:t xml:space="preserve"> on hold following one of the partners terminating their involvement.</w:t>
            </w:r>
          </w:p>
        </w:tc>
        <w:tc>
          <w:tcPr>
            <w:tcW w:w="3969" w:type="dxa"/>
            <w:tcBorders>
              <w:bottom w:val="single" w:sz="4" w:space="0" w:color="548DD4" w:themeColor="text2" w:themeTint="99"/>
            </w:tcBorders>
            <w:vAlign w:val="center"/>
          </w:tcPr>
          <w:p w14:paraId="282CAA40" w14:textId="77777777" w:rsidR="001126C6" w:rsidRPr="00512D3E" w:rsidRDefault="001126C6" w:rsidP="00E80188">
            <w:pPr>
              <w:spacing w:after="0"/>
              <w:jc w:val="both"/>
              <w:rPr>
                <w:rFonts w:ascii="Calibri" w:hAnsi="Calibri" w:cs="Calibri"/>
                <w:color w:val="808080" w:themeColor="background1" w:themeShade="80"/>
                <w:sz w:val="20"/>
                <w:szCs w:val="20"/>
              </w:rPr>
            </w:pPr>
            <w:r w:rsidRPr="00512D3E">
              <w:rPr>
                <w:rFonts w:ascii="Calibri" w:hAnsi="Calibri" w:cs="Calibri"/>
                <w:color w:val="808080" w:themeColor="background1" w:themeShade="80"/>
                <w:sz w:val="20"/>
                <w:szCs w:val="20"/>
              </w:rPr>
              <w:t>We have continued to provide advice to internal and Scottish Government colleagues as well as enhancement related contact with NGOs such as Flora and Fauna International and Blue Marine Foundation.</w:t>
            </w:r>
          </w:p>
        </w:tc>
      </w:tr>
      <w:tr w:rsidR="001126C6" w:rsidRPr="00B2331C" w14:paraId="20947602" w14:textId="77777777" w:rsidTr="00B80F36">
        <w:trPr>
          <w:cantSplit/>
          <w:trHeight w:val="802"/>
          <w:tblHeader/>
          <w:jc w:val="center"/>
        </w:trPr>
        <w:tc>
          <w:tcPr>
            <w:tcW w:w="1843" w:type="dxa"/>
            <w:tcBorders>
              <w:bottom w:val="single" w:sz="4" w:space="0" w:color="548DD4" w:themeColor="text2" w:themeTint="99"/>
            </w:tcBorders>
            <w:vAlign w:val="center"/>
          </w:tcPr>
          <w:p w14:paraId="1CF08050" w14:textId="2300AF8E" w:rsidR="001126C6" w:rsidRPr="00B2331C" w:rsidRDefault="00000000" w:rsidP="00E80188">
            <w:pPr>
              <w:spacing w:after="0"/>
              <w:jc w:val="center"/>
              <w:rPr>
                <w:rFonts w:ascii="Calibri" w:hAnsi="Calibri" w:cs="Calibri"/>
                <w:b/>
                <w:iCs/>
                <w:color w:val="808080" w:themeColor="background1" w:themeShade="80"/>
                <w:sz w:val="20"/>
                <w:szCs w:val="20"/>
              </w:rPr>
            </w:pPr>
            <w:hyperlink r:id="rId15" w:history="1">
              <w:r w:rsidR="00B80F36">
                <w:rPr>
                  <w:rStyle w:val="Hyperlink"/>
                  <w:rFonts w:ascii="Calibri" w:hAnsi="Calibri" w:cs="Calibri"/>
                  <w:b/>
                  <w:iCs/>
                  <w:color w:val="808080" w:themeColor="background1" w:themeShade="80"/>
                  <w:sz w:val="20"/>
                  <w:szCs w:val="20"/>
                </w:rPr>
                <w:t>Li</w:t>
              </w:r>
              <w:r w:rsidR="001126C6" w:rsidRPr="00B2331C">
                <w:rPr>
                  <w:rStyle w:val="Hyperlink"/>
                  <w:rFonts w:ascii="Calibri" w:hAnsi="Calibri" w:cs="Calibri"/>
                  <w:b/>
                  <w:iCs/>
                  <w:color w:val="808080" w:themeColor="background1" w:themeShade="80"/>
                  <w:sz w:val="20"/>
                  <w:szCs w:val="20"/>
                </w:rPr>
                <w:t xml:space="preserve">cense applications turnaround time </w:t>
              </w:r>
              <w:r w:rsidR="001126C6">
                <w:rPr>
                  <w:rStyle w:val="Hyperlink"/>
                  <w:rFonts w:ascii="Calibri" w:hAnsi="Calibri" w:cs="Calibri"/>
                  <w:b/>
                  <w:iCs/>
                  <w:color w:val="808080" w:themeColor="background1" w:themeShade="80"/>
                  <w:sz w:val="20"/>
                  <w:szCs w:val="20"/>
                </w:rPr>
                <w:t xml:space="preserve">within </w:t>
              </w:r>
              <w:r w:rsidR="001126C6" w:rsidRPr="00B2331C">
                <w:rPr>
                  <w:rStyle w:val="Hyperlink"/>
                  <w:rFonts w:ascii="Calibri" w:hAnsi="Calibri" w:cs="Calibri"/>
                  <w:b/>
                  <w:iCs/>
                  <w:color w:val="808080" w:themeColor="background1" w:themeShade="80"/>
                  <w:sz w:val="20"/>
                  <w:szCs w:val="20"/>
                </w:rPr>
                <w:t>standards</w:t>
              </w:r>
            </w:hyperlink>
          </w:p>
        </w:tc>
        <w:tc>
          <w:tcPr>
            <w:tcW w:w="3402" w:type="dxa"/>
            <w:tcBorders>
              <w:bottom w:val="single" w:sz="4" w:space="0" w:color="548DD4" w:themeColor="text2" w:themeTint="99"/>
            </w:tcBorders>
            <w:vAlign w:val="center"/>
          </w:tcPr>
          <w:p w14:paraId="517739FA" w14:textId="77777777" w:rsidR="001126C6" w:rsidRPr="00B2331C" w:rsidRDefault="001126C6" w:rsidP="00E80188">
            <w:pPr>
              <w:spacing w:after="0"/>
              <w:jc w:val="center"/>
              <w:rPr>
                <w:rFonts w:ascii="Calibri" w:hAnsi="Calibri" w:cs="Calibri"/>
                <w:b/>
                <w:color w:val="808080" w:themeColor="background1" w:themeShade="80"/>
                <w:sz w:val="20"/>
                <w:szCs w:val="20"/>
              </w:rPr>
            </w:pPr>
            <w:r w:rsidRPr="00B2331C">
              <w:rPr>
                <w:rFonts w:ascii="Calibri" w:hAnsi="Calibri" w:cs="Calibri"/>
                <w:b/>
                <w:color w:val="808080" w:themeColor="background1" w:themeShade="80"/>
                <w:sz w:val="20"/>
                <w:szCs w:val="20"/>
              </w:rPr>
              <w:t>Not Ready to Report</w:t>
            </w:r>
          </w:p>
        </w:tc>
        <w:tc>
          <w:tcPr>
            <w:tcW w:w="992" w:type="dxa"/>
            <w:tcBorders>
              <w:bottom w:val="single" w:sz="4" w:space="0" w:color="548DD4" w:themeColor="text2" w:themeTint="99"/>
            </w:tcBorders>
            <w:vAlign w:val="center"/>
          </w:tcPr>
          <w:p w14:paraId="65F81F82" w14:textId="77777777" w:rsidR="001126C6" w:rsidRPr="00B2331C" w:rsidRDefault="001126C6" w:rsidP="00E80188">
            <w:pPr>
              <w:spacing w:after="0"/>
              <w:jc w:val="center"/>
              <w:rPr>
                <w:rFonts w:ascii="Calibri" w:hAnsi="Calibri" w:cs="Calibri"/>
                <w:b/>
                <w:color w:val="808080" w:themeColor="background1" w:themeShade="80"/>
                <w:sz w:val="20"/>
                <w:szCs w:val="20"/>
              </w:rPr>
            </w:pPr>
          </w:p>
        </w:tc>
        <w:tc>
          <w:tcPr>
            <w:tcW w:w="4678" w:type="dxa"/>
            <w:tcBorders>
              <w:bottom w:val="single" w:sz="4" w:space="0" w:color="548DD4" w:themeColor="text2" w:themeTint="99"/>
            </w:tcBorders>
            <w:vAlign w:val="center"/>
          </w:tcPr>
          <w:p w14:paraId="7ADDA972" w14:textId="3F46327A" w:rsidR="001126C6" w:rsidRPr="00B2331C" w:rsidRDefault="001126C6" w:rsidP="00E80188">
            <w:pPr>
              <w:spacing w:after="0"/>
              <w:jc w:val="both"/>
              <w:rPr>
                <w:rFonts w:ascii="Calibri" w:hAnsi="Calibri" w:cs="Calibri"/>
                <w:color w:val="808080" w:themeColor="background1" w:themeShade="80"/>
                <w:sz w:val="20"/>
                <w:szCs w:val="20"/>
              </w:rPr>
            </w:pPr>
            <w:r w:rsidRPr="00B2331C">
              <w:rPr>
                <w:rFonts w:ascii="Calibri" w:hAnsi="Calibri" w:cs="Calibri"/>
                <w:color w:val="808080" w:themeColor="background1" w:themeShade="80"/>
                <w:sz w:val="20"/>
                <w:szCs w:val="20"/>
              </w:rPr>
              <w:t xml:space="preserve">The standards </w:t>
            </w:r>
            <w:r w:rsidR="00B80F36">
              <w:rPr>
                <w:rFonts w:ascii="Calibri" w:hAnsi="Calibri" w:cs="Calibri"/>
                <w:color w:val="808080" w:themeColor="background1" w:themeShade="80"/>
                <w:sz w:val="20"/>
                <w:szCs w:val="20"/>
              </w:rPr>
              <w:t>have not yet been agreed.</w:t>
            </w:r>
          </w:p>
        </w:tc>
        <w:tc>
          <w:tcPr>
            <w:tcW w:w="3969" w:type="dxa"/>
            <w:tcBorders>
              <w:bottom w:val="single" w:sz="4" w:space="0" w:color="548DD4" w:themeColor="text2" w:themeTint="99"/>
            </w:tcBorders>
            <w:vAlign w:val="center"/>
          </w:tcPr>
          <w:p w14:paraId="24BA77D9" w14:textId="67D48A6F" w:rsidR="001126C6" w:rsidRPr="00B2331C" w:rsidRDefault="00B80F36" w:rsidP="00E80188">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Once standards have been agreed we will </w:t>
            </w:r>
            <w:proofErr w:type="gramStart"/>
            <w:r>
              <w:rPr>
                <w:rFonts w:ascii="Calibri" w:hAnsi="Calibri" w:cs="Calibri"/>
                <w:color w:val="808080" w:themeColor="background1" w:themeShade="80"/>
                <w:sz w:val="20"/>
                <w:szCs w:val="20"/>
              </w:rPr>
              <w:t xml:space="preserve">then </w:t>
            </w:r>
            <w:r w:rsidR="001126C6" w:rsidRPr="00B2331C">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report</w:t>
            </w:r>
            <w:proofErr w:type="gramEnd"/>
            <w:r>
              <w:rPr>
                <w:rFonts w:ascii="Calibri" w:hAnsi="Calibri" w:cs="Calibri"/>
                <w:color w:val="808080" w:themeColor="background1" w:themeShade="80"/>
                <w:sz w:val="20"/>
                <w:szCs w:val="20"/>
              </w:rPr>
              <w:t xml:space="preserve"> against them. The aim is to be able to report by </w:t>
            </w:r>
            <w:r w:rsidR="001126C6" w:rsidRPr="00B2331C">
              <w:rPr>
                <w:rFonts w:ascii="Calibri" w:hAnsi="Calibri" w:cs="Calibri"/>
                <w:color w:val="808080" w:themeColor="background1" w:themeShade="80"/>
                <w:sz w:val="20"/>
                <w:szCs w:val="20"/>
              </w:rPr>
              <w:t xml:space="preserve">in Q3. </w:t>
            </w:r>
          </w:p>
        </w:tc>
      </w:tr>
      <w:tr w:rsidR="001126C6" w:rsidRPr="00B2331C" w14:paraId="2644D0BA" w14:textId="77777777" w:rsidTr="00B80F36">
        <w:trPr>
          <w:cantSplit/>
          <w:trHeight w:val="941"/>
          <w:tblHeader/>
          <w:jc w:val="center"/>
        </w:trPr>
        <w:tc>
          <w:tcPr>
            <w:tcW w:w="1843" w:type="dxa"/>
            <w:tcBorders>
              <w:bottom w:val="single" w:sz="4" w:space="0" w:color="548DD4" w:themeColor="text2" w:themeTint="99"/>
            </w:tcBorders>
            <w:vAlign w:val="center"/>
          </w:tcPr>
          <w:p w14:paraId="7A7FEAB6" w14:textId="77777777" w:rsidR="001126C6" w:rsidRPr="00B2331C" w:rsidRDefault="00000000" w:rsidP="00E80188">
            <w:pPr>
              <w:spacing w:after="0"/>
              <w:jc w:val="center"/>
              <w:rPr>
                <w:rFonts w:ascii="Calibri" w:hAnsi="Calibri" w:cs="Calibri"/>
                <w:b/>
                <w:iCs/>
                <w:color w:val="808080" w:themeColor="background1" w:themeShade="80"/>
                <w:sz w:val="20"/>
                <w:szCs w:val="20"/>
              </w:rPr>
            </w:pPr>
            <w:hyperlink r:id="rId16" w:history="1">
              <w:r w:rsidR="001126C6" w:rsidRPr="00B2331C">
                <w:rPr>
                  <w:rStyle w:val="Hyperlink"/>
                  <w:rFonts w:ascii="Calibri" w:hAnsi="Calibri" w:cs="Calibri"/>
                  <w:b/>
                  <w:iCs/>
                  <w:color w:val="808080" w:themeColor="background1" w:themeShade="80"/>
                  <w:sz w:val="20"/>
                  <w:szCs w:val="20"/>
                </w:rPr>
                <w:t>No. and Types of licences that are processed through the online system</w:t>
              </w:r>
            </w:hyperlink>
          </w:p>
        </w:tc>
        <w:tc>
          <w:tcPr>
            <w:tcW w:w="3402" w:type="dxa"/>
            <w:tcBorders>
              <w:bottom w:val="single" w:sz="4" w:space="0" w:color="548DD4" w:themeColor="text2" w:themeTint="99"/>
            </w:tcBorders>
            <w:vAlign w:val="center"/>
          </w:tcPr>
          <w:p w14:paraId="185C4CF8" w14:textId="77777777" w:rsidR="001126C6" w:rsidRPr="00B2331C" w:rsidRDefault="001126C6" w:rsidP="00E80188">
            <w:pPr>
              <w:spacing w:after="0"/>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4ECE8308" wp14:editId="6385BA5F">
                  <wp:extent cx="1936750" cy="580141"/>
                  <wp:effectExtent l="0" t="0" r="6350" b="0"/>
                  <wp:docPr id="67241589" name="Picture 10" descr="At the end of Q2, 0 licences are in progress, 7 were issued, 13 refused, 0 revoked and 9 withdra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1589" name="Picture 10" descr="At the end of Q2, 0 licences are in progress, 7 were issued, 13 refused, 0 revoked and 9 withdrawn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3903" cy="588274"/>
                          </a:xfrm>
                          <a:prstGeom prst="rect">
                            <a:avLst/>
                          </a:prstGeom>
                          <a:noFill/>
                        </pic:spPr>
                      </pic:pic>
                    </a:graphicData>
                  </a:graphic>
                </wp:inline>
              </w:drawing>
            </w:r>
          </w:p>
        </w:tc>
        <w:tc>
          <w:tcPr>
            <w:tcW w:w="992" w:type="dxa"/>
            <w:tcBorders>
              <w:bottom w:val="single" w:sz="4" w:space="0" w:color="548DD4" w:themeColor="text2" w:themeTint="99"/>
            </w:tcBorders>
            <w:vAlign w:val="center"/>
          </w:tcPr>
          <w:p w14:paraId="28017B85" w14:textId="77777777" w:rsidR="001126C6" w:rsidRPr="00B2331C" w:rsidRDefault="001126C6" w:rsidP="00E80188">
            <w:pPr>
              <w:spacing w:after="0"/>
              <w:jc w:val="center"/>
              <w:rPr>
                <w:rFonts w:ascii="Calibri" w:hAnsi="Calibri" w:cs="Calibri"/>
                <w:color w:val="808080" w:themeColor="background1" w:themeShade="80"/>
                <w:sz w:val="20"/>
                <w:szCs w:val="20"/>
              </w:rPr>
            </w:pPr>
            <w:r w:rsidRPr="00B2331C">
              <w:rPr>
                <w:rFonts w:ascii="Calibri" w:hAnsi="Calibri" w:cs="Calibri"/>
                <w:color w:val="808080" w:themeColor="background1" w:themeShade="80"/>
                <w:sz w:val="20"/>
                <w:szCs w:val="20"/>
              </w:rPr>
              <w:t>29</w:t>
            </w:r>
          </w:p>
        </w:tc>
        <w:tc>
          <w:tcPr>
            <w:tcW w:w="4678" w:type="dxa"/>
            <w:tcBorders>
              <w:bottom w:val="single" w:sz="4" w:space="0" w:color="548DD4" w:themeColor="text2" w:themeTint="99"/>
            </w:tcBorders>
            <w:vAlign w:val="center"/>
          </w:tcPr>
          <w:p w14:paraId="5BEC6459" w14:textId="77777777" w:rsidR="001126C6" w:rsidRPr="00B2331C" w:rsidRDefault="001126C6" w:rsidP="00E80188">
            <w:pPr>
              <w:spacing w:after="0"/>
              <w:jc w:val="both"/>
              <w:rPr>
                <w:rFonts w:ascii="Calibri" w:hAnsi="Calibri" w:cs="Calibri"/>
                <w:color w:val="808080" w:themeColor="background1" w:themeShade="80"/>
                <w:sz w:val="20"/>
                <w:szCs w:val="20"/>
                <w:highlight w:val="yellow"/>
              </w:rPr>
            </w:pPr>
            <w:r w:rsidRPr="00B2331C">
              <w:rPr>
                <w:rFonts w:ascii="Calibri" w:hAnsi="Calibri" w:cs="Calibri"/>
                <w:color w:val="808080" w:themeColor="background1" w:themeShade="80"/>
                <w:sz w:val="20"/>
                <w:szCs w:val="20"/>
              </w:rPr>
              <w:t xml:space="preserve">The numbers are </w:t>
            </w:r>
            <w:r>
              <w:rPr>
                <w:rFonts w:ascii="Calibri" w:hAnsi="Calibri" w:cs="Calibri"/>
                <w:color w:val="808080" w:themeColor="background1" w:themeShade="80"/>
                <w:sz w:val="20"/>
                <w:szCs w:val="20"/>
              </w:rPr>
              <w:t xml:space="preserve">usually </w:t>
            </w:r>
            <w:r w:rsidRPr="00B2331C">
              <w:rPr>
                <w:rFonts w:ascii="Calibri" w:hAnsi="Calibri" w:cs="Calibri"/>
                <w:color w:val="808080" w:themeColor="background1" w:themeShade="80"/>
                <w:sz w:val="20"/>
                <w:szCs w:val="20"/>
              </w:rPr>
              <w:t>higher for the period March to mid-May as that is the main gull nesting season.</w:t>
            </w:r>
          </w:p>
        </w:tc>
        <w:tc>
          <w:tcPr>
            <w:tcW w:w="3969" w:type="dxa"/>
            <w:tcBorders>
              <w:bottom w:val="single" w:sz="4" w:space="0" w:color="548DD4" w:themeColor="text2" w:themeTint="99"/>
            </w:tcBorders>
            <w:vAlign w:val="center"/>
          </w:tcPr>
          <w:p w14:paraId="16D28BAB" w14:textId="77777777" w:rsidR="001126C6" w:rsidRPr="00B2331C" w:rsidRDefault="001126C6" w:rsidP="00E80188">
            <w:pPr>
              <w:spacing w:after="0"/>
              <w:jc w:val="both"/>
              <w:rPr>
                <w:rFonts w:ascii="Calibri" w:hAnsi="Calibri" w:cs="Calibri"/>
                <w:color w:val="808080" w:themeColor="background1" w:themeShade="80"/>
                <w:sz w:val="20"/>
                <w:szCs w:val="20"/>
                <w:highlight w:val="yellow"/>
              </w:rPr>
            </w:pPr>
            <w:r>
              <w:rPr>
                <w:rFonts w:ascii="Calibri" w:hAnsi="Calibri" w:cs="Calibri"/>
                <w:color w:val="808080" w:themeColor="background1" w:themeShade="80"/>
                <w:sz w:val="20"/>
                <w:szCs w:val="20"/>
              </w:rPr>
              <w:t>T</w:t>
            </w:r>
            <w:r w:rsidRPr="00B2331C">
              <w:rPr>
                <w:rFonts w:ascii="Calibri" w:hAnsi="Calibri" w:cs="Calibri"/>
                <w:color w:val="808080" w:themeColor="background1" w:themeShade="80"/>
                <w:sz w:val="20"/>
                <w:szCs w:val="20"/>
              </w:rPr>
              <w:t xml:space="preserve">he online licensing system development is </w:t>
            </w:r>
            <w:r>
              <w:rPr>
                <w:rFonts w:ascii="Calibri" w:hAnsi="Calibri" w:cs="Calibri"/>
                <w:color w:val="808080" w:themeColor="background1" w:themeShade="80"/>
                <w:sz w:val="20"/>
                <w:szCs w:val="20"/>
              </w:rPr>
              <w:t xml:space="preserve">paused </w:t>
            </w:r>
            <w:r w:rsidRPr="00B2331C">
              <w:rPr>
                <w:rFonts w:ascii="Calibri" w:hAnsi="Calibri" w:cs="Calibri"/>
                <w:color w:val="808080" w:themeColor="background1" w:themeShade="80"/>
                <w:sz w:val="20"/>
                <w:szCs w:val="20"/>
              </w:rPr>
              <w:t xml:space="preserve">whilst we review the project.  Internal Audit will </w:t>
            </w:r>
            <w:r>
              <w:rPr>
                <w:rFonts w:ascii="Calibri" w:hAnsi="Calibri" w:cs="Calibri"/>
                <w:color w:val="808080" w:themeColor="background1" w:themeShade="80"/>
                <w:sz w:val="20"/>
                <w:szCs w:val="20"/>
              </w:rPr>
              <w:t xml:space="preserve">complete their </w:t>
            </w:r>
            <w:r w:rsidRPr="00B2331C">
              <w:rPr>
                <w:rFonts w:ascii="Calibri" w:hAnsi="Calibri" w:cs="Calibri"/>
                <w:color w:val="808080" w:themeColor="background1" w:themeShade="80"/>
                <w:sz w:val="20"/>
                <w:szCs w:val="20"/>
              </w:rPr>
              <w:t xml:space="preserve">report and we </w:t>
            </w:r>
            <w:r>
              <w:rPr>
                <w:rFonts w:ascii="Calibri" w:hAnsi="Calibri" w:cs="Calibri"/>
                <w:color w:val="808080" w:themeColor="background1" w:themeShade="80"/>
                <w:sz w:val="20"/>
                <w:szCs w:val="20"/>
              </w:rPr>
              <w:t>will progress based on their findings</w:t>
            </w:r>
            <w:r w:rsidRPr="00B2331C">
              <w:rPr>
                <w:rFonts w:ascii="Calibri" w:hAnsi="Calibri" w:cs="Calibri"/>
                <w:color w:val="808080" w:themeColor="background1" w:themeShade="80"/>
                <w:sz w:val="20"/>
                <w:szCs w:val="20"/>
              </w:rPr>
              <w:t>.</w:t>
            </w:r>
          </w:p>
        </w:tc>
      </w:tr>
      <w:tr w:rsidR="001126C6" w:rsidRPr="003318DF" w14:paraId="241E2554" w14:textId="77777777" w:rsidTr="00B80F36">
        <w:trPr>
          <w:cantSplit/>
          <w:trHeight w:val="801"/>
          <w:tblHeader/>
          <w:jc w:val="center"/>
        </w:trPr>
        <w:tc>
          <w:tcPr>
            <w:tcW w:w="1843" w:type="dxa"/>
            <w:tcBorders>
              <w:bottom w:val="single" w:sz="4" w:space="0" w:color="548DD4" w:themeColor="text2" w:themeTint="99"/>
            </w:tcBorders>
            <w:vAlign w:val="center"/>
          </w:tcPr>
          <w:p w14:paraId="39082C7D" w14:textId="77777777" w:rsidR="001126C6" w:rsidRPr="003318DF" w:rsidRDefault="00000000" w:rsidP="00E80188">
            <w:pPr>
              <w:spacing w:after="0"/>
              <w:jc w:val="center"/>
              <w:rPr>
                <w:rFonts w:ascii="Calibri" w:hAnsi="Calibri" w:cs="Calibri"/>
                <w:b/>
                <w:iCs/>
                <w:color w:val="808080" w:themeColor="background1" w:themeShade="80"/>
                <w:sz w:val="20"/>
                <w:szCs w:val="20"/>
              </w:rPr>
            </w:pPr>
            <w:hyperlink r:id="rId18" w:history="1">
              <w:r w:rsidR="001126C6" w:rsidRPr="003318DF">
                <w:rPr>
                  <w:rStyle w:val="Hyperlink"/>
                  <w:rFonts w:ascii="Calibri" w:hAnsi="Calibri" w:cs="Calibri"/>
                  <w:b/>
                  <w:iCs/>
                  <w:color w:val="808080" w:themeColor="background1" w:themeShade="80"/>
                  <w:sz w:val="20"/>
                  <w:szCs w:val="20"/>
                </w:rPr>
                <w:t>No. of catchments with established beaver populations</w:t>
              </w:r>
            </w:hyperlink>
          </w:p>
        </w:tc>
        <w:tc>
          <w:tcPr>
            <w:tcW w:w="3402" w:type="dxa"/>
            <w:tcBorders>
              <w:bottom w:val="single" w:sz="4" w:space="0" w:color="548DD4" w:themeColor="text2" w:themeTint="99"/>
            </w:tcBorders>
            <w:vAlign w:val="center"/>
          </w:tcPr>
          <w:p w14:paraId="099F84BD" w14:textId="77777777" w:rsidR="001126C6" w:rsidRPr="003318DF" w:rsidRDefault="001126C6" w:rsidP="00E80188">
            <w:pPr>
              <w:spacing w:after="0"/>
              <w:jc w:val="center"/>
              <w:rPr>
                <w:rFonts w:ascii="Calibri" w:hAnsi="Calibri" w:cs="Calibri"/>
                <w:b/>
                <w:color w:val="808080" w:themeColor="background1" w:themeShade="80"/>
                <w:sz w:val="20"/>
                <w:szCs w:val="20"/>
              </w:rPr>
            </w:pPr>
            <w:r>
              <w:rPr>
                <w:rFonts w:ascii="Calibri" w:hAnsi="Calibri" w:cs="Calibri"/>
                <w:b/>
                <w:noProof/>
                <w:color w:val="808080" w:themeColor="background1" w:themeShade="80"/>
                <w:sz w:val="20"/>
                <w:szCs w:val="20"/>
                <w:lang w:eastAsia="en-GB"/>
              </w:rPr>
              <w:drawing>
                <wp:inline distT="0" distB="0" distL="0" distR="0" wp14:anchorId="1C4BC101" wp14:editId="21380BD2">
                  <wp:extent cx="1809750" cy="608355"/>
                  <wp:effectExtent l="0" t="0" r="0" b="1270"/>
                  <wp:docPr id="238963606" name="Picture 2" descr="There are currently 4 beaver cat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63606" name="Picture 2" descr="There are currently 4 beaver catchmen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4506" cy="620038"/>
                          </a:xfrm>
                          <a:prstGeom prst="rect">
                            <a:avLst/>
                          </a:prstGeom>
                          <a:noFill/>
                        </pic:spPr>
                      </pic:pic>
                    </a:graphicData>
                  </a:graphic>
                </wp:inline>
              </w:drawing>
            </w:r>
          </w:p>
        </w:tc>
        <w:tc>
          <w:tcPr>
            <w:tcW w:w="992" w:type="dxa"/>
            <w:tcBorders>
              <w:bottom w:val="single" w:sz="4" w:space="0" w:color="548DD4" w:themeColor="text2" w:themeTint="99"/>
            </w:tcBorders>
            <w:vAlign w:val="center"/>
          </w:tcPr>
          <w:p w14:paraId="47B40B85" w14:textId="77777777" w:rsidR="001126C6" w:rsidRPr="003318DF" w:rsidRDefault="001126C6" w:rsidP="00E80188">
            <w:pPr>
              <w:spacing w:after="0"/>
              <w:jc w:val="center"/>
              <w:rPr>
                <w:rFonts w:ascii="Calibri" w:hAnsi="Calibri" w:cs="Calibri"/>
                <w:color w:val="808080" w:themeColor="background1" w:themeShade="80"/>
                <w:sz w:val="20"/>
                <w:szCs w:val="20"/>
              </w:rPr>
            </w:pPr>
            <w:r w:rsidRPr="003318DF">
              <w:rPr>
                <w:rFonts w:ascii="Calibri" w:hAnsi="Calibri" w:cs="Calibri"/>
                <w:color w:val="808080" w:themeColor="background1" w:themeShade="80"/>
                <w:sz w:val="20"/>
                <w:szCs w:val="20"/>
              </w:rPr>
              <w:t>0</w:t>
            </w:r>
          </w:p>
        </w:tc>
        <w:tc>
          <w:tcPr>
            <w:tcW w:w="4678" w:type="dxa"/>
            <w:tcBorders>
              <w:bottom w:val="single" w:sz="4" w:space="0" w:color="548DD4" w:themeColor="text2" w:themeTint="99"/>
            </w:tcBorders>
            <w:vAlign w:val="center"/>
          </w:tcPr>
          <w:p w14:paraId="612AC462" w14:textId="77777777" w:rsidR="001126C6" w:rsidRPr="003318DF" w:rsidRDefault="001126C6" w:rsidP="00E80188">
            <w:pPr>
              <w:spacing w:after="0"/>
              <w:jc w:val="both"/>
              <w:rPr>
                <w:rFonts w:ascii="Calibri" w:hAnsi="Calibri" w:cs="Calibri"/>
                <w:color w:val="808080" w:themeColor="background1" w:themeShade="80"/>
                <w:sz w:val="20"/>
                <w:szCs w:val="20"/>
                <w:highlight w:val="yellow"/>
              </w:rPr>
            </w:pPr>
            <w:r w:rsidRPr="003318DF">
              <w:rPr>
                <w:rFonts w:ascii="Calibri" w:hAnsi="Calibri" w:cs="Calibri"/>
                <w:color w:val="808080" w:themeColor="background1" w:themeShade="80"/>
                <w:sz w:val="20"/>
                <w:szCs w:val="20"/>
              </w:rPr>
              <w:t>This quarter no</w:t>
            </w:r>
            <w:r>
              <w:rPr>
                <w:rFonts w:ascii="Calibri" w:hAnsi="Calibri" w:cs="Calibri"/>
                <w:color w:val="808080" w:themeColor="background1" w:themeShade="80"/>
                <w:sz w:val="20"/>
                <w:szCs w:val="20"/>
              </w:rPr>
              <w:t xml:space="preserve"> new</w:t>
            </w:r>
            <w:r w:rsidRPr="003318DF">
              <w:rPr>
                <w:rFonts w:ascii="Calibri" w:hAnsi="Calibri" w:cs="Calibri"/>
                <w:color w:val="808080" w:themeColor="background1" w:themeShade="80"/>
                <w:sz w:val="20"/>
                <w:szCs w:val="20"/>
              </w:rPr>
              <w:t xml:space="preserve"> licences were issued for beaver translocations and no new beaver populations were discovered.</w:t>
            </w:r>
          </w:p>
        </w:tc>
        <w:tc>
          <w:tcPr>
            <w:tcW w:w="3969" w:type="dxa"/>
            <w:tcBorders>
              <w:bottom w:val="single" w:sz="4" w:space="0" w:color="548DD4" w:themeColor="text2" w:themeTint="99"/>
            </w:tcBorders>
            <w:vAlign w:val="center"/>
          </w:tcPr>
          <w:p w14:paraId="40BCBFFD" w14:textId="527A5626" w:rsidR="001126C6" w:rsidRPr="003318DF" w:rsidRDefault="001126C6" w:rsidP="00E80188">
            <w:pPr>
              <w:spacing w:after="0"/>
              <w:jc w:val="both"/>
              <w:rPr>
                <w:rFonts w:ascii="Calibri" w:hAnsi="Calibri" w:cs="Calibri"/>
                <w:color w:val="808080" w:themeColor="background1" w:themeShade="80"/>
                <w:sz w:val="20"/>
                <w:szCs w:val="20"/>
                <w:highlight w:val="yellow"/>
              </w:rPr>
            </w:pPr>
            <w:r w:rsidRPr="003318DF">
              <w:rPr>
                <w:rFonts w:ascii="Calibri" w:hAnsi="Calibri" w:cs="Calibri"/>
                <w:color w:val="808080" w:themeColor="background1" w:themeShade="80"/>
                <w:sz w:val="20"/>
                <w:szCs w:val="20"/>
              </w:rPr>
              <w:t>It is anticipated we will receive an application for the Spey catchment</w:t>
            </w:r>
            <w:r w:rsidR="00B80F36">
              <w:rPr>
                <w:rFonts w:ascii="Calibri" w:hAnsi="Calibri" w:cs="Calibri"/>
                <w:color w:val="808080" w:themeColor="background1" w:themeShade="80"/>
                <w:sz w:val="20"/>
                <w:szCs w:val="20"/>
              </w:rPr>
              <w:t>.</w:t>
            </w:r>
            <w:r w:rsidRPr="003318DF">
              <w:rPr>
                <w:rFonts w:ascii="Calibri" w:hAnsi="Calibri" w:cs="Calibri"/>
                <w:color w:val="808080" w:themeColor="background1" w:themeShade="80"/>
                <w:sz w:val="20"/>
                <w:szCs w:val="20"/>
              </w:rPr>
              <w:t xml:space="preserve"> Beauly catchment has indicated they </w:t>
            </w:r>
            <w:r w:rsidR="00B80F36">
              <w:rPr>
                <w:rFonts w:ascii="Calibri" w:hAnsi="Calibri" w:cs="Calibri"/>
                <w:color w:val="808080" w:themeColor="background1" w:themeShade="80"/>
                <w:sz w:val="20"/>
                <w:szCs w:val="20"/>
              </w:rPr>
              <w:t>want</w:t>
            </w:r>
            <w:r w:rsidRPr="003318DF">
              <w:rPr>
                <w:rFonts w:ascii="Calibri" w:hAnsi="Calibri" w:cs="Calibri"/>
                <w:color w:val="808080" w:themeColor="background1" w:themeShade="80"/>
                <w:sz w:val="20"/>
                <w:szCs w:val="20"/>
              </w:rPr>
              <w:t xml:space="preserve"> to do more consultation.</w:t>
            </w:r>
          </w:p>
        </w:tc>
      </w:tr>
      <w:tr w:rsidR="001126C6" w:rsidRPr="00512D3E" w14:paraId="1FBCF7F4" w14:textId="77777777" w:rsidTr="00B80F36">
        <w:trPr>
          <w:cantSplit/>
          <w:trHeight w:val="645"/>
          <w:tblHeader/>
          <w:jc w:val="center"/>
        </w:trPr>
        <w:tc>
          <w:tcPr>
            <w:tcW w:w="1843" w:type="dxa"/>
            <w:tcBorders>
              <w:bottom w:val="single" w:sz="4" w:space="0" w:color="548DD4" w:themeColor="text2" w:themeTint="99"/>
            </w:tcBorders>
            <w:vAlign w:val="center"/>
          </w:tcPr>
          <w:p w14:paraId="338AC7E1" w14:textId="77777777" w:rsidR="001126C6" w:rsidRPr="00512D3E" w:rsidRDefault="00000000" w:rsidP="00E80188">
            <w:pPr>
              <w:spacing w:after="0"/>
              <w:jc w:val="center"/>
              <w:rPr>
                <w:rFonts w:ascii="Calibri" w:hAnsi="Calibri" w:cs="Calibri"/>
                <w:b/>
                <w:iCs/>
                <w:color w:val="808080" w:themeColor="background1" w:themeShade="80"/>
                <w:sz w:val="20"/>
                <w:szCs w:val="20"/>
                <w:highlight w:val="yellow"/>
              </w:rPr>
            </w:pPr>
            <w:hyperlink r:id="rId20" w:history="1">
              <w:r w:rsidR="001126C6" w:rsidRPr="00512D3E">
                <w:rPr>
                  <w:rStyle w:val="Hyperlink"/>
                  <w:rFonts w:ascii="Calibri" w:hAnsi="Calibri" w:cs="Calibri"/>
                  <w:b/>
                  <w:iCs/>
                  <w:color w:val="808080" w:themeColor="background1" w:themeShade="80"/>
                  <w:sz w:val="20"/>
                  <w:szCs w:val="20"/>
                </w:rPr>
                <w:t>No. of successful resolutions to the mitigation requests</w:t>
              </w:r>
            </w:hyperlink>
          </w:p>
        </w:tc>
        <w:tc>
          <w:tcPr>
            <w:tcW w:w="3402" w:type="dxa"/>
            <w:tcBorders>
              <w:bottom w:val="single" w:sz="4" w:space="0" w:color="548DD4" w:themeColor="text2" w:themeTint="99"/>
            </w:tcBorders>
            <w:vAlign w:val="center"/>
          </w:tcPr>
          <w:p w14:paraId="6E22DDB3" w14:textId="77777777" w:rsidR="001126C6" w:rsidRPr="00512D3E" w:rsidRDefault="001126C6" w:rsidP="00E80188">
            <w:pPr>
              <w:spacing w:after="0"/>
              <w:jc w:val="center"/>
              <w:rPr>
                <w:rFonts w:ascii="Calibri" w:hAnsi="Calibri" w:cs="Calibri"/>
                <w:b/>
                <w:color w:val="808080" w:themeColor="background1" w:themeShade="80"/>
                <w:sz w:val="20"/>
                <w:szCs w:val="20"/>
              </w:rPr>
            </w:pPr>
            <w:r w:rsidRPr="00512D3E">
              <w:rPr>
                <w:rFonts w:ascii="Calibri" w:hAnsi="Calibri" w:cs="Calibri"/>
                <w:b/>
                <w:color w:val="808080" w:themeColor="background1" w:themeShade="80"/>
                <w:sz w:val="20"/>
                <w:szCs w:val="20"/>
              </w:rPr>
              <w:t>Not Ready to Report</w:t>
            </w:r>
          </w:p>
        </w:tc>
        <w:tc>
          <w:tcPr>
            <w:tcW w:w="992" w:type="dxa"/>
            <w:tcBorders>
              <w:bottom w:val="single" w:sz="4" w:space="0" w:color="548DD4" w:themeColor="text2" w:themeTint="99"/>
            </w:tcBorders>
            <w:vAlign w:val="center"/>
          </w:tcPr>
          <w:p w14:paraId="4AA0097F" w14:textId="77777777" w:rsidR="001126C6" w:rsidRPr="00512D3E" w:rsidRDefault="001126C6" w:rsidP="00E80188">
            <w:pPr>
              <w:spacing w:after="0"/>
              <w:jc w:val="center"/>
              <w:rPr>
                <w:rFonts w:ascii="Calibri" w:hAnsi="Calibri" w:cs="Calibri"/>
                <w:color w:val="808080" w:themeColor="background1" w:themeShade="80"/>
                <w:sz w:val="20"/>
                <w:szCs w:val="20"/>
              </w:rPr>
            </w:pPr>
          </w:p>
        </w:tc>
        <w:tc>
          <w:tcPr>
            <w:tcW w:w="4678" w:type="dxa"/>
            <w:tcBorders>
              <w:bottom w:val="single" w:sz="4" w:space="0" w:color="548DD4" w:themeColor="text2" w:themeTint="99"/>
            </w:tcBorders>
            <w:vAlign w:val="center"/>
          </w:tcPr>
          <w:p w14:paraId="78993582" w14:textId="77777777" w:rsidR="001126C6" w:rsidRPr="00512D3E" w:rsidRDefault="001126C6" w:rsidP="00E80188">
            <w:pPr>
              <w:spacing w:after="0"/>
              <w:jc w:val="both"/>
              <w:rPr>
                <w:rFonts w:ascii="Calibri" w:hAnsi="Calibri" w:cs="Calibri"/>
                <w:color w:val="808080" w:themeColor="background1" w:themeShade="80"/>
                <w:sz w:val="20"/>
                <w:szCs w:val="20"/>
              </w:rPr>
            </w:pPr>
            <w:r w:rsidRPr="00512D3E">
              <w:rPr>
                <w:rFonts w:ascii="Calibri" w:hAnsi="Calibri" w:cs="Calibri"/>
                <w:color w:val="808080" w:themeColor="background1" w:themeShade="80"/>
                <w:sz w:val="20"/>
                <w:szCs w:val="20"/>
              </w:rPr>
              <w:t>This will be reported on a six-monthly basis due to the manner of gathering data.</w:t>
            </w:r>
          </w:p>
        </w:tc>
        <w:tc>
          <w:tcPr>
            <w:tcW w:w="3969" w:type="dxa"/>
            <w:tcBorders>
              <w:bottom w:val="single" w:sz="4" w:space="0" w:color="548DD4" w:themeColor="text2" w:themeTint="99"/>
            </w:tcBorders>
            <w:vAlign w:val="center"/>
          </w:tcPr>
          <w:p w14:paraId="28A6BD68" w14:textId="77777777" w:rsidR="001126C6" w:rsidRPr="00512D3E" w:rsidRDefault="001126C6" w:rsidP="00E80188">
            <w:pPr>
              <w:spacing w:after="0"/>
              <w:jc w:val="both"/>
              <w:rPr>
                <w:rFonts w:ascii="Calibri" w:hAnsi="Calibri" w:cs="Calibri"/>
                <w:color w:val="808080" w:themeColor="background1" w:themeShade="80"/>
                <w:sz w:val="20"/>
                <w:szCs w:val="20"/>
              </w:rPr>
            </w:pPr>
            <w:r w:rsidRPr="00512D3E">
              <w:rPr>
                <w:rFonts w:ascii="Calibri" w:hAnsi="Calibri" w:cs="Calibri"/>
                <w:color w:val="808080" w:themeColor="background1" w:themeShade="80"/>
                <w:sz w:val="20"/>
                <w:szCs w:val="20"/>
              </w:rPr>
              <w:t xml:space="preserve">This will be reported at the end of Q3 with a full update. </w:t>
            </w:r>
          </w:p>
        </w:tc>
      </w:tr>
      <w:tr w:rsidR="001126C6" w:rsidRPr="00A15D6F" w14:paraId="488F5C6E" w14:textId="77777777" w:rsidTr="00B80F36">
        <w:trPr>
          <w:cantSplit/>
          <w:trHeight w:val="947"/>
          <w:tblHeader/>
          <w:jc w:val="center"/>
        </w:trPr>
        <w:tc>
          <w:tcPr>
            <w:tcW w:w="1843" w:type="dxa"/>
            <w:tcBorders>
              <w:bottom w:val="single" w:sz="4" w:space="0" w:color="548DD4" w:themeColor="text2" w:themeTint="99"/>
            </w:tcBorders>
            <w:vAlign w:val="center"/>
          </w:tcPr>
          <w:p w14:paraId="2F8115D2" w14:textId="77777777" w:rsidR="001126C6" w:rsidRPr="00A15D6F" w:rsidRDefault="00000000" w:rsidP="00E80188">
            <w:pPr>
              <w:spacing w:after="0"/>
              <w:jc w:val="center"/>
              <w:rPr>
                <w:rFonts w:ascii="Calibri" w:hAnsi="Calibri" w:cs="Calibri"/>
                <w:b/>
                <w:iCs/>
                <w:color w:val="808080" w:themeColor="background1" w:themeShade="80"/>
                <w:sz w:val="20"/>
                <w:szCs w:val="20"/>
              </w:rPr>
            </w:pPr>
            <w:hyperlink r:id="rId21" w:history="1">
              <w:r w:rsidR="001126C6" w:rsidRPr="00A15D6F">
                <w:rPr>
                  <w:rStyle w:val="Hyperlink"/>
                  <w:rFonts w:ascii="Calibri" w:hAnsi="Calibri" w:cs="Calibri"/>
                  <w:b/>
                  <w:iCs/>
                  <w:color w:val="808080" w:themeColor="background1" w:themeShade="80"/>
                  <w:sz w:val="20"/>
                  <w:szCs w:val="20"/>
                </w:rPr>
                <w:t xml:space="preserve">% of holding objections for formal planning applications </w:t>
              </w:r>
            </w:hyperlink>
          </w:p>
        </w:tc>
        <w:tc>
          <w:tcPr>
            <w:tcW w:w="3402" w:type="dxa"/>
            <w:tcBorders>
              <w:bottom w:val="single" w:sz="4" w:space="0" w:color="548DD4" w:themeColor="text2" w:themeTint="99"/>
            </w:tcBorders>
            <w:vAlign w:val="center"/>
          </w:tcPr>
          <w:p w14:paraId="062EEC63" w14:textId="77777777" w:rsidR="001126C6" w:rsidRPr="00A15D6F" w:rsidRDefault="001126C6" w:rsidP="00E80188">
            <w:pPr>
              <w:spacing w:after="0"/>
              <w:jc w:val="both"/>
              <w:rPr>
                <w:rFonts w:ascii="Calibri" w:hAnsi="Calibri" w:cs="Calibri"/>
                <w:b/>
                <w:color w:val="808080" w:themeColor="background1" w:themeShade="80"/>
                <w:sz w:val="20"/>
                <w:szCs w:val="20"/>
              </w:rPr>
            </w:pPr>
            <w:r w:rsidRPr="00A15D6F">
              <w:rPr>
                <w:rFonts w:ascii="Calibri" w:hAnsi="Calibri" w:cs="Calibri"/>
                <w:b/>
                <w:noProof/>
                <w:color w:val="808080" w:themeColor="background1" w:themeShade="80"/>
                <w:sz w:val="20"/>
                <w:szCs w:val="20"/>
                <w:lang w:eastAsia="en-GB"/>
              </w:rPr>
              <w:drawing>
                <wp:inline distT="0" distB="0" distL="0" distR="0" wp14:anchorId="7E2A4390" wp14:editId="366EE812">
                  <wp:extent cx="1966119" cy="647700"/>
                  <wp:effectExtent l="0" t="0" r="0" b="0"/>
                  <wp:docPr id="492010567" name="Picture 18" descr="There were 6.21% holding objects in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010567" name="Picture 18" descr="There were 6.21% holding objects in Q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8634" cy="648529"/>
                          </a:xfrm>
                          <a:prstGeom prst="rect">
                            <a:avLst/>
                          </a:prstGeom>
                          <a:noFill/>
                        </pic:spPr>
                      </pic:pic>
                    </a:graphicData>
                  </a:graphic>
                </wp:inline>
              </w:drawing>
            </w:r>
          </w:p>
        </w:tc>
        <w:tc>
          <w:tcPr>
            <w:tcW w:w="992" w:type="dxa"/>
            <w:tcBorders>
              <w:bottom w:val="single" w:sz="4" w:space="0" w:color="548DD4" w:themeColor="text2" w:themeTint="99"/>
            </w:tcBorders>
            <w:vAlign w:val="center"/>
          </w:tcPr>
          <w:p w14:paraId="512F564C" w14:textId="77777777" w:rsidR="001126C6" w:rsidRPr="00A15D6F" w:rsidRDefault="001126C6" w:rsidP="00E80188">
            <w:pPr>
              <w:spacing w:after="0"/>
              <w:jc w:val="center"/>
              <w:rPr>
                <w:rFonts w:ascii="Calibri" w:hAnsi="Calibri" w:cs="Calibri"/>
                <w:color w:val="808080" w:themeColor="background1" w:themeShade="80"/>
                <w:sz w:val="20"/>
                <w:szCs w:val="20"/>
              </w:rPr>
            </w:pPr>
            <w:r w:rsidRPr="00A15D6F">
              <w:rPr>
                <w:rFonts w:ascii="Calibri" w:hAnsi="Calibri" w:cs="Calibri"/>
                <w:color w:val="808080" w:themeColor="background1" w:themeShade="80"/>
                <w:sz w:val="20"/>
                <w:szCs w:val="20"/>
              </w:rPr>
              <w:t>6.21%</w:t>
            </w:r>
          </w:p>
        </w:tc>
        <w:tc>
          <w:tcPr>
            <w:tcW w:w="4678" w:type="dxa"/>
            <w:tcBorders>
              <w:bottom w:val="single" w:sz="4" w:space="0" w:color="548DD4" w:themeColor="text2" w:themeTint="99"/>
            </w:tcBorders>
            <w:vAlign w:val="center"/>
          </w:tcPr>
          <w:p w14:paraId="200E94A0" w14:textId="77777777" w:rsidR="001126C6" w:rsidRPr="00A15D6F" w:rsidRDefault="001126C6" w:rsidP="00E80188">
            <w:pPr>
              <w:spacing w:after="0"/>
              <w:jc w:val="both"/>
              <w:rPr>
                <w:rFonts w:ascii="Calibri" w:hAnsi="Calibri" w:cs="Calibri"/>
                <w:color w:val="808080" w:themeColor="background1" w:themeShade="80"/>
                <w:sz w:val="20"/>
                <w:szCs w:val="20"/>
                <w:highlight w:val="yellow"/>
              </w:rPr>
            </w:pPr>
            <w:r w:rsidRPr="00A15D6F">
              <w:rPr>
                <w:rFonts w:ascii="Calibri" w:hAnsi="Calibri" w:cs="Calibri"/>
                <w:color w:val="808080" w:themeColor="background1" w:themeShade="80"/>
                <w:sz w:val="20"/>
                <w:szCs w:val="20"/>
              </w:rPr>
              <w:t>One more holding objection compared to Q1 (increase from 4.79% to 6.21%). Roll out of the Shared Rural Network telecom mast development programme was responsible for 4/10 holding objections.</w:t>
            </w:r>
          </w:p>
        </w:tc>
        <w:tc>
          <w:tcPr>
            <w:tcW w:w="3969" w:type="dxa"/>
            <w:tcBorders>
              <w:bottom w:val="single" w:sz="4" w:space="0" w:color="548DD4" w:themeColor="text2" w:themeTint="99"/>
            </w:tcBorders>
            <w:vAlign w:val="center"/>
          </w:tcPr>
          <w:p w14:paraId="6A6890FE" w14:textId="77777777" w:rsidR="001126C6" w:rsidRPr="00A15D6F" w:rsidRDefault="001126C6" w:rsidP="00E80188">
            <w:pPr>
              <w:spacing w:after="0"/>
              <w:jc w:val="both"/>
              <w:rPr>
                <w:rFonts w:ascii="Calibri" w:hAnsi="Calibri" w:cs="Calibri"/>
                <w:color w:val="808080" w:themeColor="background1" w:themeShade="80"/>
                <w:sz w:val="20"/>
                <w:szCs w:val="20"/>
                <w:highlight w:val="yellow"/>
              </w:rPr>
            </w:pPr>
            <w:r w:rsidRPr="00A15D6F">
              <w:rPr>
                <w:rFonts w:ascii="Calibri" w:hAnsi="Calibri" w:cs="Calibri"/>
                <w:color w:val="808080" w:themeColor="background1" w:themeShade="80"/>
                <w:sz w:val="20"/>
                <w:szCs w:val="20"/>
              </w:rPr>
              <w:t>We have been reinforcing messages re. information/assessment requirements for planning submissions, including further standing advice re. landscape assessment.</w:t>
            </w:r>
          </w:p>
        </w:tc>
      </w:tr>
    </w:tbl>
    <w:p w14:paraId="6EEFCAA6" w14:textId="07A22E97" w:rsidR="008D20BE" w:rsidRPr="00055E59" w:rsidRDefault="008D20BE" w:rsidP="008D20BE">
      <w:pPr>
        <w:pStyle w:val="Heading2"/>
        <w:shd w:val="clear" w:color="auto" w:fill="007DC3"/>
        <w:jc w:val="center"/>
        <w:rPr>
          <w:rFonts w:ascii="Calibri" w:hAnsi="Calibri" w:cs="Calibri"/>
        </w:rPr>
      </w:pPr>
      <w:r w:rsidRPr="00055E59">
        <w:rPr>
          <w:rFonts w:ascii="Calibri" w:hAnsi="Calibri" w:cs="Calibri"/>
        </w:rPr>
        <w:lastRenderedPageBreak/>
        <w:t>WE HAVE PROTECTED NATURE</w:t>
      </w:r>
    </w:p>
    <w:tbl>
      <w:tblPr>
        <w:tblW w:w="14606" w:type="dxa"/>
        <w:jc w:val="center"/>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2268"/>
        <w:gridCol w:w="3119"/>
        <w:gridCol w:w="992"/>
        <w:gridCol w:w="3827"/>
        <w:gridCol w:w="4400"/>
      </w:tblGrid>
      <w:tr w:rsidR="004914EA" w:rsidRPr="001428C1" w14:paraId="2D15FDE9" w14:textId="77777777" w:rsidTr="000C0C63">
        <w:trPr>
          <w:tblHeader/>
          <w:jc w:val="center"/>
        </w:trPr>
        <w:tc>
          <w:tcPr>
            <w:tcW w:w="2268" w:type="dxa"/>
            <w:tcBorders>
              <w:bottom w:val="single" w:sz="4" w:space="0" w:color="548DD4" w:themeColor="text2" w:themeTint="99"/>
            </w:tcBorders>
          </w:tcPr>
          <w:p w14:paraId="6DF4F948" w14:textId="77777777" w:rsidR="004914EA" w:rsidRPr="00055E59" w:rsidRDefault="004914EA" w:rsidP="003753A7">
            <w:pPr>
              <w:spacing w:after="0"/>
              <w:jc w:val="center"/>
              <w:rPr>
                <w:rFonts w:ascii="Calibri" w:hAnsi="Calibri" w:cs="Calibri"/>
                <w:b/>
              </w:rPr>
            </w:pPr>
            <w:r w:rsidRPr="00055E59">
              <w:rPr>
                <w:rFonts w:ascii="Calibri" w:hAnsi="Calibri" w:cs="Calibri"/>
                <w:b/>
              </w:rPr>
              <w:t>Measure</w:t>
            </w:r>
          </w:p>
        </w:tc>
        <w:tc>
          <w:tcPr>
            <w:tcW w:w="3119" w:type="dxa"/>
            <w:tcBorders>
              <w:bottom w:val="single" w:sz="4" w:space="0" w:color="548DD4" w:themeColor="text2" w:themeTint="99"/>
            </w:tcBorders>
          </w:tcPr>
          <w:p w14:paraId="6A0C2C1A" w14:textId="77777777" w:rsidR="004914EA" w:rsidRPr="00055E59" w:rsidRDefault="004914EA" w:rsidP="003753A7">
            <w:pPr>
              <w:spacing w:after="0"/>
              <w:jc w:val="center"/>
              <w:rPr>
                <w:rFonts w:ascii="Calibri" w:hAnsi="Calibri" w:cs="Calibri"/>
                <w:b/>
              </w:rPr>
            </w:pPr>
            <w:r w:rsidRPr="00055E59">
              <w:rPr>
                <w:rFonts w:ascii="Calibri" w:hAnsi="Calibri" w:cs="Calibri"/>
                <w:b/>
              </w:rPr>
              <w:t>Performance Overview</w:t>
            </w:r>
          </w:p>
        </w:tc>
        <w:tc>
          <w:tcPr>
            <w:tcW w:w="992" w:type="dxa"/>
            <w:tcBorders>
              <w:bottom w:val="single" w:sz="4" w:space="0" w:color="548DD4" w:themeColor="text2" w:themeTint="99"/>
            </w:tcBorders>
          </w:tcPr>
          <w:p w14:paraId="7004CDB7" w14:textId="77777777" w:rsidR="004914EA" w:rsidRPr="00055E59" w:rsidRDefault="004914EA" w:rsidP="003753A7">
            <w:pPr>
              <w:spacing w:after="0"/>
              <w:jc w:val="center"/>
              <w:rPr>
                <w:rFonts w:ascii="Calibri" w:hAnsi="Calibri" w:cs="Calibri"/>
                <w:b/>
              </w:rPr>
            </w:pPr>
            <w:r w:rsidRPr="00055E59">
              <w:rPr>
                <w:rFonts w:ascii="Calibri" w:hAnsi="Calibri" w:cs="Calibri"/>
                <w:b/>
              </w:rPr>
              <w:t>Actual</w:t>
            </w:r>
          </w:p>
        </w:tc>
        <w:tc>
          <w:tcPr>
            <w:tcW w:w="3827" w:type="dxa"/>
            <w:tcBorders>
              <w:bottom w:val="single" w:sz="4" w:space="0" w:color="548DD4" w:themeColor="text2" w:themeTint="99"/>
            </w:tcBorders>
          </w:tcPr>
          <w:p w14:paraId="0354D162" w14:textId="77777777" w:rsidR="004914EA" w:rsidRPr="00055E59" w:rsidRDefault="004914EA" w:rsidP="004F3330">
            <w:pPr>
              <w:spacing w:after="0"/>
              <w:jc w:val="center"/>
              <w:rPr>
                <w:rFonts w:ascii="Calibri" w:hAnsi="Calibri" w:cs="Calibri"/>
                <w:b/>
              </w:rPr>
            </w:pPr>
            <w:r w:rsidRPr="00055E59">
              <w:rPr>
                <w:rFonts w:ascii="Calibri" w:hAnsi="Calibri" w:cs="Calibri"/>
                <w:b/>
              </w:rPr>
              <w:t>Cause</w:t>
            </w:r>
          </w:p>
        </w:tc>
        <w:tc>
          <w:tcPr>
            <w:tcW w:w="4400" w:type="dxa"/>
            <w:tcBorders>
              <w:bottom w:val="single" w:sz="4" w:space="0" w:color="548DD4" w:themeColor="text2" w:themeTint="99"/>
            </w:tcBorders>
          </w:tcPr>
          <w:p w14:paraId="67F13F4B" w14:textId="77777777" w:rsidR="004914EA" w:rsidRPr="00055E59" w:rsidRDefault="004914EA" w:rsidP="004F3330">
            <w:pPr>
              <w:spacing w:after="0"/>
              <w:jc w:val="center"/>
              <w:rPr>
                <w:rFonts w:ascii="Calibri" w:hAnsi="Calibri" w:cs="Calibri"/>
                <w:b/>
              </w:rPr>
            </w:pPr>
            <w:r w:rsidRPr="00055E59">
              <w:rPr>
                <w:rFonts w:ascii="Calibri" w:hAnsi="Calibri" w:cs="Calibri"/>
                <w:b/>
              </w:rPr>
              <w:t>Response</w:t>
            </w:r>
          </w:p>
        </w:tc>
      </w:tr>
      <w:tr w:rsidR="004914EA" w:rsidRPr="0072052F" w14:paraId="68CE47DF" w14:textId="77777777" w:rsidTr="00E34596">
        <w:trPr>
          <w:trHeight w:hRule="exact" w:val="1628"/>
          <w:jc w:val="center"/>
        </w:trPr>
        <w:tc>
          <w:tcPr>
            <w:tcW w:w="2268" w:type="dxa"/>
            <w:tcBorders>
              <w:top w:val="single" w:sz="4" w:space="0" w:color="548DD4" w:themeColor="text2" w:themeTint="99"/>
              <w:bottom w:val="single" w:sz="4" w:space="0" w:color="548DD4" w:themeColor="text2" w:themeTint="99"/>
            </w:tcBorders>
            <w:vAlign w:val="center"/>
          </w:tcPr>
          <w:p w14:paraId="759BB6DD" w14:textId="565C4FFB" w:rsidR="004914EA" w:rsidRPr="00E34596" w:rsidRDefault="00000000" w:rsidP="003753A7">
            <w:pPr>
              <w:spacing w:after="0"/>
              <w:jc w:val="center"/>
              <w:rPr>
                <w:rFonts w:ascii="Calibri" w:hAnsi="Calibri" w:cs="Calibri"/>
                <w:b/>
                <w:iCs/>
                <w:color w:val="808080" w:themeColor="background1" w:themeShade="80"/>
                <w:sz w:val="20"/>
                <w:szCs w:val="20"/>
              </w:rPr>
            </w:pPr>
            <w:hyperlink r:id="rId23" w:history="1">
              <w:r w:rsidR="004914EA" w:rsidRPr="00E34596">
                <w:rPr>
                  <w:rStyle w:val="Hyperlink"/>
                  <w:rFonts w:ascii="Calibri" w:hAnsi="Calibri" w:cs="Calibri"/>
                  <w:b/>
                  <w:iCs/>
                  <w:color w:val="808080" w:themeColor="background1" w:themeShade="80"/>
                  <w:sz w:val="20"/>
                  <w:szCs w:val="20"/>
                </w:rPr>
                <w:t>No. of individual farm businesses that have completed a biodiversity audit</w:t>
              </w:r>
            </w:hyperlink>
          </w:p>
        </w:tc>
        <w:tc>
          <w:tcPr>
            <w:tcW w:w="3119" w:type="dxa"/>
            <w:tcBorders>
              <w:top w:val="single" w:sz="4" w:space="0" w:color="548DD4" w:themeColor="text2" w:themeTint="99"/>
              <w:bottom w:val="single" w:sz="4" w:space="0" w:color="548DD4" w:themeColor="text2" w:themeTint="99"/>
            </w:tcBorders>
            <w:vAlign w:val="center"/>
          </w:tcPr>
          <w:p w14:paraId="71C344CD" w14:textId="77777777" w:rsidR="004914EA" w:rsidRPr="00E34596" w:rsidRDefault="004914EA" w:rsidP="003753A7">
            <w:pPr>
              <w:spacing w:after="0"/>
              <w:jc w:val="center"/>
              <w:rPr>
                <w:rFonts w:ascii="Calibri" w:hAnsi="Calibri" w:cs="Calibri"/>
                <w:b/>
                <w:color w:val="808080" w:themeColor="background1" w:themeShade="80"/>
                <w:sz w:val="20"/>
                <w:szCs w:val="20"/>
              </w:rPr>
            </w:pPr>
            <w:r w:rsidRPr="00E34596">
              <w:rPr>
                <w:rFonts w:ascii="Calibri" w:hAnsi="Calibri" w:cs="Calibri"/>
                <w:b/>
                <w:color w:val="808080" w:themeColor="background1" w:themeShade="80"/>
                <w:sz w:val="20"/>
                <w:szCs w:val="20"/>
              </w:rPr>
              <w:t>No Graph Yet</w:t>
            </w:r>
          </w:p>
        </w:tc>
        <w:tc>
          <w:tcPr>
            <w:tcW w:w="992" w:type="dxa"/>
            <w:tcBorders>
              <w:top w:val="single" w:sz="4" w:space="0" w:color="548DD4" w:themeColor="text2" w:themeTint="99"/>
              <w:bottom w:val="single" w:sz="4" w:space="0" w:color="548DD4" w:themeColor="text2" w:themeTint="99"/>
            </w:tcBorders>
            <w:vAlign w:val="center"/>
          </w:tcPr>
          <w:p w14:paraId="6B336AE0" w14:textId="11A5E931" w:rsidR="004914EA" w:rsidRPr="00E34596" w:rsidRDefault="004914EA" w:rsidP="003753A7">
            <w:pPr>
              <w:spacing w:after="0"/>
              <w:jc w:val="center"/>
              <w:rPr>
                <w:rFonts w:ascii="Calibri" w:hAnsi="Calibri" w:cs="Calibri"/>
                <w:color w:val="808080" w:themeColor="background1" w:themeShade="80"/>
                <w:sz w:val="20"/>
                <w:szCs w:val="20"/>
              </w:rPr>
            </w:pPr>
            <w:r w:rsidRPr="00E34596">
              <w:rPr>
                <w:rFonts w:ascii="Calibri" w:hAnsi="Calibri" w:cs="Calibri"/>
                <w:color w:val="808080" w:themeColor="background1" w:themeShade="80"/>
                <w:sz w:val="20"/>
                <w:szCs w:val="20"/>
              </w:rPr>
              <w:t>67</w:t>
            </w:r>
          </w:p>
        </w:tc>
        <w:tc>
          <w:tcPr>
            <w:tcW w:w="3827" w:type="dxa"/>
            <w:tcBorders>
              <w:top w:val="single" w:sz="4" w:space="0" w:color="548DD4" w:themeColor="text2" w:themeTint="99"/>
              <w:bottom w:val="single" w:sz="4" w:space="0" w:color="548DD4" w:themeColor="text2" w:themeTint="99"/>
            </w:tcBorders>
            <w:vAlign w:val="center"/>
          </w:tcPr>
          <w:p w14:paraId="2E97FDB3" w14:textId="31686BA0" w:rsidR="004914EA" w:rsidRPr="00E34596" w:rsidRDefault="004914EA" w:rsidP="004F3330">
            <w:pPr>
              <w:spacing w:after="0"/>
              <w:jc w:val="both"/>
              <w:rPr>
                <w:rFonts w:ascii="Calibri" w:hAnsi="Calibri" w:cs="Calibri"/>
                <w:color w:val="808080" w:themeColor="background1" w:themeShade="80"/>
                <w:sz w:val="20"/>
                <w:szCs w:val="20"/>
              </w:rPr>
            </w:pPr>
            <w:r w:rsidRPr="00E34596">
              <w:rPr>
                <w:rFonts w:ascii="Calibri" w:hAnsi="Calibri" w:cs="Calibri"/>
                <w:color w:val="808080" w:themeColor="background1" w:themeShade="80"/>
                <w:sz w:val="20"/>
                <w:szCs w:val="20"/>
              </w:rPr>
              <w:t xml:space="preserve">58 land managers have now accepted a NatureScot Management Agreement and another 9 are engaging with Biodiversity Audit testing.  </w:t>
            </w:r>
          </w:p>
        </w:tc>
        <w:tc>
          <w:tcPr>
            <w:tcW w:w="4400" w:type="dxa"/>
            <w:tcBorders>
              <w:top w:val="single" w:sz="4" w:space="0" w:color="548DD4" w:themeColor="text2" w:themeTint="99"/>
              <w:bottom w:val="single" w:sz="4" w:space="0" w:color="548DD4" w:themeColor="text2" w:themeTint="99"/>
            </w:tcBorders>
            <w:vAlign w:val="center"/>
          </w:tcPr>
          <w:p w14:paraId="17EC8C47" w14:textId="7A2BDE0A" w:rsidR="004914EA" w:rsidRPr="00E34596" w:rsidRDefault="00E34596" w:rsidP="004F3330">
            <w:pPr>
              <w:spacing w:after="0"/>
              <w:jc w:val="both"/>
              <w:rPr>
                <w:rFonts w:ascii="Calibri" w:hAnsi="Calibri" w:cs="Calibri"/>
                <w:color w:val="808080" w:themeColor="background1" w:themeShade="80"/>
                <w:sz w:val="20"/>
                <w:szCs w:val="20"/>
              </w:rPr>
            </w:pPr>
            <w:r w:rsidRPr="00E34596">
              <w:rPr>
                <w:rFonts w:ascii="Calibri" w:hAnsi="Calibri" w:cs="Calibri"/>
                <w:color w:val="808080" w:themeColor="background1" w:themeShade="80"/>
                <w:sz w:val="20"/>
                <w:szCs w:val="20"/>
              </w:rPr>
              <w:t>67 Land Managers are directly testing the NatureScot biodiversity audit process either through a NatureScot Management Agreement or as part of partnership stakeholder working.   The aim will be to create whole Biodiversity Audits on each of these farms.</w:t>
            </w:r>
          </w:p>
        </w:tc>
      </w:tr>
      <w:tr w:rsidR="00A15D6F" w:rsidRPr="00A15D6F" w14:paraId="6975E74A" w14:textId="77777777" w:rsidTr="000C0C63">
        <w:trPr>
          <w:trHeight w:hRule="exact" w:val="1416"/>
          <w:jc w:val="center"/>
        </w:trPr>
        <w:tc>
          <w:tcPr>
            <w:tcW w:w="2268" w:type="dxa"/>
            <w:tcBorders>
              <w:top w:val="single" w:sz="4" w:space="0" w:color="548DD4" w:themeColor="text2" w:themeTint="99"/>
              <w:bottom w:val="single" w:sz="4" w:space="0" w:color="548DD4" w:themeColor="text2" w:themeTint="99"/>
            </w:tcBorders>
            <w:vAlign w:val="center"/>
          </w:tcPr>
          <w:p w14:paraId="6AB37EFB" w14:textId="71651CF8" w:rsidR="004914EA" w:rsidRPr="00A15D6F" w:rsidRDefault="00000000" w:rsidP="003753A7">
            <w:pPr>
              <w:spacing w:after="0"/>
              <w:jc w:val="center"/>
              <w:rPr>
                <w:rFonts w:ascii="Calibri" w:hAnsi="Calibri" w:cs="Calibri"/>
                <w:b/>
                <w:iCs/>
                <w:color w:val="808080" w:themeColor="background1" w:themeShade="80"/>
                <w:sz w:val="20"/>
                <w:szCs w:val="20"/>
              </w:rPr>
            </w:pPr>
            <w:hyperlink r:id="rId24" w:history="1">
              <w:r w:rsidR="004914EA" w:rsidRPr="00A15D6F">
                <w:rPr>
                  <w:rStyle w:val="Hyperlink"/>
                  <w:rFonts w:ascii="Calibri" w:hAnsi="Calibri" w:cs="Calibri"/>
                  <w:b/>
                  <w:iCs/>
                  <w:color w:val="808080" w:themeColor="background1" w:themeShade="80"/>
                  <w:sz w:val="20"/>
                  <w:szCs w:val="20"/>
                </w:rPr>
                <w:t>No. of marine renewable energy consultations we provide advice on avoiding impacts on nature</w:t>
              </w:r>
            </w:hyperlink>
          </w:p>
        </w:tc>
        <w:tc>
          <w:tcPr>
            <w:tcW w:w="3119" w:type="dxa"/>
            <w:tcBorders>
              <w:top w:val="single" w:sz="4" w:space="0" w:color="548DD4" w:themeColor="text2" w:themeTint="99"/>
              <w:bottom w:val="single" w:sz="4" w:space="0" w:color="548DD4" w:themeColor="text2" w:themeTint="99"/>
            </w:tcBorders>
            <w:vAlign w:val="center"/>
          </w:tcPr>
          <w:p w14:paraId="031B4BB6" w14:textId="02A6CD63" w:rsidR="004914EA" w:rsidRPr="00A15D6F" w:rsidRDefault="00F9525D" w:rsidP="003753A7">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70F35D99" wp14:editId="51D74C2B">
                  <wp:extent cx="1804670" cy="621665"/>
                  <wp:effectExtent l="0" t="0" r="5080" b="6985"/>
                  <wp:docPr id="802744908" name="Picture 1" descr="In Q2 there were 126 consultations on marine renewable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44908" name="Picture 1" descr="In Q2 there were 126 consultations on marine renewable energ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4670" cy="621665"/>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9344781" w14:textId="60773379" w:rsidR="004914EA" w:rsidRPr="00A15D6F" w:rsidRDefault="004914EA" w:rsidP="003753A7">
            <w:pPr>
              <w:spacing w:after="0"/>
              <w:jc w:val="center"/>
              <w:rPr>
                <w:rFonts w:ascii="Calibri" w:hAnsi="Calibri" w:cs="Calibri"/>
                <w:color w:val="808080" w:themeColor="background1" w:themeShade="80"/>
                <w:sz w:val="20"/>
                <w:szCs w:val="20"/>
              </w:rPr>
            </w:pPr>
            <w:r w:rsidRPr="00A15D6F">
              <w:rPr>
                <w:rFonts w:ascii="Calibri" w:hAnsi="Calibri" w:cs="Calibri"/>
                <w:color w:val="808080" w:themeColor="background1" w:themeShade="80"/>
                <w:sz w:val="20"/>
                <w:szCs w:val="20"/>
              </w:rPr>
              <w:t>126</w:t>
            </w:r>
          </w:p>
        </w:tc>
        <w:tc>
          <w:tcPr>
            <w:tcW w:w="3827" w:type="dxa"/>
            <w:tcBorders>
              <w:top w:val="single" w:sz="4" w:space="0" w:color="548DD4" w:themeColor="text2" w:themeTint="99"/>
              <w:bottom w:val="single" w:sz="4" w:space="0" w:color="548DD4" w:themeColor="text2" w:themeTint="99"/>
            </w:tcBorders>
            <w:vAlign w:val="center"/>
          </w:tcPr>
          <w:p w14:paraId="75A7F727" w14:textId="5B507CC1" w:rsidR="004914EA" w:rsidRPr="00A15D6F" w:rsidRDefault="004914EA" w:rsidP="004F3330">
            <w:pPr>
              <w:spacing w:after="0"/>
              <w:jc w:val="both"/>
              <w:rPr>
                <w:rFonts w:ascii="Calibri" w:hAnsi="Calibri" w:cs="Calibri"/>
                <w:color w:val="808080" w:themeColor="background1" w:themeShade="80"/>
                <w:sz w:val="20"/>
                <w:szCs w:val="20"/>
                <w:highlight w:val="yellow"/>
              </w:rPr>
            </w:pPr>
            <w:r w:rsidRPr="00A15D6F">
              <w:rPr>
                <w:rFonts w:ascii="Calibri" w:hAnsi="Calibri" w:cs="Calibri"/>
                <w:color w:val="808080" w:themeColor="background1" w:themeShade="80"/>
                <w:sz w:val="20"/>
                <w:szCs w:val="20"/>
              </w:rPr>
              <w:t xml:space="preserve">Consultations to note: Berwick Bank additional information, scoping for Sound of Islay tidal development, scoping advice for two </w:t>
            </w:r>
            <w:proofErr w:type="spellStart"/>
            <w:r w:rsidRPr="00A15D6F">
              <w:rPr>
                <w:rFonts w:ascii="Calibri" w:hAnsi="Calibri" w:cs="Calibri"/>
                <w:color w:val="808080" w:themeColor="background1" w:themeShade="80"/>
                <w:sz w:val="20"/>
                <w:szCs w:val="20"/>
              </w:rPr>
              <w:t>ScotWind</w:t>
            </w:r>
            <w:proofErr w:type="spellEnd"/>
            <w:r w:rsidRPr="00A15D6F">
              <w:rPr>
                <w:rFonts w:ascii="Calibri" w:hAnsi="Calibri" w:cs="Calibri"/>
                <w:color w:val="808080" w:themeColor="background1" w:themeShade="80"/>
                <w:sz w:val="20"/>
                <w:szCs w:val="20"/>
              </w:rPr>
              <w:t xml:space="preserve"> developments and 1 cable marine licence (</w:t>
            </w:r>
            <w:proofErr w:type="spellStart"/>
            <w:r w:rsidRPr="00A15D6F">
              <w:rPr>
                <w:rFonts w:ascii="Calibri" w:hAnsi="Calibri" w:cs="Calibri"/>
                <w:color w:val="808080" w:themeColor="background1" w:themeShade="80"/>
                <w:sz w:val="20"/>
                <w:szCs w:val="20"/>
              </w:rPr>
              <w:t>Cambois</w:t>
            </w:r>
            <w:proofErr w:type="spellEnd"/>
            <w:r w:rsidRPr="00A15D6F">
              <w:rPr>
                <w:rFonts w:ascii="Calibri" w:hAnsi="Calibri" w:cs="Calibri"/>
                <w:color w:val="808080" w:themeColor="background1" w:themeShade="80"/>
                <w:sz w:val="20"/>
                <w:szCs w:val="20"/>
              </w:rPr>
              <w:t>) issued.</w:t>
            </w:r>
          </w:p>
        </w:tc>
        <w:tc>
          <w:tcPr>
            <w:tcW w:w="4400" w:type="dxa"/>
            <w:tcBorders>
              <w:top w:val="single" w:sz="4" w:space="0" w:color="548DD4" w:themeColor="text2" w:themeTint="99"/>
              <w:bottom w:val="single" w:sz="4" w:space="0" w:color="548DD4" w:themeColor="text2" w:themeTint="99"/>
            </w:tcBorders>
            <w:vAlign w:val="center"/>
          </w:tcPr>
          <w:p w14:paraId="47C19B76" w14:textId="13D9C368" w:rsidR="004914EA" w:rsidRPr="00A15D6F" w:rsidRDefault="004A7104" w:rsidP="004F3330">
            <w:pPr>
              <w:spacing w:after="0"/>
              <w:jc w:val="both"/>
              <w:rPr>
                <w:rFonts w:ascii="Calibri" w:hAnsi="Calibri" w:cs="Calibri"/>
                <w:color w:val="808080" w:themeColor="background1" w:themeShade="80"/>
                <w:sz w:val="20"/>
                <w:szCs w:val="20"/>
                <w:highlight w:val="yellow"/>
              </w:rPr>
            </w:pPr>
            <w:r>
              <w:rPr>
                <w:rFonts w:ascii="Calibri" w:hAnsi="Calibri" w:cs="Calibri"/>
                <w:color w:val="808080" w:themeColor="background1" w:themeShade="80"/>
                <w:sz w:val="20"/>
                <w:szCs w:val="20"/>
              </w:rPr>
              <w:t xml:space="preserve">Of the 126 consultations, 114 were on wind, 10 on tidal and 2 on wave. </w:t>
            </w:r>
          </w:p>
        </w:tc>
      </w:tr>
      <w:tr w:rsidR="00A15D6F" w:rsidRPr="00A15D6F" w14:paraId="327CCC74" w14:textId="77777777" w:rsidTr="00B20645">
        <w:trPr>
          <w:trHeight w:hRule="exact" w:val="1275"/>
          <w:jc w:val="center"/>
        </w:trPr>
        <w:tc>
          <w:tcPr>
            <w:tcW w:w="2268" w:type="dxa"/>
            <w:tcBorders>
              <w:top w:val="single" w:sz="4" w:space="0" w:color="548DD4" w:themeColor="text2" w:themeTint="99"/>
              <w:bottom w:val="single" w:sz="4" w:space="0" w:color="548DD4" w:themeColor="text2" w:themeTint="99"/>
            </w:tcBorders>
            <w:vAlign w:val="center"/>
          </w:tcPr>
          <w:p w14:paraId="1BEE0319" w14:textId="2B99A748" w:rsidR="004914EA" w:rsidRPr="00A15D6F" w:rsidRDefault="00000000" w:rsidP="003753A7">
            <w:pPr>
              <w:spacing w:after="0"/>
              <w:jc w:val="center"/>
              <w:rPr>
                <w:rFonts w:ascii="Calibri" w:hAnsi="Calibri" w:cs="Calibri"/>
                <w:b/>
                <w:iCs/>
                <w:color w:val="808080" w:themeColor="background1" w:themeShade="80"/>
                <w:sz w:val="20"/>
                <w:szCs w:val="20"/>
                <w:highlight w:val="yellow"/>
              </w:rPr>
            </w:pPr>
            <w:hyperlink r:id="rId26" w:history="1">
              <w:r w:rsidR="004914EA" w:rsidRPr="00A15D6F">
                <w:rPr>
                  <w:rStyle w:val="Hyperlink"/>
                  <w:rFonts w:ascii="Calibri" w:hAnsi="Calibri" w:cs="Calibri"/>
                  <w:b/>
                  <w:iCs/>
                  <w:color w:val="808080" w:themeColor="background1" w:themeShade="80"/>
                  <w:sz w:val="20"/>
                  <w:szCs w:val="20"/>
                </w:rPr>
                <w:t xml:space="preserve">NatureScot is in partnership with new </w:t>
              </w:r>
            </w:hyperlink>
            <w:r w:rsidR="00B20645">
              <w:rPr>
                <w:rStyle w:val="Hyperlink"/>
                <w:rFonts w:ascii="Calibri" w:hAnsi="Calibri" w:cs="Calibri"/>
                <w:b/>
                <w:iCs/>
                <w:color w:val="808080" w:themeColor="background1" w:themeShade="80"/>
                <w:sz w:val="20"/>
                <w:szCs w:val="20"/>
              </w:rPr>
              <w:t>recipients</w:t>
            </w:r>
          </w:p>
        </w:tc>
        <w:tc>
          <w:tcPr>
            <w:tcW w:w="3119" w:type="dxa"/>
            <w:tcBorders>
              <w:top w:val="single" w:sz="4" w:space="0" w:color="548DD4" w:themeColor="text2" w:themeTint="99"/>
              <w:bottom w:val="single" w:sz="4" w:space="0" w:color="548DD4" w:themeColor="text2" w:themeTint="99"/>
            </w:tcBorders>
            <w:vAlign w:val="center"/>
          </w:tcPr>
          <w:p w14:paraId="14F99147" w14:textId="7C25E0E4" w:rsidR="004914EA" w:rsidRPr="00A15D6F" w:rsidRDefault="00F75FDF" w:rsidP="003753A7">
            <w:pPr>
              <w:spacing w:after="0"/>
              <w:jc w:val="center"/>
              <w:rPr>
                <w:rFonts w:ascii="Calibri" w:hAnsi="Calibri" w:cs="Calibri"/>
                <w:b/>
                <w:color w:val="808080" w:themeColor="background1" w:themeShade="80"/>
                <w:sz w:val="20"/>
                <w:szCs w:val="20"/>
                <w:highlight w:val="yellow"/>
              </w:rPr>
            </w:pPr>
            <w:r w:rsidRPr="00A15D6F">
              <w:rPr>
                <w:rFonts w:ascii="Calibri" w:hAnsi="Calibri" w:cs="Calibri"/>
                <w:b/>
                <w:color w:val="808080" w:themeColor="background1" w:themeShade="80"/>
                <w:sz w:val="20"/>
                <w:szCs w:val="20"/>
              </w:rPr>
              <w:t>No Graph Yet</w:t>
            </w:r>
          </w:p>
        </w:tc>
        <w:tc>
          <w:tcPr>
            <w:tcW w:w="992" w:type="dxa"/>
            <w:tcBorders>
              <w:top w:val="single" w:sz="4" w:space="0" w:color="548DD4" w:themeColor="text2" w:themeTint="99"/>
              <w:bottom w:val="single" w:sz="4" w:space="0" w:color="548DD4" w:themeColor="text2" w:themeTint="99"/>
            </w:tcBorders>
            <w:vAlign w:val="center"/>
          </w:tcPr>
          <w:p w14:paraId="4547174D" w14:textId="40D53869" w:rsidR="004914EA" w:rsidRPr="00A15D6F" w:rsidRDefault="00F75FDF" w:rsidP="003753A7">
            <w:pPr>
              <w:spacing w:after="0"/>
              <w:jc w:val="center"/>
              <w:rPr>
                <w:rFonts w:ascii="Calibri" w:hAnsi="Calibri" w:cs="Calibri"/>
                <w:color w:val="808080" w:themeColor="background1" w:themeShade="80"/>
                <w:sz w:val="20"/>
                <w:szCs w:val="20"/>
                <w:highlight w:val="yellow"/>
              </w:rPr>
            </w:pPr>
            <w:r w:rsidRPr="00A15D6F">
              <w:rPr>
                <w:rFonts w:ascii="Calibri" w:hAnsi="Calibri" w:cs="Calibri"/>
                <w:color w:val="808080" w:themeColor="background1" w:themeShade="80"/>
                <w:sz w:val="20"/>
                <w:szCs w:val="20"/>
              </w:rPr>
              <w:t>0</w:t>
            </w:r>
          </w:p>
        </w:tc>
        <w:tc>
          <w:tcPr>
            <w:tcW w:w="3827" w:type="dxa"/>
            <w:tcBorders>
              <w:top w:val="single" w:sz="4" w:space="0" w:color="548DD4" w:themeColor="text2" w:themeTint="99"/>
              <w:bottom w:val="single" w:sz="4" w:space="0" w:color="548DD4" w:themeColor="text2" w:themeTint="99"/>
            </w:tcBorders>
            <w:vAlign w:val="center"/>
          </w:tcPr>
          <w:p w14:paraId="5355BBE3" w14:textId="7F4FD021" w:rsidR="004914EA" w:rsidRPr="004E3E96" w:rsidRDefault="004E3E96" w:rsidP="004F3330">
            <w:pPr>
              <w:spacing w:after="0"/>
              <w:jc w:val="both"/>
              <w:rPr>
                <w:rFonts w:ascii="Calibri" w:hAnsi="Calibri" w:cs="Calibri"/>
                <w:color w:val="808080" w:themeColor="background1" w:themeShade="80"/>
                <w:sz w:val="20"/>
                <w:szCs w:val="20"/>
              </w:rPr>
            </w:pPr>
            <w:r w:rsidRPr="004E3E96">
              <w:rPr>
                <w:rFonts w:ascii="Calibri" w:hAnsi="Calibri" w:cs="Calibri"/>
                <w:color w:val="808080" w:themeColor="background1" w:themeShade="80"/>
                <w:sz w:val="20"/>
                <w:szCs w:val="20"/>
              </w:rPr>
              <w:t>Only funding round open this quarter was for existing Transforming Nature Development phase recipients</w:t>
            </w:r>
            <w:r w:rsidR="00B20645">
              <w:rPr>
                <w:rFonts w:ascii="Calibri" w:hAnsi="Calibri" w:cs="Calibri"/>
                <w:color w:val="808080" w:themeColor="background1" w:themeShade="80"/>
                <w:sz w:val="20"/>
                <w:szCs w:val="20"/>
              </w:rPr>
              <w:t>. In Q1 there were 22 new recipients for the Helping Nature stream.</w:t>
            </w:r>
          </w:p>
        </w:tc>
        <w:tc>
          <w:tcPr>
            <w:tcW w:w="4400" w:type="dxa"/>
            <w:tcBorders>
              <w:top w:val="single" w:sz="4" w:space="0" w:color="548DD4" w:themeColor="text2" w:themeTint="99"/>
              <w:bottom w:val="single" w:sz="4" w:space="0" w:color="548DD4" w:themeColor="text2" w:themeTint="99"/>
            </w:tcBorders>
            <w:vAlign w:val="center"/>
          </w:tcPr>
          <w:p w14:paraId="1B15E848" w14:textId="43F7F03E" w:rsidR="004914EA" w:rsidRPr="00A15D6F" w:rsidRDefault="004E3E96" w:rsidP="004F3330">
            <w:pPr>
              <w:spacing w:after="0"/>
              <w:jc w:val="both"/>
              <w:rPr>
                <w:rFonts w:ascii="Calibri" w:hAnsi="Calibri" w:cs="Calibri"/>
                <w:color w:val="808080" w:themeColor="background1" w:themeShade="80"/>
                <w:sz w:val="20"/>
                <w:szCs w:val="20"/>
              </w:rPr>
            </w:pPr>
            <w:r w:rsidRPr="004E3E96">
              <w:rPr>
                <w:rFonts w:ascii="Calibri" w:hAnsi="Calibri" w:cs="Calibri"/>
                <w:color w:val="808080" w:themeColor="background1" w:themeShade="80"/>
                <w:sz w:val="20"/>
                <w:szCs w:val="20"/>
              </w:rPr>
              <w:t>Next quarter gives us a better opportunity to gather more data regarding this measure including for applications coming in for NRF October deadline</w:t>
            </w:r>
          </w:p>
        </w:tc>
      </w:tr>
      <w:tr w:rsidR="004914EA" w:rsidRPr="00E54CA4" w14:paraId="4D48ADA1" w14:textId="77777777" w:rsidTr="004610B2">
        <w:trPr>
          <w:trHeight w:hRule="exact" w:val="1135"/>
          <w:jc w:val="center"/>
        </w:trPr>
        <w:tc>
          <w:tcPr>
            <w:tcW w:w="2268" w:type="dxa"/>
            <w:tcBorders>
              <w:top w:val="single" w:sz="4" w:space="0" w:color="548DD4" w:themeColor="text2" w:themeTint="99"/>
              <w:bottom w:val="single" w:sz="4" w:space="0" w:color="548DD4" w:themeColor="text2" w:themeTint="99"/>
            </w:tcBorders>
            <w:vAlign w:val="center"/>
          </w:tcPr>
          <w:p w14:paraId="6899F71E" w14:textId="5A83E444" w:rsidR="004914EA" w:rsidRPr="00E54CA4" w:rsidRDefault="00000000" w:rsidP="003753A7">
            <w:pPr>
              <w:spacing w:after="0"/>
              <w:jc w:val="center"/>
              <w:rPr>
                <w:rFonts w:ascii="Calibri" w:hAnsi="Calibri" w:cs="Calibri"/>
                <w:b/>
                <w:iCs/>
                <w:color w:val="808080" w:themeColor="background1" w:themeShade="80"/>
                <w:sz w:val="20"/>
                <w:szCs w:val="20"/>
              </w:rPr>
            </w:pPr>
            <w:hyperlink r:id="rId27" w:history="1">
              <w:r w:rsidR="004914EA" w:rsidRPr="00E54CA4">
                <w:rPr>
                  <w:rStyle w:val="Hyperlink"/>
                  <w:rFonts w:ascii="Calibri" w:hAnsi="Calibri" w:cs="Calibri"/>
                  <w:b/>
                  <w:iCs/>
                  <w:color w:val="808080" w:themeColor="background1" w:themeShade="80"/>
                  <w:sz w:val="20"/>
                  <w:szCs w:val="20"/>
                </w:rPr>
                <w:t>No. of hectares of natural habitat put on the road to recovery using private finance</w:t>
              </w:r>
            </w:hyperlink>
          </w:p>
        </w:tc>
        <w:tc>
          <w:tcPr>
            <w:tcW w:w="3119" w:type="dxa"/>
            <w:tcBorders>
              <w:top w:val="single" w:sz="4" w:space="0" w:color="548DD4" w:themeColor="text2" w:themeTint="99"/>
              <w:bottom w:val="single" w:sz="4" w:space="0" w:color="548DD4" w:themeColor="text2" w:themeTint="99"/>
            </w:tcBorders>
            <w:vAlign w:val="center"/>
          </w:tcPr>
          <w:p w14:paraId="75AA2A37" w14:textId="338EE152" w:rsidR="004914EA" w:rsidRPr="00E54CA4" w:rsidRDefault="004914EA" w:rsidP="003753A7">
            <w:pPr>
              <w:spacing w:after="0"/>
              <w:jc w:val="center"/>
              <w:rPr>
                <w:rFonts w:ascii="Calibri" w:hAnsi="Calibri" w:cs="Calibri"/>
                <w:b/>
                <w:color w:val="808080" w:themeColor="background1" w:themeShade="80"/>
                <w:sz w:val="20"/>
                <w:szCs w:val="20"/>
              </w:rPr>
            </w:pPr>
            <w:r w:rsidRPr="00E54CA4">
              <w:rPr>
                <w:rFonts w:ascii="Calibri" w:hAnsi="Calibri" w:cs="Calibri"/>
                <w:b/>
                <w:color w:val="808080" w:themeColor="background1" w:themeShade="80"/>
                <w:sz w:val="20"/>
                <w:szCs w:val="20"/>
              </w:rPr>
              <w:t>Not Ready to Report</w:t>
            </w:r>
          </w:p>
        </w:tc>
        <w:tc>
          <w:tcPr>
            <w:tcW w:w="992" w:type="dxa"/>
            <w:tcBorders>
              <w:top w:val="single" w:sz="4" w:space="0" w:color="548DD4" w:themeColor="text2" w:themeTint="99"/>
              <w:bottom w:val="single" w:sz="4" w:space="0" w:color="548DD4" w:themeColor="text2" w:themeTint="99"/>
            </w:tcBorders>
            <w:vAlign w:val="center"/>
          </w:tcPr>
          <w:p w14:paraId="1C226489" w14:textId="77777777" w:rsidR="004914EA" w:rsidRPr="00E54CA4" w:rsidRDefault="004914EA" w:rsidP="003753A7">
            <w:pPr>
              <w:spacing w:after="0"/>
              <w:jc w:val="center"/>
              <w:rPr>
                <w:rFonts w:ascii="Calibri" w:hAnsi="Calibri" w:cs="Calibri"/>
                <w:color w:val="808080" w:themeColor="background1" w:themeShade="80"/>
                <w:sz w:val="20"/>
                <w:szCs w:val="20"/>
              </w:rPr>
            </w:pPr>
          </w:p>
        </w:tc>
        <w:tc>
          <w:tcPr>
            <w:tcW w:w="3827" w:type="dxa"/>
            <w:tcBorders>
              <w:top w:val="single" w:sz="4" w:space="0" w:color="548DD4" w:themeColor="text2" w:themeTint="99"/>
              <w:bottom w:val="single" w:sz="4" w:space="0" w:color="548DD4" w:themeColor="text2" w:themeTint="99"/>
            </w:tcBorders>
            <w:vAlign w:val="center"/>
          </w:tcPr>
          <w:p w14:paraId="6E77AC9D" w14:textId="77777777" w:rsidR="004914EA" w:rsidRPr="00E54CA4" w:rsidRDefault="004914EA" w:rsidP="004F3330">
            <w:pPr>
              <w:spacing w:after="0"/>
              <w:jc w:val="both"/>
              <w:rPr>
                <w:rFonts w:ascii="Calibri" w:hAnsi="Calibri" w:cs="Calibri"/>
                <w:color w:val="808080" w:themeColor="background1" w:themeShade="80"/>
                <w:sz w:val="20"/>
                <w:szCs w:val="20"/>
              </w:rPr>
            </w:pPr>
            <w:r w:rsidRPr="00E54CA4">
              <w:rPr>
                <w:rFonts w:ascii="Calibri" w:hAnsi="Calibri" w:cs="Calibri"/>
                <w:color w:val="808080" w:themeColor="background1" w:themeShade="80"/>
                <w:sz w:val="20"/>
                <w:szCs w:val="20"/>
              </w:rPr>
              <w:t>Reporting for this measure has been delayed due to unforeseen circumstances.</w:t>
            </w:r>
          </w:p>
        </w:tc>
        <w:tc>
          <w:tcPr>
            <w:tcW w:w="4400" w:type="dxa"/>
            <w:tcBorders>
              <w:top w:val="single" w:sz="4" w:space="0" w:color="548DD4" w:themeColor="text2" w:themeTint="99"/>
              <w:bottom w:val="single" w:sz="4" w:space="0" w:color="548DD4" w:themeColor="text2" w:themeTint="99"/>
            </w:tcBorders>
            <w:vAlign w:val="center"/>
          </w:tcPr>
          <w:p w14:paraId="002602DE" w14:textId="39974826" w:rsidR="004914EA" w:rsidRPr="00F251D5" w:rsidRDefault="00EB29A2" w:rsidP="004F3330">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This measure will be removed from the </w:t>
            </w:r>
            <w:proofErr w:type="gramStart"/>
            <w:r>
              <w:rPr>
                <w:rFonts w:ascii="Calibri" w:hAnsi="Calibri" w:cs="Calibri"/>
                <w:color w:val="808080" w:themeColor="background1" w:themeShade="80"/>
                <w:sz w:val="20"/>
                <w:szCs w:val="20"/>
              </w:rPr>
              <w:t>quarterly  report</w:t>
            </w:r>
            <w:proofErr w:type="gramEnd"/>
            <w:r>
              <w:rPr>
                <w:rFonts w:ascii="Calibri" w:hAnsi="Calibri" w:cs="Calibri"/>
                <w:color w:val="808080" w:themeColor="background1" w:themeShade="80"/>
                <w:sz w:val="20"/>
                <w:szCs w:val="20"/>
              </w:rPr>
              <w:t xml:space="preserve"> and include</w:t>
            </w:r>
            <w:r w:rsidR="003E0AFA">
              <w:rPr>
                <w:rFonts w:ascii="Calibri" w:hAnsi="Calibri" w:cs="Calibri"/>
                <w:color w:val="808080" w:themeColor="background1" w:themeShade="80"/>
                <w:sz w:val="20"/>
                <w:szCs w:val="20"/>
              </w:rPr>
              <w:t>d</w:t>
            </w:r>
            <w:r>
              <w:rPr>
                <w:rFonts w:ascii="Calibri" w:hAnsi="Calibri" w:cs="Calibri"/>
                <w:color w:val="808080" w:themeColor="background1" w:themeShade="80"/>
                <w:sz w:val="20"/>
                <w:szCs w:val="20"/>
              </w:rPr>
              <w:t xml:space="preserve"> as a corporate plan measure in the annual report. </w:t>
            </w:r>
          </w:p>
        </w:tc>
      </w:tr>
      <w:tr w:rsidR="004914EA" w:rsidRPr="00E54CA4" w14:paraId="0B880800" w14:textId="77777777" w:rsidTr="004610B2">
        <w:trPr>
          <w:trHeight w:hRule="exact" w:val="1125"/>
          <w:jc w:val="center"/>
        </w:trPr>
        <w:tc>
          <w:tcPr>
            <w:tcW w:w="2268" w:type="dxa"/>
            <w:tcBorders>
              <w:top w:val="single" w:sz="4" w:space="0" w:color="548DD4" w:themeColor="text2" w:themeTint="99"/>
              <w:bottom w:val="single" w:sz="4" w:space="0" w:color="548DD4" w:themeColor="text2" w:themeTint="99"/>
            </w:tcBorders>
            <w:vAlign w:val="center"/>
          </w:tcPr>
          <w:p w14:paraId="5CC944F2" w14:textId="1C172F68" w:rsidR="004914EA" w:rsidRPr="00E54CA4" w:rsidRDefault="00000000" w:rsidP="003753A7">
            <w:pPr>
              <w:spacing w:after="0"/>
              <w:jc w:val="center"/>
              <w:rPr>
                <w:rFonts w:ascii="Calibri" w:hAnsi="Calibri" w:cs="Calibri"/>
                <w:b/>
                <w:iCs/>
                <w:color w:val="808080" w:themeColor="background1" w:themeShade="80"/>
                <w:sz w:val="20"/>
                <w:szCs w:val="20"/>
              </w:rPr>
            </w:pPr>
            <w:hyperlink r:id="rId28" w:history="1">
              <w:r w:rsidR="004914EA" w:rsidRPr="00E54CA4">
                <w:rPr>
                  <w:rStyle w:val="Hyperlink"/>
                  <w:rFonts w:ascii="Calibri" w:hAnsi="Calibri" w:cs="Calibri"/>
                  <w:b/>
                  <w:iCs/>
                  <w:color w:val="808080" w:themeColor="background1" w:themeShade="80"/>
                  <w:sz w:val="20"/>
                  <w:szCs w:val="20"/>
                </w:rPr>
                <w:t>External funds raised by SMEEF and the amount allocated to projects.</w:t>
              </w:r>
            </w:hyperlink>
          </w:p>
        </w:tc>
        <w:tc>
          <w:tcPr>
            <w:tcW w:w="3119" w:type="dxa"/>
            <w:tcBorders>
              <w:top w:val="single" w:sz="4" w:space="0" w:color="548DD4" w:themeColor="text2" w:themeTint="99"/>
              <w:bottom w:val="single" w:sz="4" w:space="0" w:color="548DD4" w:themeColor="text2" w:themeTint="99"/>
            </w:tcBorders>
            <w:vAlign w:val="center"/>
          </w:tcPr>
          <w:p w14:paraId="3066D14E" w14:textId="64B7BBFF" w:rsidR="004914EA" w:rsidRPr="00E54CA4" w:rsidRDefault="00987414" w:rsidP="003753A7">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67739EC5" wp14:editId="56A0BF75">
                  <wp:extent cx="1714500" cy="600652"/>
                  <wp:effectExtent l="0" t="0" r="0" b="9525"/>
                  <wp:docPr id="1707456383" name="Picture 6" descr="£119,481 of external funds were raised by SMEEF in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456383" name="Picture 6" descr="£119,481 of external funds were raised by SMEEF in Q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7649" cy="601755"/>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73786B8F" w14:textId="3079A709" w:rsidR="004914EA" w:rsidRPr="00E54CA4" w:rsidRDefault="004914EA" w:rsidP="003753A7">
            <w:pPr>
              <w:spacing w:after="0"/>
              <w:jc w:val="center"/>
              <w:rPr>
                <w:rFonts w:ascii="Calibri" w:hAnsi="Calibri" w:cs="Calibri"/>
                <w:color w:val="808080" w:themeColor="background1" w:themeShade="80"/>
                <w:sz w:val="20"/>
                <w:szCs w:val="20"/>
              </w:rPr>
            </w:pPr>
            <w:r w:rsidRPr="00E54CA4">
              <w:rPr>
                <w:rFonts w:ascii="Calibri" w:hAnsi="Calibri" w:cs="Calibri"/>
                <w:color w:val="808080" w:themeColor="background1" w:themeShade="80"/>
                <w:sz w:val="20"/>
                <w:szCs w:val="20"/>
              </w:rPr>
              <w:t>£119,481</w:t>
            </w:r>
          </w:p>
        </w:tc>
        <w:tc>
          <w:tcPr>
            <w:tcW w:w="3827" w:type="dxa"/>
            <w:tcBorders>
              <w:top w:val="single" w:sz="4" w:space="0" w:color="548DD4" w:themeColor="text2" w:themeTint="99"/>
              <w:bottom w:val="single" w:sz="4" w:space="0" w:color="548DD4" w:themeColor="text2" w:themeTint="99"/>
            </w:tcBorders>
            <w:vAlign w:val="center"/>
          </w:tcPr>
          <w:p w14:paraId="6DC33F10" w14:textId="29165DFB" w:rsidR="004914EA" w:rsidRPr="00E54CA4" w:rsidRDefault="004914EA" w:rsidP="004F3330">
            <w:pPr>
              <w:spacing w:after="0"/>
              <w:jc w:val="both"/>
              <w:rPr>
                <w:rFonts w:ascii="Calibri" w:hAnsi="Calibri" w:cs="Calibri"/>
                <w:color w:val="808080" w:themeColor="background1" w:themeShade="80"/>
                <w:sz w:val="20"/>
                <w:szCs w:val="20"/>
                <w:highlight w:val="yellow"/>
              </w:rPr>
            </w:pPr>
            <w:r w:rsidRPr="00E54CA4">
              <w:rPr>
                <w:rFonts w:ascii="Calibri" w:hAnsi="Calibri" w:cs="Calibri"/>
                <w:color w:val="808080" w:themeColor="background1" w:themeShade="80"/>
                <w:sz w:val="20"/>
                <w:szCs w:val="20"/>
              </w:rPr>
              <w:t xml:space="preserve">Grants </w:t>
            </w:r>
            <w:r w:rsidR="00D771D0">
              <w:rPr>
                <w:rFonts w:ascii="Calibri" w:hAnsi="Calibri" w:cs="Calibri"/>
                <w:color w:val="808080" w:themeColor="background1" w:themeShade="80"/>
                <w:sz w:val="20"/>
                <w:szCs w:val="20"/>
              </w:rPr>
              <w:t xml:space="preserve">have been </w:t>
            </w:r>
            <w:r w:rsidRPr="00E54CA4">
              <w:rPr>
                <w:rFonts w:ascii="Calibri" w:hAnsi="Calibri" w:cs="Calibri"/>
                <w:color w:val="808080" w:themeColor="background1" w:themeShade="80"/>
                <w:sz w:val="20"/>
                <w:szCs w:val="20"/>
              </w:rPr>
              <w:t>allocated and spending</w:t>
            </w:r>
            <w:r w:rsidR="00D771D0">
              <w:rPr>
                <w:rFonts w:ascii="Calibri" w:hAnsi="Calibri" w:cs="Calibri"/>
                <w:color w:val="808080" w:themeColor="background1" w:themeShade="80"/>
                <w:sz w:val="20"/>
                <w:szCs w:val="20"/>
              </w:rPr>
              <w:t xml:space="preserve"> is</w:t>
            </w:r>
            <w:r w:rsidRPr="00E54CA4">
              <w:rPr>
                <w:rFonts w:ascii="Calibri" w:hAnsi="Calibri" w:cs="Calibri"/>
                <w:color w:val="808080" w:themeColor="background1" w:themeShade="80"/>
                <w:sz w:val="20"/>
                <w:szCs w:val="20"/>
              </w:rPr>
              <w:t xml:space="preserve"> underway</w:t>
            </w:r>
            <w:r w:rsidR="004610B2">
              <w:rPr>
                <w:rFonts w:ascii="Calibri" w:hAnsi="Calibri" w:cs="Calibri"/>
                <w:color w:val="808080" w:themeColor="background1" w:themeShade="80"/>
                <w:sz w:val="20"/>
                <w:szCs w:val="20"/>
              </w:rPr>
              <w:t>. The Q2 figure of £</w:t>
            </w:r>
            <w:proofErr w:type="gramStart"/>
            <w:r w:rsidR="004610B2">
              <w:rPr>
                <w:rFonts w:ascii="Calibri" w:hAnsi="Calibri" w:cs="Calibri"/>
                <w:color w:val="808080" w:themeColor="background1" w:themeShade="80"/>
                <w:sz w:val="20"/>
                <w:szCs w:val="20"/>
              </w:rPr>
              <w:t xml:space="preserve">119,481 </w:t>
            </w:r>
            <w:r w:rsidRPr="00E54CA4">
              <w:rPr>
                <w:rFonts w:ascii="Calibri" w:hAnsi="Calibri" w:cs="Calibri"/>
                <w:color w:val="808080" w:themeColor="background1" w:themeShade="80"/>
                <w:sz w:val="20"/>
                <w:szCs w:val="20"/>
              </w:rPr>
              <w:t xml:space="preserve"> includes</w:t>
            </w:r>
            <w:proofErr w:type="gramEnd"/>
            <w:r w:rsidRPr="00E54CA4">
              <w:rPr>
                <w:rFonts w:ascii="Calibri" w:hAnsi="Calibri" w:cs="Calibri"/>
                <w:color w:val="808080" w:themeColor="background1" w:themeShade="80"/>
                <w:sz w:val="20"/>
                <w:szCs w:val="20"/>
              </w:rPr>
              <w:t xml:space="preserve"> £118k from NRF</w:t>
            </w:r>
            <w:r w:rsidR="00D771D0">
              <w:rPr>
                <w:rFonts w:ascii="Calibri" w:hAnsi="Calibri" w:cs="Calibri"/>
                <w:color w:val="808080" w:themeColor="background1" w:themeShade="80"/>
                <w:sz w:val="20"/>
                <w:szCs w:val="20"/>
              </w:rPr>
              <w:t>.</w:t>
            </w:r>
            <w:r w:rsidRPr="00E54CA4">
              <w:rPr>
                <w:rFonts w:ascii="Calibri" w:hAnsi="Calibri" w:cs="Calibri"/>
                <w:color w:val="808080" w:themeColor="background1" w:themeShade="80"/>
                <w:sz w:val="20"/>
                <w:szCs w:val="20"/>
              </w:rPr>
              <w:t xml:space="preserve"> Payments from private sources complete.</w:t>
            </w:r>
          </w:p>
        </w:tc>
        <w:tc>
          <w:tcPr>
            <w:tcW w:w="4400" w:type="dxa"/>
            <w:tcBorders>
              <w:top w:val="single" w:sz="4" w:space="0" w:color="548DD4" w:themeColor="text2" w:themeTint="99"/>
              <w:bottom w:val="single" w:sz="4" w:space="0" w:color="548DD4" w:themeColor="text2" w:themeTint="99"/>
            </w:tcBorders>
            <w:vAlign w:val="center"/>
          </w:tcPr>
          <w:p w14:paraId="76573B3A" w14:textId="61243722" w:rsidR="004914EA" w:rsidRPr="00E54CA4" w:rsidRDefault="004914EA" w:rsidP="004F3330">
            <w:pPr>
              <w:spacing w:after="0"/>
              <w:jc w:val="both"/>
              <w:rPr>
                <w:rFonts w:ascii="Calibri" w:hAnsi="Calibri" w:cs="Calibri"/>
                <w:color w:val="808080" w:themeColor="background1" w:themeShade="80"/>
                <w:sz w:val="20"/>
                <w:szCs w:val="20"/>
                <w:highlight w:val="yellow"/>
              </w:rPr>
            </w:pPr>
            <w:r w:rsidRPr="00E54CA4">
              <w:rPr>
                <w:rFonts w:ascii="Calibri" w:hAnsi="Calibri" w:cs="Calibri"/>
                <w:color w:val="808080" w:themeColor="background1" w:themeShade="80"/>
                <w:sz w:val="20"/>
                <w:szCs w:val="20"/>
              </w:rPr>
              <w:t>Fundraising is ongoing, and grants expenditure is underway.</w:t>
            </w:r>
            <w:r w:rsidR="004610B2">
              <w:rPr>
                <w:rFonts w:ascii="Calibri" w:hAnsi="Calibri" w:cs="Calibri"/>
                <w:color w:val="808080" w:themeColor="background1" w:themeShade="80"/>
                <w:sz w:val="20"/>
                <w:szCs w:val="20"/>
              </w:rPr>
              <w:t xml:space="preserve"> We don’t have a target for this measure in place yet, but we are ahead of where we had planned to be.  </w:t>
            </w:r>
          </w:p>
        </w:tc>
      </w:tr>
      <w:tr w:rsidR="00B50354" w:rsidRPr="00B50354" w14:paraId="2F9000F5" w14:textId="77777777" w:rsidTr="004610B2">
        <w:trPr>
          <w:trHeight w:hRule="exact" w:val="1989"/>
          <w:jc w:val="center"/>
        </w:trPr>
        <w:tc>
          <w:tcPr>
            <w:tcW w:w="2268" w:type="dxa"/>
            <w:tcBorders>
              <w:top w:val="single" w:sz="4" w:space="0" w:color="548DD4" w:themeColor="text2" w:themeTint="99"/>
              <w:bottom w:val="single" w:sz="4" w:space="0" w:color="548DD4" w:themeColor="text2" w:themeTint="99"/>
            </w:tcBorders>
            <w:vAlign w:val="center"/>
          </w:tcPr>
          <w:p w14:paraId="44A86D21" w14:textId="57F3C8C2" w:rsidR="004914EA" w:rsidRPr="00B50354" w:rsidRDefault="00000000" w:rsidP="003753A7">
            <w:pPr>
              <w:spacing w:after="0"/>
              <w:jc w:val="center"/>
              <w:rPr>
                <w:rFonts w:ascii="Calibri" w:hAnsi="Calibri" w:cs="Calibri"/>
                <w:b/>
                <w:iCs/>
                <w:color w:val="808080" w:themeColor="background1" w:themeShade="80"/>
                <w:sz w:val="20"/>
                <w:szCs w:val="20"/>
              </w:rPr>
            </w:pPr>
            <w:hyperlink r:id="rId30" w:history="1">
              <w:r w:rsidR="004914EA" w:rsidRPr="00B50354">
                <w:rPr>
                  <w:rStyle w:val="Hyperlink"/>
                  <w:rFonts w:ascii="Calibri" w:hAnsi="Calibri" w:cs="Calibri"/>
                  <w:b/>
                  <w:iCs/>
                  <w:color w:val="808080" w:themeColor="background1" w:themeShade="80"/>
                  <w:sz w:val="20"/>
                  <w:szCs w:val="20"/>
                </w:rPr>
                <w:t>Area (hectares) of peatland put on the road to recovery</w:t>
              </w:r>
            </w:hyperlink>
          </w:p>
        </w:tc>
        <w:tc>
          <w:tcPr>
            <w:tcW w:w="3119" w:type="dxa"/>
            <w:tcBorders>
              <w:top w:val="single" w:sz="4" w:space="0" w:color="548DD4" w:themeColor="text2" w:themeTint="99"/>
              <w:bottom w:val="single" w:sz="4" w:space="0" w:color="548DD4" w:themeColor="text2" w:themeTint="99"/>
            </w:tcBorders>
            <w:vAlign w:val="center"/>
          </w:tcPr>
          <w:p w14:paraId="0C6F7551" w14:textId="062FAE31" w:rsidR="004914EA" w:rsidRPr="00B50354" w:rsidRDefault="00D01C85" w:rsidP="003753A7">
            <w:pPr>
              <w:spacing w:after="0"/>
              <w:jc w:val="center"/>
              <w:rPr>
                <w:rFonts w:ascii="Calibri" w:hAnsi="Calibri" w:cs="Calibri"/>
                <w:color w:val="808080" w:themeColor="background1" w:themeShade="80"/>
                <w:sz w:val="20"/>
                <w:szCs w:val="20"/>
              </w:rPr>
            </w:pPr>
            <w:r w:rsidRPr="00B50354">
              <w:rPr>
                <w:rFonts w:ascii="Calibri" w:hAnsi="Calibri" w:cs="Calibri"/>
                <w:noProof/>
                <w:color w:val="808080" w:themeColor="background1" w:themeShade="80"/>
                <w:sz w:val="20"/>
                <w:szCs w:val="20"/>
                <w:lang w:eastAsia="en-GB"/>
              </w:rPr>
              <w:drawing>
                <wp:inline distT="0" distB="0" distL="0" distR="0" wp14:anchorId="05ABD3B9" wp14:editId="42BD28EC">
                  <wp:extent cx="1917326" cy="581025"/>
                  <wp:effectExtent l="0" t="0" r="6985" b="0"/>
                  <wp:docPr id="1455513715" name="Picture 12" descr="1636ha have been put on the road to recovery so far this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13715" name="Picture 12" descr="1636ha have been put on the road to recovery so far this yea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25551" cy="583518"/>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2AF44E3D" w14:textId="6024EABD" w:rsidR="004914EA" w:rsidRPr="00B50354" w:rsidRDefault="00826C82" w:rsidP="003753A7">
            <w:pPr>
              <w:spacing w:after="0"/>
              <w:jc w:val="center"/>
              <w:rPr>
                <w:rFonts w:ascii="Calibri" w:hAnsi="Calibri" w:cs="Calibri"/>
                <w:color w:val="808080" w:themeColor="background1" w:themeShade="80"/>
                <w:sz w:val="20"/>
                <w:szCs w:val="20"/>
              </w:rPr>
            </w:pPr>
            <w:r w:rsidRPr="00B50354">
              <w:rPr>
                <w:rFonts w:ascii="Calibri" w:hAnsi="Calibri" w:cs="Calibri"/>
                <w:color w:val="808080" w:themeColor="background1" w:themeShade="80"/>
                <w:sz w:val="20"/>
                <w:szCs w:val="20"/>
              </w:rPr>
              <w:t>1636</w:t>
            </w:r>
            <w:r w:rsidR="00F9474F" w:rsidRPr="00B50354">
              <w:rPr>
                <w:rFonts w:ascii="Calibri" w:hAnsi="Calibri" w:cs="Calibri"/>
                <w:color w:val="808080" w:themeColor="background1" w:themeShade="80"/>
                <w:sz w:val="20"/>
                <w:szCs w:val="20"/>
              </w:rPr>
              <w:t xml:space="preserve"> ha</w:t>
            </w:r>
          </w:p>
        </w:tc>
        <w:tc>
          <w:tcPr>
            <w:tcW w:w="3827" w:type="dxa"/>
            <w:tcBorders>
              <w:top w:val="single" w:sz="4" w:space="0" w:color="548DD4" w:themeColor="text2" w:themeTint="99"/>
              <w:bottom w:val="single" w:sz="4" w:space="0" w:color="548DD4" w:themeColor="text2" w:themeTint="99"/>
            </w:tcBorders>
            <w:vAlign w:val="center"/>
          </w:tcPr>
          <w:p w14:paraId="796A3B45" w14:textId="71897475" w:rsidR="004914EA" w:rsidRPr="00B50354" w:rsidRDefault="00D01C85" w:rsidP="004F3330">
            <w:pPr>
              <w:spacing w:after="0"/>
              <w:jc w:val="both"/>
              <w:rPr>
                <w:rFonts w:ascii="Calibri" w:hAnsi="Calibri" w:cs="Calibri"/>
                <w:color w:val="808080" w:themeColor="background1" w:themeShade="80"/>
                <w:sz w:val="20"/>
                <w:szCs w:val="20"/>
              </w:rPr>
            </w:pPr>
            <w:r w:rsidRPr="00B50354">
              <w:rPr>
                <w:rFonts w:ascii="Calibri" w:hAnsi="Calibri" w:cs="Calibri"/>
                <w:color w:val="808080" w:themeColor="background1" w:themeShade="80"/>
                <w:sz w:val="20"/>
                <w:szCs w:val="20"/>
              </w:rPr>
              <w:t>A total of 1,636 ha has been put on the road to recovery</w:t>
            </w:r>
            <w:r w:rsidR="00D771D0">
              <w:rPr>
                <w:rFonts w:ascii="Calibri" w:hAnsi="Calibri" w:cs="Calibri"/>
                <w:color w:val="808080" w:themeColor="background1" w:themeShade="80"/>
                <w:sz w:val="20"/>
                <w:szCs w:val="20"/>
              </w:rPr>
              <w:t xml:space="preserve"> this year</w:t>
            </w:r>
            <w:r w:rsidRPr="00B50354">
              <w:rPr>
                <w:rFonts w:ascii="Calibri" w:hAnsi="Calibri" w:cs="Calibri"/>
                <w:color w:val="808080" w:themeColor="background1" w:themeShade="80"/>
                <w:sz w:val="20"/>
                <w:szCs w:val="20"/>
              </w:rPr>
              <w:t xml:space="preserve"> to date which is made up of 305 ha of completed projects, and the rest being part of projects still underway.</w:t>
            </w:r>
          </w:p>
        </w:tc>
        <w:tc>
          <w:tcPr>
            <w:tcW w:w="4400" w:type="dxa"/>
            <w:tcBorders>
              <w:top w:val="single" w:sz="4" w:space="0" w:color="548DD4" w:themeColor="text2" w:themeTint="99"/>
              <w:bottom w:val="single" w:sz="4" w:space="0" w:color="548DD4" w:themeColor="text2" w:themeTint="99"/>
            </w:tcBorders>
            <w:vAlign w:val="center"/>
          </w:tcPr>
          <w:p w14:paraId="7B70C059" w14:textId="22FA0D57" w:rsidR="004914EA" w:rsidRPr="00B50354" w:rsidRDefault="00EE21BE" w:rsidP="004F3330">
            <w:pPr>
              <w:spacing w:after="0"/>
              <w:jc w:val="both"/>
              <w:rPr>
                <w:rFonts w:ascii="Calibri" w:hAnsi="Calibri" w:cs="Calibri"/>
                <w:color w:val="808080" w:themeColor="background1" w:themeShade="80"/>
                <w:sz w:val="20"/>
                <w:szCs w:val="20"/>
              </w:rPr>
            </w:pPr>
            <w:r w:rsidRPr="00B50354">
              <w:rPr>
                <w:rFonts w:ascii="Calibri" w:hAnsi="Calibri" w:cs="Calibri"/>
                <w:color w:val="808080" w:themeColor="background1" w:themeShade="80"/>
                <w:sz w:val="20"/>
                <w:szCs w:val="20"/>
              </w:rPr>
              <w:t>Outturn target has been reduced to 6,100ha in response to applied confidence levels on the 8,180 ha</w:t>
            </w:r>
            <w:r w:rsidR="00051324" w:rsidRPr="00B50354">
              <w:rPr>
                <w:rFonts w:ascii="Calibri" w:hAnsi="Calibri" w:cs="Calibri"/>
                <w:color w:val="808080" w:themeColor="background1" w:themeShade="80"/>
                <w:sz w:val="20"/>
                <w:szCs w:val="20"/>
              </w:rPr>
              <w:t>.</w:t>
            </w:r>
            <w:r w:rsidR="004610B2">
              <w:rPr>
                <w:rFonts w:ascii="Calibri" w:hAnsi="Calibri" w:cs="Calibri"/>
                <w:color w:val="808080" w:themeColor="background1" w:themeShade="80"/>
                <w:sz w:val="20"/>
                <w:szCs w:val="20"/>
              </w:rPr>
              <w:t xml:space="preserve"> We are confident in making 6,100ha as most restoration work occurs in Q3 </w:t>
            </w:r>
            <w:r w:rsidR="004610B2" w:rsidRPr="004610B2">
              <w:rPr>
                <w:rFonts w:ascii="Calibri" w:hAnsi="Calibri" w:cs="Calibri"/>
                <w:color w:val="808080" w:themeColor="background1" w:themeShade="80"/>
                <w:sz w:val="20"/>
                <w:szCs w:val="20"/>
              </w:rPr>
              <w:t>because of wider land management issues at other times of the year</w:t>
            </w:r>
            <w:r w:rsidR="004610B2">
              <w:rPr>
                <w:rFonts w:ascii="Calibri" w:hAnsi="Calibri" w:cs="Calibri"/>
                <w:color w:val="808080" w:themeColor="background1" w:themeShade="80"/>
                <w:sz w:val="20"/>
                <w:szCs w:val="20"/>
              </w:rPr>
              <w:t xml:space="preserve">. </w:t>
            </w:r>
            <w:r w:rsidR="00051324" w:rsidRPr="00B50354">
              <w:rPr>
                <w:rFonts w:ascii="Calibri" w:hAnsi="Calibri" w:cs="Calibri"/>
                <w:color w:val="808080" w:themeColor="background1" w:themeShade="80"/>
                <w:sz w:val="20"/>
                <w:szCs w:val="20"/>
              </w:rPr>
              <w:t>33 additional projects are being considered for 2023/24.</w:t>
            </w:r>
          </w:p>
        </w:tc>
      </w:tr>
    </w:tbl>
    <w:p w14:paraId="6973242D" w14:textId="77777777" w:rsidR="00D01C85" w:rsidRDefault="00D01C85" w:rsidP="00D01C85">
      <w:pPr>
        <w:pStyle w:val="Heading2"/>
        <w:jc w:val="center"/>
        <w:rPr>
          <w:rFonts w:ascii="Calibri" w:hAnsi="Calibri" w:cs="Calibri"/>
        </w:rPr>
      </w:pPr>
    </w:p>
    <w:p w14:paraId="04C5C7B5" w14:textId="07D994CB" w:rsidR="00D01C85" w:rsidRDefault="00D01C85">
      <w:pPr>
        <w:rPr>
          <w:rFonts w:ascii="Calibri" w:eastAsiaTheme="majorEastAsia" w:hAnsi="Calibri" w:cs="Calibri"/>
          <w:b/>
          <w:szCs w:val="26"/>
        </w:rPr>
      </w:pPr>
    </w:p>
    <w:p w14:paraId="42817CC3" w14:textId="013FB9C1" w:rsidR="008D20BE" w:rsidRPr="004914EA" w:rsidRDefault="008D20BE" w:rsidP="008D20BE">
      <w:pPr>
        <w:pStyle w:val="Heading2"/>
        <w:shd w:val="clear" w:color="auto" w:fill="007DC3"/>
        <w:jc w:val="center"/>
        <w:rPr>
          <w:rFonts w:ascii="Calibri" w:hAnsi="Calibri" w:cs="Calibri"/>
        </w:rPr>
      </w:pPr>
      <w:r w:rsidRPr="004914EA">
        <w:rPr>
          <w:rFonts w:ascii="Calibri" w:hAnsi="Calibri" w:cs="Calibri"/>
        </w:rPr>
        <w:t xml:space="preserve">THE VALUE OF NATURE IS RECOGNISED </w:t>
      </w:r>
    </w:p>
    <w:tbl>
      <w:tblPr>
        <w:tblW w:w="14606" w:type="dxa"/>
        <w:jc w:val="center"/>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2268"/>
        <w:gridCol w:w="2977"/>
        <w:gridCol w:w="992"/>
        <w:gridCol w:w="3969"/>
        <w:gridCol w:w="4400"/>
      </w:tblGrid>
      <w:tr w:rsidR="004914EA" w:rsidRPr="001428C1" w14:paraId="407B871A" w14:textId="77777777" w:rsidTr="004914EA">
        <w:trPr>
          <w:tblHeader/>
          <w:jc w:val="center"/>
        </w:trPr>
        <w:tc>
          <w:tcPr>
            <w:tcW w:w="2268" w:type="dxa"/>
            <w:tcBorders>
              <w:bottom w:val="single" w:sz="4" w:space="0" w:color="548DD4" w:themeColor="text2" w:themeTint="99"/>
            </w:tcBorders>
          </w:tcPr>
          <w:p w14:paraId="0CEFE3C6" w14:textId="77777777" w:rsidR="004914EA" w:rsidRPr="004914EA" w:rsidRDefault="004914EA" w:rsidP="004914EA">
            <w:pPr>
              <w:spacing w:after="0"/>
              <w:jc w:val="center"/>
              <w:rPr>
                <w:rFonts w:ascii="Calibri" w:hAnsi="Calibri" w:cs="Calibri"/>
                <w:b/>
              </w:rPr>
            </w:pPr>
            <w:r w:rsidRPr="004914EA">
              <w:rPr>
                <w:rFonts w:ascii="Calibri" w:hAnsi="Calibri" w:cs="Calibri"/>
                <w:b/>
              </w:rPr>
              <w:t>Measure</w:t>
            </w:r>
          </w:p>
        </w:tc>
        <w:tc>
          <w:tcPr>
            <w:tcW w:w="2977" w:type="dxa"/>
            <w:tcBorders>
              <w:bottom w:val="single" w:sz="4" w:space="0" w:color="548DD4" w:themeColor="text2" w:themeTint="99"/>
            </w:tcBorders>
          </w:tcPr>
          <w:p w14:paraId="6A01D98D" w14:textId="77777777" w:rsidR="004914EA" w:rsidRPr="004914EA" w:rsidRDefault="004914EA" w:rsidP="004914EA">
            <w:pPr>
              <w:spacing w:after="0"/>
              <w:jc w:val="center"/>
              <w:rPr>
                <w:rFonts w:ascii="Calibri" w:hAnsi="Calibri" w:cs="Calibri"/>
                <w:b/>
              </w:rPr>
            </w:pPr>
            <w:r w:rsidRPr="004914EA">
              <w:rPr>
                <w:rFonts w:ascii="Calibri" w:hAnsi="Calibri" w:cs="Calibri"/>
                <w:b/>
              </w:rPr>
              <w:t>Performance Overview</w:t>
            </w:r>
          </w:p>
        </w:tc>
        <w:tc>
          <w:tcPr>
            <w:tcW w:w="992" w:type="dxa"/>
            <w:tcBorders>
              <w:bottom w:val="single" w:sz="4" w:space="0" w:color="548DD4" w:themeColor="text2" w:themeTint="99"/>
            </w:tcBorders>
          </w:tcPr>
          <w:p w14:paraId="6403E005" w14:textId="77777777" w:rsidR="004914EA" w:rsidRPr="004914EA" w:rsidRDefault="004914EA" w:rsidP="004914EA">
            <w:pPr>
              <w:spacing w:after="0"/>
              <w:jc w:val="center"/>
              <w:rPr>
                <w:rFonts w:ascii="Calibri" w:hAnsi="Calibri" w:cs="Calibri"/>
                <w:b/>
              </w:rPr>
            </w:pPr>
            <w:r w:rsidRPr="004914EA">
              <w:rPr>
                <w:rFonts w:ascii="Calibri" w:hAnsi="Calibri" w:cs="Calibri"/>
                <w:b/>
              </w:rPr>
              <w:t>Actual</w:t>
            </w:r>
          </w:p>
        </w:tc>
        <w:tc>
          <w:tcPr>
            <w:tcW w:w="3969" w:type="dxa"/>
            <w:tcBorders>
              <w:bottom w:val="single" w:sz="4" w:space="0" w:color="548DD4" w:themeColor="text2" w:themeTint="99"/>
            </w:tcBorders>
          </w:tcPr>
          <w:p w14:paraId="03B60BF1" w14:textId="77777777" w:rsidR="004914EA" w:rsidRPr="004914EA" w:rsidRDefault="004914EA" w:rsidP="004F3330">
            <w:pPr>
              <w:spacing w:after="0"/>
              <w:jc w:val="center"/>
              <w:rPr>
                <w:rFonts w:ascii="Calibri" w:hAnsi="Calibri" w:cs="Calibri"/>
                <w:b/>
              </w:rPr>
            </w:pPr>
            <w:r w:rsidRPr="004914EA">
              <w:rPr>
                <w:rFonts w:ascii="Calibri" w:hAnsi="Calibri" w:cs="Calibri"/>
                <w:b/>
              </w:rPr>
              <w:t>Cause</w:t>
            </w:r>
          </w:p>
        </w:tc>
        <w:tc>
          <w:tcPr>
            <w:tcW w:w="4400" w:type="dxa"/>
            <w:tcBorders>
              <w:bottom w:val="single" w:sz="4" w:space="0" w:color="548DD4" w:themeColor="text2" w:themeTint="99"/>
            </w:tcBorders>
          </w:tcPr>
          <w:p w14:paraId="79F4D425" w14:textId="77777777" w:rsidR="004914EA" w:rsidRPr="004914EA" w:rsidRDefault="004914EA" w:rsidP="004F3330">
            <w:pPr>
              <w:spacing w:after="0"/>
              <w:jc w:val="center"/>
              <w:rPr>
                <w:rFonts w:ascii="Calibri" w:hAnsi="Calibri" w:cs="Calibri"/>
                <w:b/>
              </w:rPr>
            </w:pPr>
            <w:r w:rsidRPr="004914EA">
              <w:rPr>
                <w:rFonts w:ascii="Calibri" w:hAnsi="Calibri" w:cs="Calibri"/>
                <w:b/>
              </w:rPr>
              <w:t>Response</w:t>
            </w:r>
          </w:p>
        </w:tc>
      </w:tr>
      <w:tr w:rsidR="008B6E5C" w:rsidRPr="008B6E5C" w14:paraId="164CF011"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79A7DEC2" w14:textId="042C103C" w:rsidR="004914EA" w:rsidRPr="008B6E5C" w:rsidRDefault="00000000" w:rsidP="004914EA">
            <w:pPr>
              <w:spacing w:after="0"/>
              <w:jc w:val="center"/>
              <w:rPr>
                <w:rFonts w:ascii="Calibri" w:hAnsi="Calibri" w:cs="Calibri"/>
                <w:b/>
                <w:iCs/>
                <w:color w:val="808080" w:themeColor="background1" w:themeShade="80"/>
                <w:sz w:val="20"/>
                <w:szCs w:val="20"/>
              </w:rPr>
            </w:pPr>
            <w:hyperlink r:id="rId32" w:history="1">
              <w:r w:rsidR="008B6E5C">
                <w:rPr>
                  <w:rStyle w:val="Hyperlink"/>
                  <w:rFonts w:ascii="Calibri" w:hAnsi="Calibri" w:cs="Calibri"/>
                  <w:b/>
                  <w:iCs/>
                  <w:color w:val="808080" w:themeColor="background1" w:themeShade="80"/>
                  <w:sz w:val="20"/>
                  <w:szCs w:val="20"/>
                </w:rPr>
                <w:t>No. of M</w:t>
              </w:r>
              <w:r w:rsidR="004914EA" w:rsidRPr="008B6E5C">
                <w:rPr>
                  <w:rStyle w:val="Hyperlink"/>
                  <w:rFonts w:ascii="Calibri" w:hAnsi="Calibri" w:cs="Calibri"/>
                  <w:b/>
                  <w:iCs/>
                  <w:color w:val="808080" w:themeColor="background1" w:themeShade="80"/>
                  <w:sz w:val="20"/>
                  <w:szCs w:val="20"/>
                </w:rPr>
                <w:t>ake Space for Nature Webpage visits</w:t>
              </w:r>
            </w:hyperlink>
          </w:p>
        </w:tc>
        <w:tc>
          <w:tcPr>
            <w:tcW w:w="2977" w:type="dxa"/>
            <w:tcBorders>
              <w:top w:val="single" w:sz="4" w:space="0" w:color="548DD4" w:themeColor="text2" w:themeTint="99"/>
              <w:bottom w:val="single" w:sz="4" w:space="0" w:color="548DD4" w:themeColor="text2" w:themeTint="99"/>
            </w:tcBorders>
            <w:vAlign w:val="center"/>
          </w:tcPr>
          <w:p w14:paraId="3819A499" w14:textId="5D5D8D2D" w:rsidR="004914EA" w:rsidRPr="008B6E5C" w:rsidRDefault="008B6E5C" w:rsidP="004914EA">
            <w:pPr>
              <w:spacing w:after="0"/>
              <w:jc w:val="center"/>
              <w:rPr>
                <w:rFonts w:ascii="Calibri" w:hAnsi="Calibri" w:cs="Calibri"/>
                <w:color w:val="808080" w:themeColor="background1" w:themeShade="80"/>
                <w:sz w:val="20"/>
                <w:szCs w:val="20"/>
              </w:rPr>
            </w:pPr>
            <w:r w:rsidRPr="008B6E5C">
              <w:rPr>
                <w:rFonts w:ascii="Calibri" w:hAnsi="Calibri" w:cs="Calibri"/>
                <w:noProof/>
                <w:color w:val="808080" w:themeColor="background1" w:themeShade="80"/>
                <w:sz w:val="20"/>
                <w:szCs w:val="20"/>
                <w:lang w:eastAsia="en-GB"/>
              </w:rPr>
              <w:drawing>
                <wp:inline distT="0" distB="0" distL="0" distR="0" wp14:anchorId="03B2A44A" wp14:editId="534C5EC4">
                  <wp:extent cx="1851660" cy="598744"/>
                  <wp:effectExtent l="0" t="0" r="0" b="0"/>
                  <wp:docPr id="1687166476" name="Picture 3" descr="42,000 website visits on the Make Space for Nature page in 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66476" name="Picture 3" descr="42,000 website visits on the Make Space for Nature page in Q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63829" cy="602679"/>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ACC5F9E" w14:textId="2A0BE3C4" w:rsidR="004914EA" w:rsidRPr="008B6E5C" w:rsidRDefault="008B6E5C" w:rsidP="004914EA">
            <w:pPr>
              <w:spacing w:after="0"/>
              <w:jc w:val="center"/>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42,000</w:t>
            </w:r>
            <w:r w:rsidR="004914EA" w:rsidRPr="008B6E5C">
              <w:rPr>
                <w:rFonts w:ascii="Calibri" w:hAnsi="Calibri" w:cs="Calibri"/>
                <w:color w:val="808080" w:themeColor="background1" w:themeShade="80"/>
                <w:sz w:val="20"/>
                <w:szCs w:val="20"/>
              </w:rPr>
              <w:t xml:space="preserve"> </w:t>
            </w:r>
            <w:r>
              <w:rPr>
                <w:rFonts w:ascii="Calibri" w:hAnsi="Calibri" w:cs="Calibri"/>
                <w:color w:val="808080" w:themeColor="background1" w:themeShade="80"/>
                <w:sz w:val="20"/>
                <w:szCs w:val="20"/>
              </w:rPr>
              <w:t>website visits</w:t>
            </w:r>
          </w:p>
        </w:tc>
        <w:tc>
          <w:tcPr>
            <w:tcW w:w="3969" w:type="dxa"/>
            <w:tcBorders>
              <w:top w:val="single" w:sz="4" w:space="0" w:color="548DD4" w:themeColor="text2" w:themeTint="99"/>
              <w:bottom w:val="single" w:sz="4" w:space="0" w:color="548DD4" w:themeColor="text2" w:themeTint="99"/>
            </w:tcBorders>
            <w:vAlign w:val="center"/>
          </w:tcPr>
          <w:p w14:paraId="1D7D08AB" w14:textId="39829EFE" w:rsidR="004914EA" w:rsidRPr="008B6E5C" w:rsidRDefault="008B6E5C" w:rsidP="004F3330">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w:t>
            </w:r>
            <w:r w:rsidRPr="008B6E5C">
              <w:rPr>
                <w:rFonts w:ascii="Calibri" w:hAnsi="Calibri" w:cs="Calibri"/>
                <w:color w:val="808080" w:themeColor="background1" w:themeShade="80"/>
                <w:sz w:val="20"/>
                <w:szCs w:val="20"/>
              </w:rPr>
              <w:t xml:space="preserve">here were 42k views of the summer tips webpage (35k of these being new </w:t>
            </w:r>
            <w:r w:rsidR="00DE3F09" w:rsidRPr="008B6E5C">
              <w:rPr>
                <w:rFonts w:ascii="Calibri" w:hAnsi="Calibri" w:cs="Calibri"/>
                <w:color w:val="808080" w:themeColor="background1" w:themeShade="80"/>
                <w:sz w:val="20"/>
                <w:szCs w:val="20"/>
              </w:rPr>
              <w:t>users)</w:t>
            </w:r>
            <w:r w:rsidR="00DE3F09">
              <w:rPr>
                <w:rFonts w:ascii="Calibri" w:hAnsi="Calibri" w:cs="Calibri"/>
                <w:color w:val="808080" w:themeColor="background1" w:themeShade="80"/>
                <w:sz w:val="20"/>
                <w:szCs w:val="20"/>
              </w:rPr>
              <w:t>.</w:t>
            </w:r>
            <w:r w:rsidR="00DE3F09" w:rsidRPr="008B6E5C">
              <w:rPr>
                <w:rFonts w:ascii="Calibri" w:hAnsi="Calibri" w:cs="Calibri"/>
                <w:color w:val="808080" w:themeColor="background1" w:themeShade="80"/>
                <w:sz w:val="20"/>
                <w:szCs w:val="20"/>
              </w:rPr>
              <w:t xml:space="preserve">  </w:t>
            </w:r>
            <w:r w:rsidRPr="008B6E5C">
              <w:rPr>
                <w:rFonts w:ascii="Calibri" w:hAnsi="Calibri" w:cs="Calibri"/>
                <w:color w:val="808080" w:themeColor="background1" w:themeShade="80"/>
                <w:sz w:val="20"/>
                <w:szCs w:val="20"/>
              </w:rPr>
              <w:t xml:space="preserve">                                                                                       63% of the traffic to the MSFN summer campaign webpage came via Snapchat</w:t>
            </w:r>
          </w:p>
        </w:tc>
        <w:tc>
          <w:tcPr>
            <w:tcW w:w="4400" w:type="dxa"/>
            <w:tcBorders>
              <w:top w:val="single" w:sz="4" w:space="0" w:color="548DD4" w:themeColor="text2" w:themeTint="99"/>
              <w:bottom w:val="single" w:sz="4" w:space="0" w:color="548DD4" w:themeColor="text2" w:themeTint="99"/>
            </w:tcBorders>
            <w:vAlign w:val="center"/>
          </w:tcPr>
          <w:p w14:paraId="60C23A8C" w14:textId="2CBF4A4C" w:rsidR="004914EA" w:rsidRPr="008B6E5C" w:rsidRDefault="008B6E5C" w:rsidP="004F3330">
            <w:pPr>
              <w:spacing w:after="0"/>
              <w:jc w:val="both"/>
              <w:rPr>
                <w:rFonts w:ascii="Calibri" w:hAnsi="Calibri" w:cs="Calibri"/>
                <w:color w:val="808080" w:themeColor="background1" w:themeShade="80"/>
                <w:sz w:val="20"/>
                <w:szCs w:val="20"/>
              </w:rPr>
            </w:pPr>
            <w:r w:rsidRPr="008B6E5C">
              <w:rPr>
                <w:rFonts w:ascii="Calibri" w:hAnsi="Calibri" w:cs="Calibri"/>
                <w:color w:val="808080" w:themeColor="background1" w:themeShade="80"/>
                <w:sz w:val="20"/>
                <w:szCs w:val="20"/>
              </w:rPr>
              <w:t>Q2 activity exceeded campaign KPIs (70% web engagement rate/1% CTR) with summer results returning 98.6% and 2.19%. Q3 activity includes an autumn campaign with a new social media influencer and podcasts</w:t>
            </w:r>
          </w:p>
        </w:tc>
      </w:tr>
      <w:tr w:rsidR="00051324" w:rsidRPr="004914EA" w14:paraId="149AA65A"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15768AC1" w14:textId="74B76C32" w:rsidR="00051324" w:rsidRPr="004914EA" w:rsidRDefault="00000000" w:rsidP="00051324">
            <w:pPr>
              <w:spacing w:after="0"/>
              <w:jc w:val="center"/>
              <w:rPr>
                <w:rFonts w:ascii="Calibri" w:hAnsi="Calibri" w:cs="Calibri"/>
                <w:b/>
                <w:iCs/>
                <w:color w:val="808080" w:themeColor="background1" w:themeShade="80"/>
                <w:sz w:val="20"/>
                <w:szCs w:val="20"/>
              </w:rPr>
            </w:pPr>
            <w:hyperlink r:id="rId34" w:history="1">
              <w:r w:rsidR="00051324" w:rsidRPr="004914EA">
                <w:rPr>
                  <w:rStyle w:val="Hyperlink"/>
                  <w:rFonts w:ascii="Calibri" w:hAnsi="Calibri" w:cs="Calibri"/>
                  <w:b/>
                  <w:iCs/>
                  <w:color w:val="808080" w:themeColor="background1" w:themeShade="80"/>
                  <w:sz w:val="20"/>
                  <w:szCs w:val="20"/>
                </w:rPr>
                <w:t>No. of Landscape partnerships that NatureScot is involved in that use a natural capital approach</w:t>
              </w:r>
            </w:hyperlink>
          </w:p>
        </w:tc>
        <w:tc>
          <w:tcPr>
            <w:tcW w:w="2977" w:type="dxa"/>
            <w:tcBorders>
              <w:top w:val="single" w:sz="4" w:space="0" w:color="548DD4" w:themeColor="text2" w:themeTint="99"/>
              <w:bottom w:val="single" w:sz="4" w:space="0" w:color="548DD4" w:themeColor="text2" w:themeTint="99"/>
            </w:tcBorders>
            <w:vAlign w:val="center"/>
          </w:tcPr>
          <w:p w14:paraId="7FB5BE70" w14:textId="14407653" w:rsidR="00051324" w:rsidRPr="004914EA" w:rsidRDefault="00051324" w:rsidP="00051324">
            <w:pPr>
              <w:spacing w:after="0"/>
              <w:jc w:val="center"/>
              <w:rPr>
                <w:rFonts w:ascii="Calibri" w:hAnsi="Calibri" w:cs="Calibri"/>
                <w:color w:val="808080" w:themeColor="background1" w:themeShade="80"/>
                <w:sz w:val="20"/>
                <w:szCs w:val="20"/>
              </w:rPr>
            </w:pPr>
            <w:r w:rsidRPr="00E54CA4">
              <w:rPr>
                <w:rFonts w:ascii="Calibri" w:hAnsi="Calibri" w:cs="Calibri"/>
                <w:b/>
                <w:color w:val="808080" w:themeColor="background1" w:themeShade="80"/>
                <w:sz w:val="20"/>
                <w:szCs w:val="20"/>
              </w:rPr>
              <w:t>Not Ready to Report</w:t>
            </w:r>
          </w:p>
        </w:tc>
        <w:tc>
          <w:tcPr>
            <w:tcW w:w="992" w:type="dxa"/>
            <w:tcBorders>
              <w:top w:val="single" w:sz="4" w:space="0" w:color="548DD4" w:themeColor="text2" w:themeTint="99"/>
              <w:bottom w:val="single" w:sz="4" w:space="0" w:color="548DD4" w:themeColor="text2" w:themeTint="99"/>
            </w:tcBorders>
            <w:vAlign w:val="center"/>
          </w:tcPr>
          <w:p w14:paraId="7A57D4F5" w14:textId="77777777" w:rsidR="00051324" w:rsidRPr="004914EA" w:rsidRDefault="00051324" w:rsidP="00051324">
            <w:pPr>
              <w:spacing w:after="0"/>
              <w:jc w:val="center"/>
              <w:rPr>
                <w:rFonts w:ascii="Calibri" w:hAnsi="Calibri" w:cs="Calibri"/>
                <w:color w:val="808080" w:themeColor="background1" w:themeShade="80"/>
                <w:sz w:val="20"/>
                <w:szCs w:val="20"/>
              </w:rPr>
            </w:pPr>
          </w:p>
        </w:tc>
        <w:tc>
          <w:tcPr>
            <w:tcW w:w="3969" w:type="dxa"/>
            <w:tcBorders>
              <w:top w:val="single" w:sz="4" w:space="0" w:color="548DD4" w:themeColor="text2" w:themeTint="99"/>
              <w:bottom w:val="single" w:sz="4" w:space="0" w:color="548DD4" w:themeColor="text2" w:themeTint="99"/>
            </w:tcBorders>
            <w:vAlign w:val="center"/>
          </w:tcPr>
          <w:p w14:paraId="1691A807" w14:textId="0F5CD122" w:rsidR="00051324" w:rsidRPr="004914EA" w:rsidRDefault="00051324" w:rsidP="00051324">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The d</w:t>
            </w:r>
            <w:r w:rsidRPr="002E3CEA">
              <w:rPr>
                <w:rFonts w:ascii="Calibri" w:hAnsi="Calibri" w:cs="Calibri"/>
                <w:color w:val="808080" w:themeColor="background1" w:themeShade="80"/>
                <w:sz w:val="20"/>
                <w:szCs w:val="20"/>
              </w:rPr>
              <w:t>ata set has been investigated by the team and upon further work will gather historic data.</w:t>
            </w:r>
          </w:p>
        </w:tc>
        <w:tc>
          <w:tcPr>
            <w:tcW w:w="4400" w:type="dxa"/>
            <w:tcBorders>
              <w:top w:val="single" w:sz="4" w:space="0" w:color="548DD4" w:themeColor="text2" w:themeTint="99"/>
              <w:bottom w:val="single" w:sz="4" w:space="0" w:color="548DD4" w:themeColor="text2" w:themeTint="99"/>
            </w:tcBorders>
            <w:vAlign w:val="center"/>
          </w:tcPr>
          <w:p w14:paraId="6CE7D31B" w14:textId="0AE43828" w:rsidR="00051324" w:rsidRPr="004914EA" w:rsidRDefault="00051324" w:rsidP="00051324">
            <w:pPr>
              <w:spacing w:after="0"/>
              <w:jc w:val="both"/>
              <w:rPr>
                <w:rFonts w:ascii="Calibri" w:hAnsi="Calibri" w:cs="Calibri"/>
                <w:color w:val="808080" w:themeColor="background1" w:themeShade="80"/>
                <w:sz w:val="20"/>
                <w:szCs w:val="20"/>
              </w:rPr>
            </w:pPr>
            <w:r w:rsidRPr="002E3CEA">
              <w:rPr>
                <w:rFonts w:ascii="Calibri" w:hAnsi="Calibri" w:cs="Calibri"/>
                <w:color w:val="808080" w:themeColor="background1" w:themeShade="80"/>
                <w:sz w:val="20"/>
                <w:szCs w:val="20"/>
              </w:rPr>
              <w:t>New meeting set to discuss possible alterations to this measure to progress the data set and establish historical data.</w:t>
            </w:r>
          </w:p>
        </w:tc>
      </w:tr>
      <w:tr w:rsidR="00B50354" w:rsidRPr="00B50354" w14:paraId="2D2F2D6C"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0B3B2974" w14:textId="3CD90DCD" w:rsidR="004914EA" w:rsidRPr="00B50354" w:rsidRDefault="00000000" w:rsidP="004914EA">
            <w:pPr>
              <w:spacing w:after="0"/>
              <w:jc w:val="center"/>
              <w:rPr>
                <w:rFonts w:ascii="Calibri" w:hAnsi="Calibri" w:cs="Calibri"/>
                <w:b/>
                <w:iCs/>
                <w:color w:val="808080" w:themeColor="background1" w:themeShade="80"/>
                <w:sz w:val="20"/>
                <w:szCs w:val="20"/>
              </w:rPr>
            </w:pPr>
            <w:hyperlink r:id="rId35" w:history="1">
              <w:r w:rsidR="004914EA" w:rsidRPr="00B50354">
                <w:rPr>
                  <w:rStyle w:val="Hyperlink"/>
                  <w:rFonts w:ascii="Calibri" w:hAnsi="Calibri" w:cs="Calibri"/>
                  <w:b/>
                  <w:iCs/>
                  <w:color w:val="808080" w:themeColor="background1" w:themeShade="80"/>
                  <w:sz w:val="20"/>
                  <w:szCs w:val="20"/>
                </w:rPr>
                <w:t>Nature-restoration jobs and skill development opportunities created through our activity</w:t>
              </w:r>
            </w:hyperlink>
          </w:p>
        </w:tc>
        <w:tc>
          <w:tcPr>
            <w:tcW w:w="2977" w:type="dxa"/>
            <w:tcBorders>
              <w:top w:val="single" w:sz="4" w:space="0" w:color="548DD4" w:themeColor="text2" w:themeTint="99"/>
              <w:bottom w:val="single" w:sz="4" w:space="0" w:color="548DD4" w:themeColor="text2" w:themeTint="99"/>
            </w:tcBorders>
            <w:vAlign w:val="center"/>
          </w:tcPr>
          <w:p w14:paraId="77B1F42B" w14:textId="449CB124" w:rsidR="004914EA" w:rsidRPr="00B50354" w:rsidRDefault="00B50354" w:rsidP="004914EA">
            <w:pPr>
              <w:spacing w:after="0"/>
              <w:jc w:val="center"/>
              <w:rPr>
                <w:rFonts w:ascii="Calibri" w:hAnsi="Calibri" w:cs="Calibri"/>
                <w:color w:val="808080" w:themeColor="background1" w:themeShade="80"/>
                <w:sz w:val="20"/>
                <w:szCs w:val="20"/>
              </w:rPr>
            </w:pPr>
            <w:r w:rsidRPr="00B50354">
              <w:rPr>
                <w:rFonts w:ascii="Calibri" w:hAnsi="Calibri" w:cs="Calibri"/>
                <w:noProof/>
                <w:color w:val="808080" w:themeColor="background1" w:themeShade="80"/>
                <w:sz w:val="20"/>
                <w:szCs w:val="20"/>
                <w:lang w:eastAsia="en-GB"/>
              </w:rPr>
              <w:drawing>
                <wp:inline distT="0" distB="0" distL="0" distR="0" wp14:anchorId="6A2FF0C7" wp14:editId="29E32738">
                  <wp:extent cx="1852098" cy="619125"/>
                  <wp:effectExtent l="0" t="0" r="0" b="0"/>
                  <wp:docPr id="1811642408" name="Picture 3" descr="160 nature restoration jobs and skill development opportunities this quar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42408" name="Picture 3" descr="160 nature restoration jobs and skill development opportunities this quarte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66477" cy="623932"/>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00F11C32" w14:textId="519D9C69" w:rsidR="004914EA" w:rsidRPr="00B50354" w:rsidRDefault="00760F0F" w:rsidP="004914EA">
            <w:pPr>
              <w:spacing w:after="0"/>
              <w:jc w:val="center"/>
              <w:rPr>
                <w:rFonts w:ascii="Calibri" w:hAnsi="Calibri" w:cs="Calibri"/>
                <w:color w:val="808080" w:themeColor="background1" w:themeShade="80"/>
                <w:sz w:val="20"/>
                <w:szCs w:val="20"/>
              </w:rPr>
            </w:pPr>
            <w:r w:rsidRPr="00B50354">
              <w:rPr>
                <w:rFonts w:ascii="Calibri" w:hAnsi="Calibri" w:cs="Calibri"/>
                <w:color w:val="808080" w:themeColor="background1" w:themeShade="80"/>
                <w:sz w:val="20"/>
                <w:szCs w:val="20"/>
              </w:rPr>
              <w:t>160</w:t>
            </w:r>
          </w:p>
        </w:tc>
        <w:tc>
          <w:tcPr>
            <w:tcW w:w="3969" w:type="dxa"/>
            <w:tcBorders>
              <w:top w:val="single" w:sz="4" w:space="0" w:color="548DD4" w:themeColor="text2" w:themeTint="99"/>
              <w:bottom w:val="single" w:sz="4" w:space="0" w:color="548DD4" w:themeColor="text2" w:themeTint="99"/>
            </w:tcBorders>
            <w:vAlign w:val="center"/>
          </w:tcPr>
          <w:p w14:paraId="3CD36655" w14:textId="00ABDACD" w:rsidR="004914EA" w:rsidRPr="00B50354" w:rsidRDefault="00760F0F" w:rsidP="004F3330">
            <w:pPr>
              <w:spacing w:after="0"/>
              <w:jc w:val="both"/>
              <w:rPr>
                <w:rFonts w:ascii="Calibri" w:hAnsi="Calibri" w:cs="Calibri"/>
                <w:color w:val="808080" w:themeColor="background1" w:themeShade="80"/>
                <w:sz w:val="20"/>
                <w:szCs w:val="20"/>
              </w:rPr>
            </w:pPr>
            <w:r w:rsidRPr="00B50354">
              <w:rPr>
                <w:rFonts w:ascii="Calibri" w:hAnsi="Calibri" w:cs="Calibri"/>
                <w:color w:val="808080" w:themeColor="background1" w:themeShade="80"/>
                <w:sz w:val="20"/>
                <w:szCs w:val="20"/>
              </w:rPr>
              <w:t>W</w:t>
            </w:r>
            <w:r w:rsidR="00B50354" w:rsidRPr="00B50354">
              <w:rPr>
                <w:rFonts w:ascii="Calibri" w:hAnsi="Calibri" w:cs="Calibri"/>
                <w:color w:val="808080" w:themeColor="background1" w:themeShade="80"/>
                <w:sz w:val="20"/>
                <w:szCs w:val="20"/>
              </w:rPr>
              <w:t xml:space="preserve">orking </w:t>
            </w:r>
            <w:r w:rsidRPr="00B50354">
              <w:rPr>
                <w:rFonts w:ascii="Calibri" w:hAnsi="Calibri" w:cs="Calibri"/>
                <w:color w:val="808080" w:themeColor="background1" w:themeShade="80"/>
                <w:sz w:val="20"/>
                <w:szCs w:val="20"/>
              </w:rPr>
              <w:t>w</w:t>
            </w:r>
            <w:r w:rsidR="00B50354" w:rsidRPr="00B50354">
              <w:rPr>
                <w:rFonts w:ascii="Calibri" w:hAnsi="Calibri" w:cs="Calibri"/>
                <w:color w:val="808080" w:themeColor="background1" w:themeShade="80"/>
                <w:sz w:val="20"/>
                <w:szCs w:val="20"/>
              </w:rPr>
              <w:t xml:space="preserve">ith </w:t>
            </w:r>
            <w:r w:rsidRPr="00B50354">
              <w:rPr>
                <w:rFonts w:ascii="Calibri" w:hAnsi="Calibri" w:cs="Calibri"/>
                <w:color w:val="808080" w:themeColor="background1" w:themeShade="80"/>
                <w:sz w:val="20"/>
                <w:szCs w:val="20"/>
              </w:rPr>
              <w:t>R</w:t>
            </w:r>
            <w:r w:rsidR="00B50354" w:rsidRPr="00B50354">
              <w:rPr>
                <w:rFonts w:ascii="Calibri" w:hAnsi="Calibri" w:cs="Calibri"/>
                <w:color w:val="808080" w:themeColor="background1" w:themeShade="80"/>
                <w:sz w:val="20"/>
                <w:szCs w:val="20"/>
              </w:rPr>
              <w:t>ivers</w:t>
            </w:r>
            <w:r w:rsidRPr="00B50354">
              <w:rPr>
                <w:rFonts w:ascii="Calibri" w:hAnsi="Calibri" w:cs="Calibri"/>
                <w:color w:val="808080" w:themeColor="background1" w:themeShade="80"/>
                <w:sz w:val="20"/>
                <w:szCs w:val="20"/>
              </w:rPr>
              <w:t xml:space="preserve"> was a </w:t>
            </w:r>
            <w:r w:rsidR="00DE3F09" w:rsidRPr="00B50354">
              <w:rPr>
                <w:rFonts w:ascii="Calibri" w:hAnsi="Calibri" w:cs="Calibri"/>
                <w:color w:val="808080" w:themeColor="background1" w:themeShade="80"/>
                <w:sz w:val="20"/>
                <w:szCs w:val="20"/>
              </w:rPr>
              <w:t>3-month</w:t>
            </w:r>
            <w:r w:rsidRPr="00B50354">
              <w:rPr>
                <w:rFonts w:ascii="Calibri" w:hAnsi="Calibri" w:cs="Calibri"/>
                <w:color w:val="808080" w:themeColor="background1" w:themeShade="80"/>
                <w:sz w:val="20"/>
                <w:szCs w:val="20"/>
              </w:rPr>
              <w:t xml:space="preserve"> placement scheme that finished at the end of June. This was very successful with many of the 21 placements securing jobs either with the Fisheries Trust employer or another employer. </w:t>
            </w:r>
            <w:r w:rsidR="00B50354" w:rsidRPr="00B50354">
              <w:rPr>
                <w:rFonts w:ascii="Calibri" w:hAnsi="Calibri" w:cs="Calibri"/>
                <w:color w:val="808080" w:themeColor="background1" w:themeShade="80"/>
                <w:sz w:val="20"/>
                <w:szCs w:val="20"/>
              </w:rPr>
              <w:t xml:space="preserve">The </w:t>
            </w:r>
            <w:r w:rsidRPr="00B50354">
              <w:rPr>
                <w:rFonts w:ascii="Calibri" w:hAnsi="Calibri" w:cs="Calibri"/>
                <w:color w:val="808080" w:themeColor="background1" w:themeShade="80"/>
                <w:sz w:val="20"/>
                <w:szCs w:val="20"/>
              </w:rPr>
              <w:t>CEMVO scheme came to an end in Q1</w:t>
            </w:r>
          </w:p>
        </w:tc>
        <w:tc>
          <w:tcPr>
            <w:tcW w:w="4400" w:type="dxa"/>
            <w:tcBorders>
              <w:top w:val="single" w:sz="4" w:space="0" w:color="548DD4" w:themeColor="text2" w:themeTint="99"/>
              <w:bottom w:val="single" w:sz="4" w:space="0" w:color="548DD4" w:themeColor="text2" w:themeTint="99"/>
            </w:tcBorders>
            <w:vAlign w:val="center"/>
          </w:tcPr>
          <w:p w14:paraId="15099F41" w14:textId="790F8111" w:rsidR="004914EA" w:rsidRPr="00B50354" w:rsidRDefault="00760F0F" w:rsidP="004F3330">
            <w:pPr>
              <w:spacing w:after="0"/>
              <w:jc w:val="both"/>
              <w:rPr>
                <w:rFonts w:ascii="Calibri" w:hAnsi="Calibri" w:cs="Calibri"/>
                <w:color w:val="808080" w:themeColor="background1" w:themeShade="80"/>
                <w:sz w:val="20"/>
                <w:szCs w:val="20"/>
              </w:rPr>
            </w:pPr>
            <w:r w:rsidRPr="00B50354">
              <w:rPr>
                <w:rFonts w:ascii="Calibri" w:hAnsi="Calibri" w:cs="Calibri"/>
                <w:color w:val="808080" w:themeColor="background1" w:themeShade="80"/>
                <w:sz w:val="20"/>
                <w:szCs w:val="20"/>
              </w:rPr>
              <w:t xml:space="preserve">We are setting up a </w:t>
            </w:r>
            <w:r w:rsidR="00DE3F09" w:rsidRPr="00B50354">
              <w:rPr>
                <w:rFonts w:ascii="Calibri" w:hAnsi="Calibri" w:cs="Calibri"/>
                <w:color w:val="808080" w:themeColor="background1" w:themeShade="80"/>
                <w:sz w:val="20"/>
                <w:szCs w:val="20"/>
              </w:rPr>
              <w:t>similar scheme</w:t>
            </w:r>
            <w:r w:rsidRPr="00B50354">
              <w:rPr>
                <w:rFonts w:ascii="Calibri" w:hAnsi="Calibri" w:cs="Calibri"/>
                <w:color w:val="808080" w:themeColor="background1" w:themeShade="80"/>
                <w:sz w:val="20"/>
                <w:szCs w:val="20"/>
              </w:rPr>
              <w:t xml:space="preserve"> next year for 10 placements, but for 6 months in partnership with </w:t>
            </w:r>
            <w:r w:rsidR="00210B4A">
              <w:rPr>
                <w:rFonts w:ascii="Calibri" w:hAnsi="Calibri" w:cs="Calibri"/>
                <w:color w:val="808080" w:themeColor="background1" w:themeShade="80"/>
                <w:sz w:val="20"/>
                <w:szCs w:val="20"/>
              </w:rPr>
              <w:t>Graduate Career Advantage Scotland (</w:t>
            </w:r>
            <w:r w:rsidRPr="00B50354">
              <w:rPr>
                <w:rFonts w:ascii="Calibri" w:hAnsi="Calibri" w:cs="Calibri"/>
                <w:color w:val="808080" w:themeColor="background1" w:themeShade="80"/>
                <w:sz w:val="20"/>
                <w:szCs w:val="20"/>
              </w:rPr>
              <w:t>GCAS</w:t>
            </w:r>
            <w:r w:rsidR="00210B4A">
              <w:rPr>
                <w:rFonts w:ascii="Calibri" w:hAnsi="Calibri" w:cs="Calibri"/>
                <w:color w:val="808080" w:themeColor="background1" w:themeShade="80"/>
                <w:sz w:val="20"/>
                <w:szCs w:val="20"/>
              </w:rPr>
              <w:t>)</w:t>
            </w:r>
            <w:r w:rsidRPr="00B50354">
              <w:rPr>
                <w:rFonts w:ascii="Calibri" w:hAnsi="Calibri" w:cs="Calibri"/>
                <w:color w:val="808080" w:themeColor="background1" w:themeShade="80"/>
                <w:sz w:val="20"/>
                <w:szCs w:val="20"/>
              </w:rPr>
              <w:t>. Placements will start next April. We have now applied to the ‘New to Nature’ scheme to fund 2 CEMVO placements and are awaiting a response</w:t>
            </w:r>
          </w:p>
        </w:tc>
      </w:tr>
      <w:tr w:rsidR="00AA6419" w:rsidRPr="00AA6419" w14:paraId="7C3C7513" w14:textId="77777777" w:rsidTr="004914EA">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6AB035D2" w14:textId="0C83267D" w:rsidR="00AA6419" w:rsidRPr="00AA6419" w:rsidRDefault="00000000" w:rsidP="00AA6419">
            <w:pPr>
              <w:spacing w:after="0"/>
              <w:jc w:val="center"/>
              <w:rPr>
                <w:rFonts w:ascii="Calibri" w:hAnsi="Calibri" w:cs="Calibri"/>
                <w:b/>
                <w:bCs/>
                <w:color w:val="808080" w:themeColor="background1" w:themeShade="80"/>
                <w:sz w:val="20"/>
                <w:szCs w:val="20"/>
              </w:rPr>
            </w:pPr>
            <w:hyperlink r:id="rId37" w:history="1">
              <w:r w:rsidR="00AA6419" w:rsidRPr="00AA6419">
                <w:rPr>
                  <w:rStyle w:val="Hyperlink"/>
                  <w:rFonts w:ascii="Calibri" w:hAnsi="Calibri" w:cs="Calibri"/>
                  <w:b/>
                  <w:bCs/>
                  <w:color w:val="808080" w:themeColor="background1" w:themeShade="80"/>
                  <w:sz w:val="20"/>
                  <w:szCs w:val="20"/>
                </w:rPr>
                <w:t>National Nature Reserve online engagement</w:t>
              </w:r>
            </w:hyperlink>
          </w:p>
        </w:tc>
        <w:tc>
          <w:tcPr>
            <w:tcW w:w="2977" w:type="dxa"/>
            <w:tcBorders>
              <w:top w:val="single" w:sz="4" w:space="0" w:color="548DD4" w:themeColor="text2" w:themeTint="99"/>
              <w:bottom w:val="single" w:sz="4" w:space="0" w:color="548DD4" w:themeColor="text2" w:themeTint="99"/>
            </w:tcBorders>
            <w:vAlign w:val="center"/>
          </w:tcPr>
          <w:p w14:paraId="050DBAD8" w14:textId="4D024DB6" w:rsidR="00AA6419" w:rsidRPr="00AA6419" w:rsidRDefault="00D453EF" w:rsidP="00AA6419">
            <w:pPr>
              <w:spacing w:after="0"/>
              <w:jc w:val="both"/>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265EC68C" wp14:editId="538C54E6">
                  <wp:extent cx="1743710" cy="658495"/>
                  <wp:effectExtent l="0" t="0" r="8890" b="8255"/>
                  <wp:docPr id="884186278" name="Picture 3" descr="engagement for Q2 was 873,319 on our NNR web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186278" name="Picture 3" descr="engagement for Q2 was 873,319 on our NNR webpage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43710" cy="658495"/>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7AC5A61D" w14:textId="4F3065FC" w:rsidR="00AA6419" w:rsidRPr="00AA6419" w:rsidRDefault="00AA6419" w:rsidP="00AA6419">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873,319</w:t>
            </w:r>
          </w:p>
        </w:tc>
        <w:tc>
          <w:tcPr>
            <w:tcW w:w="3969" w:type="dxa"/>
            <w:tcBorders>
              <w:top w:val="single" w:sz="4" w:space="0" w:color="548DD4" w:themeColor="text2" w:themeTint="99"/>
              <w:bottom w:val="single" w:sz="4" w:space="0" w:color="548DD4" w:themeColor="text2" w:themeTint="99"/>
            </w:tcBorders>
            <w:vAlign w:val="center"/>
          </w:tcPr>
          <w:p w14:paraId="0B82A8D7" w14:textId="1B5131D4" w:rsidR="00AA6419" w:rsidRPr="00AA6419" w:rsidRDefault="00D453EF" w:rsidP="004F3330">
            <w:pPr>
              <w:spacing w:after="0"/>
              <w:jc w:val="both"/>
              <w:rPr>
                <w:rFonts w:ascii="Calibri" w:hAnsi="Calibri" w:cs="Calibri"/>
                <w:color w:val="808080" w:themeColor="background1" w:themeShade="80"/>
                <w:sz w:val="20"/>
                <w:szCs w:val="20"/>
              </w:rPr>
            </w:pPr>
            <w:r w:rsidRPr="00D453EF">
              <w:rPr>
                <w:rFonts w:ascii="Calibri" w:hAnsi="Calibri" w:cs="Calibri"/>
                <w:color w:val="808080" w:themeColor="background1" w:themeShade="80"/>
                <w:sz w:val="20"/>
                <w:szCs w:val="20"/>
              </w:rPr>
              <w:t>Increase in engagement with a few peak days for each reserve.</w:t>
            </w:r>
          </w:p>
        </w:tc>
        <w:tc>
          <w:tcPr>
            <w:tcW w:w="4400" w:type="dxa"/>
            <w:tcBorders>
              <w:top w:val="single" w:sz="4" w:space="0" w:color="548DD4" w:themeColor="text2" w:themeTint="99"/>
              <w:bottom w:val="single" w:sz="4" w:space="0" w:color="548DD4" w:themeColor="text2" w:themeTint="99"/>
            </w:tcBorders>
            <w:vAlign w:val="center"/>
          </w:tcPr>
          <w:p w14:paraId="2E93EECA" w14:textId="71567437" w:rsidR="00AA6419" w:rsidRPr="00AA6419" w:rsidRDefault="00D453EF" w:rsidP="004F3330">
            <w:pPr>
              <w:spacing w:after="0"/>
              <w:jc w:val="both"/>
              <w:rPr>
                <w:rFonts w:ascii="Calibri" w:hAnsi="Calibri" w:cs="Calibri"/>
                <w:color w:val="808080" w:themeColor="background1" w:themeShade="80"/>
                <w:sz w:val="20"/>
                <w:szCs w:val="20"/>
              </w:rPr>
            </w:pPr>
            <w:r w:rsidRPr="00D453EF">
              <w:rPr>
                <w:rFonts w:ascii="Calibri" w:hAnsi="Calibri" w:cs="Calibri"/>
                <w:color w:val="808080" w:themeColor="background1" w:themeShade="80"/>
                <w:sz w:val="20"/>
                <w:szCs w:val="20"/>
              </w:rPr>
              <w:t>New Meta measures no longer counting engagement on shared NNR page so seeing a significant drop in count for this page.</w:t>
            </w:r>
          </w:p>
        </w:tc>
      </w:tr>
    </w:tbl>
    <w:p w14:paraId="05EE538B" w14:textId="6A118E59" w:rsidR="004914EA" w:rsidRDefault="004914EA" w:rsidP="008D20BE">
      <w:pPr>
        <w:spacing w:after="160" w:line="259" w:lineRule="auto"/>
        <w:rPr>
          <w:rFonts w:ascii="Calibri" w:eastAsiaTheme="majorEastAsia" w:hAnsi="Calibri" w:cs="Calibri"/>
          <w:b/>
          <w:sz w:val="20"/>
          <w:szCs w:val="20"/>
          <w:highlight w:val="yellow"/>
        </w:rPr>
      </w:pPr>
    </w:p>
    <w:p w14:paraId="3E8EE2F2" w14:textId="77777777" w:rsidR="004914EA" w:rsidRDefault="004914EA">
      <w:pPr>
        <w:rPr>
          <w:rFonts w:ascii="Calibri" w:eastAsiaTheme="majorEastAsia" w:hAnsi="Calibri" w:cs="Calibri"/>
          <w:b/>
          <w:sz w:val="20"/>
          <w:szCs w:val="20"/>
          <w:highlight w:val="yellow"/>
        </w:rPr>
      </w:pPr>
      <w:r>
        <w:rPr>
          <w:rFonts w:ascii="Calibri" w:eastAsiaTheme="majorEastAsia" w:hAnsi="Calibri" w:cs="Calibri"/>
          <w:b/>
          <w:sz w:val="20"/>
          <w:szCs w:val="20"/>
          <w:highlight w:val="yellow"/>
        </w:rPr>
        <w:br w:type="page"/>
      </w:r>
    </w:p>
    <w:p w14:paraId="6A4836A2" w14:textId="77777777" w:rsidR="008D20BE" w:rsidRPr="004914EA" w:rsidRDefault="008D20BE" w:rsidP="008D20BE">
      <w:pPr>
        <w:pStyle w:val="Heading2"/>
        <w:shd w:val="clear" w:color="auto" w:fill="007DC3"/>
        <w:jc w:val="center"/>
        <w:rPr>
          <w:rFonts w:ascii="Calibri" w:hAnsi="Calibri" w:cs="Calibri"/>
        </w:rPr>
      </w:pPr>
      <w:r w:rsidRPr="004914EA">
        <w:rPr>
          <w:rFonts w:ascii="Calibri" w:hAnsi="Calibri" w:cs="Calibri"/>
        </w:rPr>
        <w:lastRenderedPageBreak/>
        <w:t>WE HAVE TRANSFORMED HOW WE WORK</w:t>
      </w:r>
    </w:p>
    <w:tbl>
      <w:tblPr>
        <w:tblW w:w="14606" w:type="dxa"/>
        <w:jc w:val="center"/>
        <w:tblLayout w:type="fixed"/>
        <w:tblLook w:val="04A0" w:firstRow="1" w:lastRow="0" w:firstColumn="1" w:lastColumn="0" w:noHBand="0" w:noVBand="1"/>
        <w:tblCaption w:val="We have transformed how we work measures"/>
        <w:tblDescription w:val="An update at the end of this quarter for all of the measures that sit under 'we have transformed how we work'"/>
      </w:tblPr>
      <w:tblGrid>
        <w:gridCol w:w="2268"/>
        <w:gridCol w:w="3544"/>
        <w:gridCol w:w="992"/>
        <w:gridCol w:w="3544"/>
        <w:gridCol w:w="4258"/>
      </w:tblGrid>
      <w:tr w:rsidR="009B1972" w:rsidRPr="009B1972" w14:paraId="314B497C" w14:textId="77777777" w:rsidTr="00803E97">
        <w:trPr>
          <w:tblHeader/>
          <w:jc w:val="center"/>
        </w:trPr>
        <w:tc>
          <w:tcPr>
            <w:tcW w:w="2268" w:type="dxa"/>
            <w:tcBorders>
              <w:bottom w:val="single" w:sz="4" w:space="0" w:color="548DD4" w:themeColor="text2" w:themeTint="99"/>
            </w:tcBorders>
          </w:tcPr>
          <w:p w14:paraId="0983C07D" w14:textId="77777777" w:rsidR="004914EA" w:rsidRPr="009B1972" w:rsidRDefault="004914EA" w:rsidP="00930721">
            <w:pPr>
              <w:spacing w:after="0"/>
              <w:jc w:val="center"/>
              <w:rPr>
                <w:rFonts w:ascii="Calibri" w:hAnsi="Calibri" w:cs="Calibri"/>
                <w:b/>
              </w:rPr>
            </w:pPr>
            <w:r w:rsidRPr="009B1972">
              <w:rPr>
                <w:rFonts w:ascii="Calibri" w:hAnsi="Calibri" w:cs="Calibri"/>
                <w:b/>
              </w:rPr>
              <w:t>Measure</w:t>
            </w:r>
          </w:p>
        </w:tc>
        <w:tc>
          <w:tcPr>
            <w:tcW w:w="3544" w:type="dxa"/>
            <w:tcBorders>
              <w:bottom w:val="single" w:sz="4" w:space="0" w:color="548DD4" w:themeColor="text2" w:themeTint="99"/>
            </w:tcBorders>
          </w:tcPr>
          <w:p w14:paraId="1E7C4212" w14:textId="77777777" w:rsidR="004914EA" w:rsidRPr="009B1972" w:rsidRDefault="004914EA" w:rsidP="00930721">
            <w:pPr>
              <w:spacing w:after="0"/>
              <w:jc w:val="center"/>
              <w:rPr>
                <w:rFonts w:ascii="Calibri" w:hAnsi="Calibri" w:cs="Calibri"/>
                <w:b/>
              </w:rPr>
            </w:pPr>
            <w:r w:rsidRPr="009B1972">
              <w:rPr>
                <w:rFonts w:ascii="Calibri" w:hAnsi="Calibri" w:cs="Calibri"/>
                <w:b/>
              </w:rPr>
              <w:t>Performance Overview</w:t>
            </w:r>
          </w:p>
        </w:tc>
        <w:tc>
          <w:tcPr>
            <w:tcW w:w="992" w:type="dxa"/>
            <w:tcBorders>
              <w:bottom w:val="single" w:sz="4" w:space="0" w:color="548DD4" w:themeColor="text2" w:themeTint="99"/>
            </w:tcBorders>
          </w:tcPr>
          <w:p w14:paraId="1FFF6B08" w14:textId="77777777" w:rsidR="004914EA" w:rsidRPr="009B1972" w:rsidRDefault="004914EA" w:rsidP="00930721">
            <w:pPr>
              <w:spacing w:after="0"/>
              <w:jc w:val="center"/>
              <w:rPr>
                <w:rFonts w:ascii="Calibri" w:hAnsi="Calibri" w:cs="Calibri"/>
                <w:b/>
              </w:rPr>
            </w:pPr>
            <w:r w:rsidRPr="009B1972">
              <w:rPr>
                <w:rFonts w:ascii="Calibri" w:hAnsi="Calibri" w:cs="Calibri"/>
                <w:b/>
              </w:rPr>
              <w:t>Actual</w:t>
            </w:r>
          </w:p>
        </w:tc>
        <w:tc>
          <w:tcPr>
            <w:tcW w:w="3544" w:type="dxa"/>
            <w:tcBorders>
              <w:bottom w:val="single" w:sz="4" w:space="0" w:color="548DD4" w:themeColor="text2" w:themeTint="99"/>
            </w:tcBorders>
          </w:tcPr>
          <w:p w14:paraId="24B9D81E" w14:textId="77777777" w:rsidR="004914EA" w:rsidRPr="009B1972" w:rsidRDefault="004914EA" w:rsidP="004F3330">
            <w:pPr>
              <w:spacing w:after="0"/>
              <w:jc w:val="center"/>
              <w:rPr>
                <w:rFonts w:ascii="Calibri" w:hAnsi="Calibri" w:cs="Calibri"/>
                <w:b/>
              </w:rPr>
            </w:pPr>
            <w:r w:rsidRPr="009B1972">
              <w:rPr>
                <w:rFonts w:ascii="Calibri" w:hAnsi="Calibri" w:cs="Calibri"/>
                <w:b/>
              </w:rPr>
              <w:t>Cause</w:t>
            </w:r>
          </w:p>
        </w:tc>
        <w:tc>
          <w:tcPr>
            <w:tcW w:w="4258" w:type="dxa"/>
            <w:tcBorders>
              <w:bottom w:val="single" w:sz="4" w:space="0" w:color="548DD4" w:themeColor="text2" w:themeTint="99"/>
            </w:tcBorders>
          </w:tcPr>
          <w:p w14:paraId="08A4B1F2" w14:textId="77777777" w:rsidR="004914EA" w:rsidRPr="009B1972" w:rsidRDefault="004914EA" w:rsidP="004F3330">
            <w:pPr>
              <w:spacing w:after="0"/>
              <w:jc w:val="center"/>
              <w:rPr>
                <w:rFonts w:ascii="Calibri" w:hAnsi="Calibri" w:cs="Calibri"/>
                <w:b/>
              </w:rPr>
            </w:pPr>
            <w:r w:rsidRPr="009B1972">
              <w:rPr>
                <w:rFonts w:ascii="Calibri" w:hAnsi="Calibri" w:cs="Calibri"/>
                <w:b/>
              </w:rPr>
              <w:t>Response</w:t>
            </w:r>
          </w:p>
        </w:tc>
      </w:tr>
      <w:tr w:rsidR="004914EA" w:rsidRPr="004914EA" w14:paraId="45619461" w14:textId="77777777" w:rsidTr="00803E97">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60BB33F4" w14:textId="4AE107E7" w:rsidR="004914EA" w:rsidRPr="004914EA" w:rsidRDefault="00000000" w:rsidP="00930721">
            <w:pPr>
              <w:spacing w:after="0"/>
              <w:jc w:val="center"/>
              <w:rPr>
                <w:rFonts w:ascii="Calibri" w:hAnsi="Calibri" w:cs="Calibri"/>
                <w:b/>
                <w:iCs/>
                <w:color w:val="808080" w:themeColor="background1" w:themeShade="80"/>
                <w:sz w:val="20"/>
                <w:szCs w:val="20"/>
              </w:rPr>
            </w:pPr>
            <w:hyperlink r:id="rId39" w:history="1">
              <w:proofErr w:type="spellStart"/>
              <w:r w:rsidR="004914EA" w:rsidRPr="004914EA">
                <w:rPr>
                  <w:rStyle w:val="Hyperlink"/>
                  <w:rFonts w:ascii="Calibri" w:hAnsi="Calibri" w:cs="Calibri"/>
                  <w:b/>
                  <w:iCs/>
                  <w:color w:val="808080" w:themeColor="background1" w:themeShade="80"/>
                  <w:sz w:val="20"/>
                  <w:szCs w:val="20"/>
                </w:rPr>
                <w:t>Sq</w:t>
              </w:r>
              <w:proofErr w:type="spellEnd"/>
              <w:r w:rsidR="004914EA" w:rsidRPr="004914EA">
                <w:rPr>
                  <w:rStyle w:val="Hyperlink"/>
                  <w:rFonts w:ascii="Calibri" w:hAnsi="Calibri" w:cs="Calibri"/>
                  <w:b/>
                  <w:iCs/>
                  <w:color w:val="808080" w:themeColor="background1" w:themeShade="80"/>
                  <w:sz w:val="20"/>
                  <w:szCs w:val="20"/>
                </w:rPr>
                <w:t xml:space="preserve"> meterage of floorspace dedicated to NatureScot</w:t>
              </w:r>
            </w:hyperlink>
          </w:p>
        </w:tc>
        <w:tc>
          <w:tcPr>
            <w:tcW w:w="3544" w:type="dxa"/>
            <w:tcBorders>
              <w:top w:val="single" w:sz="4" w:space="0" w:color="548DD4" w:themeColor="text2" w:themeTint="99"/>
              <w:bottom w:val="single" w:sz="4" w:space="0" w:color="548DD4" w:themeColor="text2" w:themeTint="99"/>
            </w:tcBorders>
            <w:vAlign w:val="center"/>
          </w:tcPr>
          <w:p w14:paraId="08C4FF58" w14:textId="77777777" w:rsidR="004914EA" w:rsidRPr="004914EA" w:rsidRDefault="004914EA" w:rsidP="00930721">
            <w:pPr>
              <w:spacing w:after="0"/>
              <w:jc w:val="center"/>
              <w:rPr>
                <w:rFonts w:ascii="Calibri" w:hAnsi="Calibri" w:cs="Calibri"/>
                <w:color w:val="808080" w:themeColor="background1" w:themeShade="80"/>
                <w:sz w:val="20"/>
                <w:szCs w:val="20"/>
              </w:rPr>
            </w:pPr>
            <w:r w:rsidRPr="004914EA">
              <w:rPr>
                <w:rFonts w:ascii="Calibri" w:hAnsi="Calibri" w:cs="Calibri"/>
                <w:b/>
                <w:color w:val="808080" w:themeColor="background1" w:themeShade="80"/>
                <w:sz w:val="20"/>
                <w:szCs w:val="20"/>
              </w:rPr>
              <w:t>No Graphs to report</w:t>
            </w:r>
          </w:p>
        </w:tc>
        <w:tc>
          <w:tcPr>
            <w:tcW w:w="992" w:type="dxa"/>
            <w:tcBorders>
              <w:top w:val="single" w:sz="4" w:space="0" w:color="548DD4" w:themeColor="text2" w:themeTint="99"/>
              <w:bottom w:val="single" w:sz="4" w:space="0" w:color="548DD4" w:themeColor="text2" w:themeTint="99"/>
            </w:tcBorders>
            <w:vAlign w:val="center"/>
          </w:tcPr>
          <w:p w14:paraId="0884956F" w14:textId="45FED647" w:rsidR="004914EA" w:rsidRPr="004914EA" w:rsidRDefault="004914EA" w:rsidP="00930721">
            <w:pPr>
              <w:spacing w:after="0"/>
              <w:jc w:val="center"/>
              <w:rPr>
                <w:rFonts w:ascii="Calibri" w:hAnsi="Calibri" w:cs="Calibri"/>
                <w:color w:val="808080" w:themeColor="background1" w:themeShade="80"/>
                <w:sz w:val="20"/>
                <w:szCs w:val="20"/>
              </w:rPr>
            </w:pPr>
          </w:p>
        </w:tc>
        <w:tc>
          <w:tcPr>
            <w:tcW w:w="3544" w:type="dxa"/>
            <w:tcBorders>
              <w:top w:val="single" w:sz="4" w:space="0" w:color="548DD4" w:themeColor="text2" w:themeTint="99"/>
              <w:bottom w:val="single" w:sz="4" w:space="0" w:color="548DD4" w:themeColor="text2" w:themeTint="99"/>
            </w:tcBorders>
            <w:vAlign w:val="center"/>
          </w:tcPr>
          <w:p w14:paraId="61657B38" w14:textId="1858BFA5" w:rsidR="004914EA" w:rsidRPr="004914EA" w:rsidRDefault="006433B8" w:rsidP="00D63C79">
            <w:pPr>
              <w:spacing w:after="0"/>
              <w:jc w:val="both"/>
              <w:rPr>
                <w:rFonts w:ascii="Calibri" w:hAnsi="Calibri" w:cs="Calibri"/>
                <w:color w:val="808080" w:themeColor="background1" w:themeShade="80"/>
                <w:sz w:val="20"/>
                <w:szCs w:val="20"/>
              </w:rPr>
            </w:pPr>
            <w:r>
              <w:rPr>
                <w:rFonts w:ascii="Calibri" w:hAnsi="Calibri" w:cs="Calibri"/>
                <w:color w:val="808080" w:themeColor="background1" w:themeShade="80"/>
                <w:sz w:val="20"/>
                <w:szCs w:val="20"/>
              </w:rPr>
              <w:t xml:space="preserve">This measure is in further development </w:t>
            </w:r>
            <w:r w:rsidR="00D63C79">
              <w:rPr>
                <w:rFonts w:ascii="Calibri" w:hAnsi="Calibri" w:cs="Calibri"/>
                <w:color w:val="808080" w:themeColor="background1" w:themeShade="80"/>
                <w:sz w:val="20"/>
                <w:szCs w:val="20"/>
              </w:rPr>
              <w:t>now that the workplaces programme manager is in post</w:t>
            </w:r>
          </w:p>
        </w:tc>
        <w:tc>
          <w:tcPr>
            <w:tcW w:w="4258" w:type="dxa"/>
            <w:tcBorders>
              <w:top w:val="single" w:sz="4" w:space="0" w:color="548DD4" w:themeColor="text2" w:themeTint="99"/>
              <w:bottom w:val="single" w:sz="4" w:space="0" w:color="548DD4" w:themeColor="text2" w:themeTint="99"/>
            </w:tcBorders>
            <w:vAlign w:val="center"/>
          </w:tcPr>
          <w:p w14:paraId="0D350085" w14:textId="780F5B98" w:rsidR="004914EA" w:rsidRPr="004914EA" w:rsidRDefault="00D63C79" w:rsidP="004F3330">
            <w:pPr>
              <w:spacing w:after="0"/>
              <w:jc w:val="both"/>
              <w:rPr>
                <w:rFonts w:ascii="Calibri" w:hAnsi="Calibri" w:cs="Calibri"/>
                <w:color w:val="808080" w:themeColor="background1" w:themeShade="80"/>
                <w:sz w:val="20"/>
                <w:szCs w:val="20"/>
                <w:highlight w:val="yellow"/>
              </w:rPr>
            </w:pPr>
            <w:r>
              <w:rPr>
                <w:rFonts w:ascii="Calibri" w:hAnsi="Calibri" w:cs="Calibri"/>
                <w:color w:val="808080" w:themeColor="background1" w:themeShade="80"/>
                <w:sz w:val="20"/>
                <w:szCs w:val="20"/>
              </w:rPr>
              <w:t>T</w:t>
            </w:r>
            <w:r w:rsidR="00930721" w:rsidRPr="004914EA">
              <w:rPr>
                <w:rFonts w:ascii="Calibri" w:hAnsi="Calibri" w:cs="Calibri"/>
                <w:color w:val="808080" w:themeColor="background1" w:themeShade="80"/>
                <w:sz w:val="20"/>
                <w:szCs w:val="20"/>
              </w:rPr>
              <w:t>his data is currently being collated and will be reported in Q3</w:t>
            </w:r>
            <w:r w:rsidR="006433B8">
              <w:rPr>
                <w:rFonts w:ascii="Calibri" w:hAnsi="Calibri" w:cs="Calibri"/>
                <w:color w:val="808080" w:themeColor="background1" w:themeShade="80"/>
                <w:sz w:val="20"/>
                <w:szCs w:val="20"/>
              </w:rPr>
              <w:t xml:space="preserve"> once all historic and current data can be collated correctly.</w:t>
            </w:r>
          </w:p>
        </w:tc>
      </w:tr>
      <w:tr w:rsidR="004914EA" w:rsidRPr="004914EA" w14:paraId="1BB67F07" w14:textId="77777777" w:rsidTr="00803E97">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762869D4" w14:textId="0BA1AF62" w:rsidR="004914EA" w:rsidRPr="00051324" w:rsidRDefault="00000000" w:rsidP="00930721">
            <w:pPr>
              <w:spacing w:after="0"/>
              <w:jc w:val="center"/>
              <w:rPr>
                <w:rFonts w:ascii="Calibri" w:hAnsi="Calibri" w:cs="Calibri"/>
                <w:b/>
                <w:iCs/>
                <w:color w:val="808080" w:themeColor="background1" w:themeShade="80"/>
                <w:sz w:val="20"/>
                <w:szCs w:val="20"/>
              </w:rPr>
            </w:pPr>
            <w:hyperlink r:id="rId40" w:history="1">
              <w:r w:rsidR="004914EA" w:rsidRPr="00051324">
                <w:rPr>
                  <w:rStyle w:val="Hyperlink"/>
                  <w:rFonts w:ascii="Calibri" w:hAnsi="Calibri" w:cs="Calibri"/>
                  <w:b/>
                  <w:iCs/>
                  <w:color w:val="808080" w:themeColor="background1" w:themeShade="80"/>
                  <w:sz w:val="20"/>
                  <w:szCs w:val="20"/>
                </w:rPr>
                <w:t>Total emission reduction</w:t>
              </w:r>
            </w:hyperlink>
          </w:p>
        </w:tc>
        <w:tc>
          <w:tcPr>
            <w:tcW w:w="3544" w:type="dxa"/>
            <w:tcBorders>
              <w:top w:val="single" w:sz="4" w:space="0" w:color="548DD4" w:themeColor="text2" w:themeTint="99"/>
              <w:bottom w:val="single" w:sz="4" w:space="0" w:color="548DD4" w:themeColor="text2" w:themeTint="99"/>
            </w:tcBorders>
            <w:vAlign w:val="center"/>
          </w:tcPr>
          <w:p w14:paraId="0770E846" w14:textId="7CA66DE7" w:rsidR="004914EA" w:rsidRPr="00051324" w:rsidRDefault="00FC4847" w:rsidP="00930721">
            <w:pPr>
              <w:spacing w:after="0"/>
              <w:jc w:val="center"/>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3197E8C6" wp14:editId="697E2677">
                  <wp:extent cx="2053078" cy="647700"/>
                  <wp:effectExtent l="0" t="0" r="4445" b="0"/>
                  <wp:docPr id="1696399563" name="Picture 15" descr="No update this quar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99563" name="Picture 15" descr="No update this quarte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55780" cy="648552"/>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118B7B75" w14:textId="7623F999" w:rsidR="004914EA" w:rsidRPr="00051324" w:rsidRDefault="004914EA" w:rsidP="00930721">
            <w:pPr>
              <w:spacing w:after="0"/>
              <w:jc w:val="center"/>
              <w:rPr>
                <w:rFonts w:ascii="Calibri" w:hAnsi="Calibri" w:cs="Calibri"/>
                <w:color w:val="808080" w:themeColor="background1" w:themeShade="80"/>
                <w:sz w:val="20"/>
                <w:szCs w:val="20"/>
              </w:rPr>
            </w:pPr>
          </w:p>
        </w:tc>
        <w:tc>
          <w:tcPr>
            <w:tcW w:w="3544" w:type="dxa"/>
            <w:tcBorders>
              <w:top w:val="single" w:sz="4" w:space="0" w:color="548DD4" w:themeColor="text2" w:themeTint="99"/>
              <w:bottom w:val="single" w:sz="4" w:space="0" w:color="548DD4" w:themeColor="text2" w:themeTint="99"/>
            </w:tcBorders>
            <w:vAlign w:val="center"/>
          </w:tcPr>
          <w:p w14:paraId="2F0BE98F" w14:textId="32877E4D" w:rsidR="004914EA" w:rsidRPr="00051324" w:rsidRDefault="00A04497" w:rsidP="00D63C79">
            <w:pPr>
              <w:spacing w:after="0"/>
              <w:jc w:val="both"/>
              <w:rPr>
                <w:rFonts w:ascii="Calibri" w:hAnsi="Calibri" w:cs="Calibri"/>
                <w:color w:val="808080" w:themeColor="background1" w:themeShade="80"/>
                <w:sz w:val="20"/>
                <w:szCs w:val="20"/>
              </w:rPr>
            </w:pPr>
            <w:r w:rsidRPr="00051324">
              <w:rPr>
                <w:rFonts w:ascii="Calibri" w:hAnsi="Calibri" w:cs="Calibri"/>
                <w:color w:val="808080" w:themeColor="background1" w:themeShade="80"/>
                <w:sz w:val="20"/>
                <w:szCs w:val="20"/>
              </w:rPr>
              <w:t xml:space="preserve">The Emissions data </w:t>
            </w:r>
            <w:r w:rsidR="00D63C79" w:rsidRPr="00051324">
              <w:rPr>
                <w:rFonts w:ascii="Calibri" w:hAnsi="Calibri" w:cs="Calibri"/>
                <w:color w:val="808080" w:themeColor="background1" w:themeShade="80"/>
                <w:sz w:val="20"/>
                <w:szCs w:val="20"/>
              </w:rPr>
              <w:t>is being processed and will be reported in Q3</w:t>
            </w:r>
            <w:r w:rsidRPr="00051324">
              <w:rPr>
                <w:rFonts w:ascii="Calibri" w:hAnsi="Calibri" w:cs="Calibri"/>
                <w:color w:val="808080" w:themeColor="background1" w:themeShade="80"/>
                <w:sz w:val="20"/>
                <w:szCs w:val="20"/>
              </w:rPr>
              <w:t>.</w:t>
            </w:r>
          </w:p>
        </w:tc>
        <w:tc>
          <w:tcPr>
            <w:tcW w:w="4258" w:type="dxa"/>
            <w:tcBorders>
              <w:top w:val="single" w:sz="4" w:space="0" w:color="548DD4" w:themeColor="text2" w:themeTint="99"/>
              <w:bottom w:val="single" w:sz="4" w:space="0" w:color="548DD4" w:themeColor="text2" w:themeTint="99"/>
            </w:tcBorders>
            <w:vAlign w:val="center"/>
          </w:tcPr>
          <w:p w14:paraId="770BD34F" w14:textId="46751038" w:rsidR="004914EA" w:rsidRPr="00051324" w:rsidRDefault="00A04497" w:rsidP="004F3330">
            <w:pPr>
              <w:spacing w:after="0"/>
              <w:jc w:val="both"/>
              <w:rPr>
                <w:rFonts w:ascii="Calibri" w:hAnsi="Calibri" w:cs="Calibri"/>
                <w:color w:val="808080" w:themeColor="background1" w:themeShade="80"/>
                <w:sz w:val="20"/>
                <w:szCs w:val="20"/>
              </w:rPr>
            </w:pPr>
            <w:r w:rsidRPr="00051324">
              <w:rPr>
                <w:rFonts w:ascii="Calibri" w:hAnsi="Calibri" w:cs="Calibri"/>
                <w:color w:val="808080" w:themeColor="background1" w:themeShade="80"/>
                <w:sz w:val="20"/>
                <w:szCs w:val="20"/>
              </w:rPr>
              <w:t>Due to the time to process the data we will be reporting Q1 and Q2 data in Q3 once processed.</w:t>
            </w:r>
          </w:p>
        </w:tc>
      </w:tr>
      <w:tr w:rsidR="00A15D6F" w:rsidRPr="00A15D6F" w14:paraId="47915FAF" w14:textId="77777777" w:rsidTr="00803E97">
        <w:trPr>
          <w:trHeight w:val="850"/>
          <w:jc w:val="center"/>
        </w:trPr>
        <w:tc>
          <w:tcPr>
            <w:tcW w:w="2268" w:type="dxa"/>
            <w:tcBorders>
              <w:top w:val="single" w:sz="4" w:space="0" w:color="548DD4" w:themeColor="text2" w:themeTint="99"/>
              <w:bottom w:val="single" w:sz="4" w:space="0" w:color="548DD4" w:themeColor="text2" w:themeTint="99"/>
            </w:tcBorders>
            <w:vAlign w:val="center"/>
          </w:tcPr>
          <w:p w14:paraId="2414CD24" w14:textId="29DBD9C9" w:rsidR="004914EA" w:rsidRPr="00B65223" w:rsidRDefault="00000000" w:rsidP="00B65223">
            <w:pPr>
              <w:spacing w:after="0"/>
              <w:jc w:val="center"/>
              <w:rPr>
                <w:rFonts w:ascii="Calibri" w:hAnsi="Calibri" w:cs="Calibri"/>
                <w:b/>
                <w:iCs/>
                <w:color w:val="808080" w:themeColor="background1" w:themeShade="80"/>
                <w:sz w:val="20"/>
                <w:szCs w:val="20"/>
                <w:u w:val="single"/>
              </w:rPr>
            </w:pPr>
            <w:hyperlink r:id="rId42" w:history="1">
              <w:r w:rsidR="004914EA" w:rsidRPr="00A15D6F">
                <w:rPr>
                  <w:rStyle w:val="Hyperlink"/>
                  <w:rFonts w:ascii="Calibri" w:hAnsi="Calibri" w:cs="Calibri"/>
                  <w:b/>
                  <w:iCs/>
                  <w:color w:val="808080" w:themeColor="background1" w:themeShade="80"/>
                  <w:sz w:val="20"/>
                  <w:szCs w:val="20"/>
                </w:rPr>
                <w:t>Workforce Diversity</w:t>
              </w:r>
            </w:hyperlink>
            <w:r w:rsidR="000C0C63" w:rsidRPr="00A15D6F">
              <w:rPr>
                <w:rStyle w:val="Hyperlink"/>
                <w:rFonts w:ascii="Calibri" w:hAnsi="Calibri" w:cs="Calibri"/>
                <w:b/>
                <w:iCs/>
                <w:color w:val="808080" w:themeColor="background1" w:themeShade="80"/>
                <w:sz w:val="20"/>
                <w:szCs w:val="20"/>
              </w:rPr>
              <w:t xml:space="preserve"> </w:t>
            </w:r>
          </w:p>
        </w:tc>
        <w:tc>
          <w:tcPr>
            <w:tcW w:w="3544" w:type="dxa"/>
            <w:tcBorders>
              <w:top w:val="single" w:sz="4" w:space="0" w:color="548DD4" w:themeColor="text2" w:themeTint="99"/>
              <w:bottom w:val="single" w:sz="4" w:space="0" w:color="548DD4" w:themeColor="text2" w:themeTint="99"/>
            </w:tcBorders>
            <w:vAlign w:val="center"/>
          </w:tcPr>
          <w:p w14:paraId="5390B066" w14:textId="77777777" w:rsidR="00803E97" w:rsidRDefault="00B65223" w:rsidP="00930721">
            <w:pPr>
              <w:spacing w:after="0"/>
              <w:jc w:val="center"/>
              <w:rPr>
                <w:rFonts w:ascii="Calibri" w:hAnsi="Calibri" w:cs="Calibri"/>
                <w:b/>
                <w:bCs/>
                <w:noProof/>
                <w:color w:val="808080" w:themeColor="background1" w:themeShade="80"/>
                <w:sz w:val="20"/>
                <w:szCs w:val="20"/>
              </w:rPr>
            </w:pPr>
            <w:r w:rsidRPr="00B65223">
              <w:rPr>
                <w:rFonts w:ascii="Calibri" w:hAnsi="Calibri" w:cs="Calibri"/>
                <w:b/>
                <w:bCs/>
                <w:noProof/>
                <w:color w:val="808080" w:themeColor="background1" w:themeShade="80"/>
                <w:sz w:val="20"/>
                <w:szCs w:val="20"/>
              </w:rPr>
              <w:t>Age</w:t>
            </w:r>
          </w:p>
          <w:p w14:paraId="2BE97161" w14:textId="1164DAB0" w:rsidR="00803E97" w:rsidRDefault="00056670" w:rsidP="00930721">
            <w:pPr>
              <w:spacing w:after="0"/>
              <w:jc w:val="center"/>
              <w:rPr>
                <w:rFonts w:ascii="Calibri" w:hAnsi="Calibri" w:cs="Calibri"/>
                <w:noProof/>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0FCE0901" wp14:editId="70D151C5">
                  <wp:extent cx="2406769" cy="661504"/>
                  <wp:effectExtent l="0" t="0" r="0" b="5715"/>
                  <wp:docPr id="1377269257" name="Picture 13" descr="Staff ages this quarter:&#10;15 staff are between 16 and 24, 141 staff are between 25 and 34, 173 are between 35 and 44, 244 are between 45 and 54, 204 are between 55 and 64 and 25 are 65 or o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69257" name="Picture 13" descr="Staff ages this quarter:&#10;15 staff are between 16 and 24, 141 staff are between 25 and 34, 173 are between 35 and 44, 244 are between 45 and 54, 204 are between 55 and 64 and 25 are 65 or over&#1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507903" cy="689301"/>
                          </a:xfrm>
                          <a:prstGeom prst="rect">
                            <a:avLst/>
                          </a:prstGeom>
                          <a:noFill/>
                        </pic:spPr>
                      </pic:pic>
                    </a:graphicData>
                  </a:graphic>
                </wp:inline>
              </w:drawing>
            </w:r>
          </w:p>
          <w:p w14:paraId="6A773902" w14:textId="244C09B2" w:rsidR="00B65223" w:rsidRDefault="00B65223" w:rsidP="00930721">
            <w:pPr>
              <w:spacing w:after="0"/>
              <w:jc w:val="center"/>
              <w:rPr>
                <w:rFonts w:ascii="Calibri" w:hAnsi="Calibri" w:cs="Calibri"/>
                <w:noProof/>
                <w:color w:val="808080" w:themeColor="background1" w:themeShade="80"/>
                <w:sz w:val="20"/>
                <w:szCs w:val="20"/>
                <w:lang w:eastAsia="en-GB"/>
              </w:rPr>
            </w:pPr>
            <w:r w:rsidRPr="00B65223">
              <w:rPr>
                <w:rFonts w:ascii="Calibri" w:hAnsi="Calibri" w:cs="Calibri"/>
                <w:b/>
                <w:bCs/>
                <w:noProof/>
                <w:color w:val="808080" w:themeColor="background1" w:themeShade="80"/>
                <w:sz w:val="20"/>
                <w:szCs w:val="20"/>
                <w:lang w:eastAsia="en-GB"/>
              </w:rPr>
              <w:t>Disability</w:t>
            </w:r>
          </w:p>
          <w:p w14:paraId="540C4E1D" w14:textId="18E4A52E" w:rsidR="004914EA" w:rsidRDefault="00E75BB0" w:rsidP="00B65223">
            <w:pPr>
              <w:spacing w:after="0"/>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28B1B330" wp14:editId="03B99034">
                  <wp:extent cx="2249805" cy="853440"/>
                  <wp:effectExtent l="0" t="0" r="0" b="3810"/>
                  <wp:docPr id="498124203" name="Picture 11" descr="19 staff have declared a dis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124203" name="Picture 11" descr="19 staff have declared a disability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49805" cy="853440"/>
                          </a:xfrm>
                          <a:prstGeom prst="rect">
                            <a:avLst/>
                          </a:prstGeom>
                          <a:noFill/>
                        </pic:spPr>
                      </pic:pic>
                    </a:graphicData>
                  </a:graphic>
                </wp:inline>
              </w:drawing>
            </w:r>
          </w:p>
          <w:p w14:paraId="751D762E" w14:textId="77777777" w:rsidR="00B65223" w:rsidRPr="00B65223" w:rsidRDefault="00B65223" w:rsidP="00B65223">
            <w:pPr>
              <w:spacing w:after="0"/>
              <w:jc w:val="center"/>
              <w:rPr>
                <w:rFonts w:ascii="Calibri" w:hAnsi="Calibri" w:cs="Calibri"/>
                <w:b/>
                <w:bCs/>
                <w:color w:val="808080" w:themeColor="background1" w:themeShade="80"/>
                <w:sz w:val="20"/>
                <w:szCs w:val="20"/>
              </w:rPr>
            </w:pPr>
            <w:r w:rsidRPr="00B65223">
              <w:rPr>
                <w:rFonts w:ascii="Calibri" w:hAnsi="Calibri" w:cs="Calibri"/>
                <w:b/>
                <w:bCs/>
                <w:color w:val="808080" w:themeColor="background1" w:themeShade="80"/>
                <w:sz w:val="20"/>
                <w:szCs w:val="20"/>
              </w:rPr>
              <w:t>Ethnicity</w:t>
            </w:r>
          </w:p>
          <w:p w14:paraId="4D0EAEC7" w14:textId="6276EFA4" w:rsidR="00B65223" w:rsidRPr="00A15D6F" w:rsidRDefault="00803E97" w:rsidP="00B65223">
            <w:pPr>
              <w:spacing w:after="0"/>
              <w:rPr>
                <w:rFonts w:ascii="Calibri" w:hAnsi="Calibri" w:cs="Calibri"/>
                <w:color w:val="808080" w:themeColor="background1" w:themeShade="80"/>
                <w:sz w:val="20"/>
                <w:szCs w:val="20"/>
              </w:rPr>
            </w:pPr>
            <w:r>
              <w:rPr>
                <w:rFonts w:ascii="Calibri" w:hAnsi="Calibri" w:cs="Calibri"/>
                <w:noProof/>
                <w:color w:val="808080" w:themeColor="background1" w:themeShade="80"/>
                <w:sz w:val="20"/>
                <w:szCs w:val="20"/>
                <w:lang w:eastAsia="en-GB"/>
              </w:rPr>
              <w:drawing>
                <wp:inline distT="0" distB="0" distL="0" distR="0" wp14:anchorId="22F19EE0" wp14:editId="4D4FFFD2">
                  <wp:extent cx="2748869" cy="845389"/>
                  <wp:effectExtent l="0" t="0" r="0" b="0"/>
                  <wp:docPr id="535287396" name="Picture 7" descr="Staff workforce ethnicity:&#10;0 staff identify as Black Scottish/British, 612 have not declared, 10 prefer not to say, 15 identify as other, 164 identify as white and 1 identifies are Caribb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87396" name="Picture 7" descr="Staff workforce ethnicity:&#10;0 staff identify as Black Scottish/British, 612 have not declared, 10 prefer not to say, 15 identify as other, 164 identify as white and 1 identifies are Caribbea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80482" cy="855111"/>
                          </a:xfrm>
                          <a:prstGeom prst="rect">
                            <a:avLst/>
                          </a:prstGeom>
                          <a:noFill/>
                        </pic:spPr>
                      </pic:pic>
                    </a:graphicData>
                  </a:graphic>
                </wp:inline>
              </w:drawing>
            </w:r>
          </w:p>
        </w:tc>
        <w:tc>
          <w:tcPr>
            <w:tcW w:w="992" w:type="dxa"/>
            <w:tcBorders>
              <w:top w:val="single" w:sz="4" w:space="0" w:color="548DD4" w:themeColor="text2" w:themeTint="99"/>
              <w:bottom w:val="single" w:sz="4" w:space="0" w:color="548DD4" w:themeColor="text2" w:themeTint="99"/>
            </w:tcBorders>
            <w:vAlign w:val="center"/>
          </w:tcPr>
          <w:p w14:paraId="4753D3D2" w14:textId="7AD2F975" w:rsidR="004914EA" w:rsidRPr="00A15D6F" w:rsidRDefault="004914EA" w:rsidP="00930721">
            <w:pPr>
              <w:spacing w:after="0"/>
              <w:jc w:val="center"/>
              <w:rPr>
                <w:rFonts w:ascii="Calibri" w:hAnsi="Calibri" w:cs="Calibri"/>
                <w:color w:val="808080" w:themeColor="background1" w:themeShade="80"/>
                <w:sz w:val="20"/>
                <w:szCs w:val="20"/>
              </w:rPr>
            </w:pPr>
          </w:p>
        </w:tc>
        <w:tc>
          <w:tcPr>
            <w:tcW w:w="3544" w:type="dxa"/>
            <w:tcBorders>
              <w:top w:val="single" w:sz="4" w:space="0" w:color="548DD4" w:themeColor="text2" w:themeTint="99"/>
              <w:bottom w:val="single" w:sz="4" w:space="0" w:color="548DD4" w:themeColor="text2" w:themeTint="99"/>
            </w:tcBorders>
            <w:vAlign w:val="center"/>
          </w:tcPr>
          <w:p w14:paraId="75F1FCB9" w14:textId="47153FAF" w:rsidR="004914EA" w:rsidRPr="00A15D6F" w:rsidRDefault="00056670" w:rsidP="004F3330">
            <w:pPr>
              <w:spacing w:after="0"/>
              <w:jc w:val="both"/>
              <w:rPr>
                <w:rFonts w:ascii="Calibri" w:hAnsi="Calibri" w:cs="Calibri"/>
                <w:color w:val="808080" w:themeColor="background1" w:themeShade="80"/>
                <w:sz w:val="20"/>
                <w:szCs w:val="20"/>
                <w:highlight w:val="yellow"/>
              </w:rPr>
            </w:pPr>
            <w:r>
              <w:rPr>
                <w:rFonts w:ascii="Calibri" w:hAnsi="Calibri" w:cs="Calibri"/>
                <w:color w:val="808080" w:themeColor="background1" w:themeShade="80"/>
                <w:sz w:val="20"/>
                <w:szCs w:val="20"/>
              </w:rPr>
              <w:t>Cultural</w:t>
            </w:r>
            <w:r w:rsidR="00A04497" w:rsidRPr="00A15D6F">
              <w:rPr>
                <w:rFonts w:ascii="Calibri" w:hAnsi="Calibri" w:cs="Calibri"/>
                <w:color w:val="808080" w:themeColor="background1" w:themeShade="80"/>
                <w:sz w:val="20"/>
                <w:szCs w:val="20"/>
              </w:rPr>
              <w:t xml:space="preserve"> norms</w:t>
            </w:r>
            <w:r>
              <w:rPr>
                <w:rFonts w:ascii="Calibri" w:hAnsi="Calibri" w:cs="Calibri"/>
                <w:color w:val="808080" w:themeColor="background1" w:themeShade="80"/>
                <w:sz w:val="20"/>
                <w:szCs w:val="20"/>
              </w:rPr>
              <w:t xml:space="preserve"> remain</w:t>
            </w:r>
            <w:r w:rsidR="00A04497" w:rsidRPr="00A15D6F">
              <w:rPr>
                <w:rFonts w:ascii="Calibri" w:hAnsi="Calibri" w:cs="Calibri"/>
                <w:color w:val="808080" w:themeColor="background1" w:themeShade="80"/>
                <w:sz w:val="20"/>
                <w:szCs w:val="20"/>
              </w:rPr>
              <w:t>. We continue to work in Partnership to tackle these</w:t>
            </w:r>
          </w:p>
        </w:tc>
        <w:tc>
          <w:tcPr>
            <w:tcW w:w="4258" w:type="dxa"/>
            <w:tcBorders>
              <w:top w:val="single" w:sz="4" w:space="0" w:color="548DD4" w:themeColor="text2" w:themeTint="99"/>
              <w:bottom w:val="single" w:sz="4" w:space="0" w:color="548DD4" w:themeColor="text2" w:themeTint="99"/>
            </w:tcBorders>
            <w:vAlign w:val="center"/>
          </w:tcPr>
          <w:p w14:paraId="5F793273" w14:textId="131F16D2" w:rsidR="004914EA" w:rsidRPr="00FC4847" w:rsidRDefault="000C0C63" w:rsidP="0070585B">
            <w:pPr>
              <w:spacing w:after="0"/>
              <w:jc w:val="both"/>
              <w:rPr>
                <w:rFonts w:ascii="Calibri" w:hAnsi="Calibri" w:cs="Calibri"/>
                <w:color w:val="808080" w:themeColor="background1" w:themeShade="80"/>
                <w:sz w:val="20"/>
                <w:szCs w:val="20"/>
              </w:rPr>
            </w:pPr>
            <w:r w:rsidRPr="00FC4847">
              <w:rPr>
                <w:rFonts w:ascii="Calibri" w:hAnsi="Calibri" w:cs="Calibri"/>
                <w:color w:val="808080" w:themeColor="background1" w:themeShade="80"/>
                <w:sz w:val="20"/>
                <w:szCs w:val="20"/>
              </w:rPr>
              <w:t>We</w:t>
            </w:r>
            <w:r w:rsidR="00A04497" w:rsidRPr="00FC4847">
              <w:rPr>
                <w:rFonts w:ascii="Calibri" w:hAnsi="Calibri" w:cs="Calibri"/>
                <w:color w:val="808080" w:themeColor="background1" w:themeShade="80"/>
                <w:sz w:val="20"/>
                <w:szCs w:val="20"/>
              </w:rPr>
              <w:t xml:space="preserve"> will continue</w:t>
            </w:r>
            <w:r w:rsidRPr="00FC4847">
              <w:rPr>
                <w:rFonts w:ascii="Calibri" w:hAnsi="Calibri" w:cs="Calibri"/>
                <w:color w:val="808080" w:themeColor="background1" w:themeShade="80"/>
                <w:sz w:val="20"/>
                <w:szCs w:val="20"/>
              </w:rPr>
              <w:t xml:space="preserve"> to </w:t>
            </w:r>
            <w:r w:rsidR="00A04497" w:rsidRPr="00FC4847">
              <w:rPr>
                <w:rFonts w:ascii="Calibri" w:hAnsi="Calibri" w:cs="Calibri"/>
                <w:color w:val="808080" w:themeColor="background1" w:themeShade="80"/>
                <w:sz w:val="20"/>
                <w:szCs w:val="20"/>
              </w:rPr>
              <w:t xml:space="preserve">work on </w:t>
            </w:r>
            <w:r w:rsidR="00FC4847" w:rsidRPr="00FC4847">
              <w:rPr>
                <w:rFonts w:ascii="Calibri" w:hAnsi="Calibri" w:cs="Calibri"/>
                <w:color w:val="808080" w:themeColor="background1" w:themeShade="80"/>
                <w:sz w:val="20"/>
                <w:szCs w:val="20"/>
              </w:rPr>
              <w:t xml:space="preserve">Equality, </w:t>
            </w:r>
            <w:r w:rsidR="00DE3F09" w:rsidRPr="00FC4847">
              <w:rPr>
                <w:rFonts w:ascii="Calibri" w:hAnsi="Calibri" w:cs="Calibri"/>
                <w:color w:val="808080" w:themeColor="background1" w:themeShade="80"/>
                <w:sz w:val="20"/>
                <w:szCs w:val="20"/>
              </w:rPr>
              <w:t>Diversity</w:t>
            </w:r>
            <w:r w:rsidR="00FC4847" w:rsidRPr="00FC4847">
              <w:rPr>
                <w:rFonts w:ascii="Calibri" w:hAnsi="Calibri" w:cs="Calibri"/>
                <w:color w:val="808080" w:themeColor="background1" w:themeShade="80"/>
                <w:sz w:val="20"/>
                <w:szCs w:val="20"/>
              </w:rPr>
              <w:t xml:space="preserve"> and Inclusion (</w:t>
            </w:r>
            <w:r w:rsidR="00A04497" w:rsidRPr="00FC4847">
              <w:rPr>
                <w:rFonts w:ascii="Calibri" w:hAnsi="Calibri" w:cs="Calibri"/>
                <w:color w:val="808080" w:themeColor="background1" w:themeShade="80"/>
                <w:sz w:val="20"/>
                <w:szCs w:val="20"/>
              </w:rPr>
              <w:t>EDI</w:t>
            </w:r>
            <w:r w:rsidR="00FC4847" w:rsidRPr="00FC4847">
              <w:rPr>
                <w:rFonts w:ascii="Calibri" w:hAnsi="Calibri" w:cs="Calibri"/>
                <w:color w:val="808080" w:themeColor="background1" w:themeShade="80"/>
                <w:sz w:val="20"/>
                <w:szCs w:val="20"/>
              </w:rPr>
              <w:t>)</w:t>
            </w:r>
            <w:r w:rsidR="00A04497" w:rsidRPr="00FC4847">
              <w:rPr>
                <w:rFonts w:ascii="Calibri" w:hAnsi="Calibri" w:cs="Calibri"/>
                <w:color w:val="808080" w:themeColor="background1" w:themeShade="80"/>
                <w:sz w:val="20"/>
                <w:szCs w:val="20"/>
              </w:rPr>
              <w:t xml:space="preserve"> actions and increas</w:t>
            </w:r>
            <w:r w:rsidRPr="00FC4847">
              <w:rPr>
                <w:rFonts w:ascii="Calibri" w:hAnsi="Calibri" w:cs="Calibri"/>
                <w:color w:val="808080" w:themeColor="background1" w:themeShade="80"/>
                <w:sz w:val="20"/>
                <w:szCs w:val="20"/>
              </w:rPr>
              <w:t>e</w:t>
            </w:r>
            <w:r w:rsidR="00A04497" w:rsidRPr="00FC4847">
              <w:rPr>
                <w:rFonts w:ascii="Calibri" w:hAnsi="Calibri" w:cs="Calibri"/>
                <w:color w:val="808080" w:themeColor="background1" w:themeShade="80"/>
                <w:sz w:val="20"/>
                <w:szCs w:val="20"/>
              </w:rPr>
              <w:t xml:space="preserve"> opportunities within diverse communities.  In Q3</w:t>
            </w:r>
            <w:r w:rsidRPr="00FC4847">
              <w:rPr>
                <w:rFonts w:ascii="Calibri" w:hAnsi="Calibri" w:cs="Calibri"/>
                <w:color w:val="808080" w:themeColor="background1" w:themeShade="80"/>
                <w:sz w:val="20"/>
                <w:szCs w:val="20"/>
              </w:rPr>
              <w:t xml:space="preserve"> &amp;</w:t>
            </w:r>
            <w:r w:rsidR="00A04497" w:rsidRPr="00FC4847">
              <w:rPr>
                <w:rFonts w:ascii="Calibri" w:hAnsi="Calibri" w:cs="Calibri"/>
                <w:color w:val="808080" w:themeColor="background1" w:themeShade="80"/>
                <w:sz w:val="20"/>
                <w:szCs w:val="20"/>
              </w:rPr>
              <w:t xml:space="preserve"> Q4 </w:t>
            </w:r>
            <w:r w:rsidRPr="00FC4847">
              <w:rPr>
                <w:rFonts w:ascii="Calibri" w:hAnsi="Calibri" w:cs="Calibri"/>
                <w:color w:val="808080" w:themeColor="background1" w:themeShade="80"/>
                <w:sz w:val="20"/>
                <w:szCs w:val="20"/>
              </w:rPr>
              <w:t>the</w:t>
            </w:r>
            <w:r w:rsidR="00A04497" w:rsidRPr="00FC4847">
              <w:rPr>
                <w:rFonts w:ascii="Calibri" w:hAnsi="Calibri" w:cs="Calibri"/>
                <w:color w:val="808080" w:themeColor="background1" w:themeShade="80"/>
                <w:sz w:val="20"/>
                <w:szCs w:val="20"/>
              </w:rPr>
              <w:t xml:space="preserve"> POD Senior Adviser </w:t>
            </w:r>
            <w:r w:rsidR="00FC4847" w:rsidRPr="00FC4847">
              <w:rPr>
                <w:rFonts w:ascii="Calibri" w:hAnsi="Calibri" w:cs="Calibri"/>
                <w:color w:val="808080" w:themeColor="background1" w:themeShade="80"/>
                <w:sz w:val="20"/>
                <w:szCs w:val="20"/>
              </w:rPr>
              <w:t>will</w:t>
            </w:r>
            <w:r w:rsidR="00A04497" w:rsidRPr="00FC4847">
              <w:rPr>
                <w:rFonts w:ascii="Calibri" w:hAnsi="Calibri" w:cs="Calibri"/>
                <w:color w:val="808080" w:themeColor="background1" w:themeShade="80"/>
                <w:sz w:val="20"/>
                <w:szCs w:val="20"/>
              </w:rPr>
              <w:t xml:space="preserve"> </w:t>
            </w:r>
            <w:r w:rsidRPr="00FC4847">
              <w:rPr>
                <w:rFonts w:ascii="Calibri" w:hAnsi="Calibri" w:cs="Calibri"/>
                <w:color w:val="808080" w:themeColor="background1" w:themeShade="80"/>
                <w:sz w:val="20"/>
                <w:szCs w:val="20"/>
              </w:rPr>
              <w:t>e</w:t>
            </w:r>
            <w:r w:rsidR="00A04497" w:rsidRPr="00FC4847">
              <w:rPr>
                <w:rFonts w:ascii="Calibri" w:hAnsi="Calibri" w:cs="Calibri"/>
                <w:color w:val="808080" w:themeColor="background1" w:themeShade="80"/>
                <w:sz w:val="20"/>
                <w:szCs w:val="20"/>
              </w:rPr>
              <w:t>ncourage staff to complete their EDI data</w:t>
            </w:r>
            <w:r w:rsidRPr="00FC4847">
              <w:rPr>
                <w:rFonts w:ascii="Calibri" w:hAnsi="Calibri" w:cs="Calibri"/>
                <w:color w:val="808080" w:themeColor="background1" w:themeShade="80"/>
                <w:sz w:val="20"/>
                <w:szCs w:val="20"/>
              </w:rPr>
              <w:t xml:space="preserve"> and </w:t>
            </w:r>
            <w:r w:rsidR="00DE3F09">
              <w:rPr>
                <w:rFonts w:ascii="Calibri" w:hAnsi="Calibri" w:cs="Calibri"/>
                <w:color w:val="808080" w:themeColor="background1" w:themeShade="80"/>
                <w:sz w:val="20"/>
                <w:szCs w:val="20"/>
              </w:rPr>
              <w:t>will</w:t>
            </w:r>
            <w:r w:rsidR="00A04497" w:rsidRPr="00FC4847">
              <w:rPr>
                <w:rFonts w:ascii="Calibri" w:hAnsi="Calibri" w:cs="Calibri"/>
                <w:color w:val="808080" w:themeColor="background1" w:themeShade="80"/>
                <w:sz w:val="20"/>
                <w:szCs w:val="20"/>
              </w:rPr>
              <w:t xml:space="preserve"> restructure and amend the questions we ask staff to complete</w:t>
            </w:r>
            <w:r w:rsidR="00DE3F09">
              <w:rPr>
                <w:rFonts w:ascii="Calibri" w:hAnsi="Calibri" w:cs="Calibri"/>
                <w:color w:val="808080" w:themeColor="background1" w:themeShade="80"/>
                <w:sz w:val="20"/>
                <w:szCs w:val="20"/>
              </w:rPr>
              <w:t>,</w:t>
            </w:r>
            <w:r w:rsidR="00A04497" w:rsidRPr="00FC4847">
              <w:rPr>
                <w:rFonts w:ascii="Calibri" w:hAnsi="Calibri" w:cs="Calibri"/>
                <w:color w:val="808080" w:themeColor="background1" w:themeShade="80"/>
                <w:sz w:val="20"/>
                <w:szCs w:val="20"/>
              </w:rPr>
              <w:t xml:space="preserve"> to </w:t>
            </w:r>
            <w:r w:rsidRPr="00FC4847">
              <w:rPr>
                <w:rFonts w:ascii="Calibri" w:hAnsi="Calibri" w:cs="Calibri"/>
                <w:color w:val="808080" w:themeColor="background1" w:themeShade="80"/>
                <w:sz w:val="20"/>
                <w:szCs w:val="20"/>
              </w:rPr>
              <w:t>encourage</w:t>
            </w:r>
            <w:r w:rsidR="00A04497" w:rsidRPr="00FC4847">
              <w:rPr>
                <w:rFonts w:ascii="Calibri" w:hAnsi="Calibri" w:cs="Calibri"/>
                <w:color w:val="808080" w:themeColor="background1" w:themeShade="80"/>
                <w:sz w:val="20"/>
                <w:szCs w:val="20"/>
              </w:rPr>
              <w:t xml:space="preserve"> a higher response rate</w:t>
            </w:r>
            <w:r w:rsidR="00DE3F09">
              <w:rPr>
                <w:rFonts w:ascii="Calibri" w:hAnsi="Calibri" w:cs="Calibri"/>
                <w:color w:val="808080" w:themeColor="background1" w:themeShade="80"/>
                <w:sz w:val="20"/>
                <w:szCs w:val="20"/>
              </w:rPr>
              <w:t>.</w:t>
            </w:r>
          </w:p>
        </w:tc>
      </w:tr>
    </w:tbl>
    <w:p w14:paraId="6E85F210" w14:textId="77777777" w:rsidR="008D20BE" w:rsidRDefault="008D20BE" w:rsidP="008D20BE">
      <w:pPr>
        <w:rPr>
          <w:rFonts w:ascii="Calibri" w:hAnsi="Calibri" w:cs="Calibri"/>
          <w:szCs w:val="24"/>
        </w:rPr>
      </w:pPr>
    </w:p>
    <w:p w14:paraId="23A45377" w14:textId="77777777" w:rsidR="008D20BE" w:rsidRPr="00003504" w:rsidRDefault="008D20BE" w:rsidP="008D20BE">
      <w:pPr>
        <w:rPr>
          <w:rFonts w:ascii="Calibri" w:eastAsia="Calibri" w:hAnsi="Calibri" w:cs="Calibri"/>
          <w:color w:val="000000" w:themeColor="text1"/>
          <w:szCs w:val="24"/>
        </w:rPr>
        <w:sectPr w:rsidR="008D20BE" w:rsidRPr="00003504" w:rsidSect="00A22E32">
          <w:pgSz w:w="16838" w:h="11906" w:orient="landscape"/>
          <w:pgMar w:top="807" w:right="624" w:bottom="624" w:left="624" w:header="284" w:footer="709" w:gutter="0"/>
          <w:cols w:space="708"/>
          <w:docGrid w:linePitch="360"/>
        </w:sectPr>
      </w:pPr>
    </w:p>
    <w:p w14:paraId="38903ADB" w14:textId="38162CC2" w:rsidR="008D20BE" w:rsidRPr="00030D53" w:rsidRDefault="008D20BE" w:rsidP="00030D53">
      <w:pPr>
        <w:pStyle w:val="Heading2"/>
        <w:rPr>
          <w:rFonts w:ascii="Calibri" w:hAnsi="Calibri" w:cs="Calibri"/>
          <w:color w:val="5E8CC0"/>
        </w:rPr>
      </w:pPr>
      <w:r w:rsidRPr="00670ABC">
        <w:rPr>
          <w:rFonts w:ascii="Calibri" w:hAnsi="Calibri" w:cs="Calibri"/>
          <w:color w:val="5E8CC0"/>
        </w:rPr>
        <w:lastRenderedPageBreak/>
        <w:t>FINANCE</w:t>
      </w:r>
      <w:r w:rsidR="00701FAD">
        <w:rPr>
          <w:rFonts w:ascii="Calibri" w:hAnsi="Calibri" w:cs="Calibri"/>
          <w:color w:val="5E8CC0"/>
        </w:rPr>
        <w:t xml:space="preserve"> </w:t>
      </w:r>
    </w:p>
    <w:tbl>
      <w:tblPr>
        <w:tblW w:w="9889" w:type="dxa"/>
        <w:tblCellMar>
          <w:left w:w="0" w:type="dxa"/>
          <w:right w:w="0" w:type="dxa"/>
        </w:tblCellMar>
        <w:tblLook w:val="0420" w:firstRow="1" w:lastRow="0" w:firstColumn="0" w:lastColumn="0" w:noHBand="0" w:noVBand="1"/>
      </w:tblPr>
      <w:tblGrid>
        <w:gridCol w:w="2080"/>
        <w:gridCol w:w="2388"/>
        <w:gridCol w:w="1132"/>
        <w:gridCol w:w="1189"/>
        <w:gridCol w:w="1399"/>
        <w:gridCol w:w="1701"/>
      </w:tblGrid>
      <w:tr w:rsidR="00030D53" w:rsidRPr="0083152F" w14:paraId="77762463" w14:textId="77777777" w:rsidTr="008D20BE">
        <w:trPr>
          <w:trHeight w:val="584"/>
        </w:trPr>
        <w:tc>
          <w:tcPr>
            <w:tcW w:w="2080"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02EBEE6" w14:textId="34602101"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Financial Metrics (£m)</w:t>
            </w:r>
          </w:p>
        </w:tc>
        <w:tc>
          <w:tcPr>
            <w:tcW w:w="2388"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6C5E4123" w14:textId="117F7E44"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Measure</w:t>
            </w:r>
          </w:p>
        </w:tc>
        <w:tc>
          <w:tcPr>
            <w:tcW w:w="1132"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76F5D5C5" w14:textId="3A44F6E3"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Budget</w:t>
            </w:r>
          </w:p>
        </w:tc>
        <w:tc>
          <w:tcPr>
            <w:tcW w:w="118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5016E2B9" w14:textId="24CAA304"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Forecast</w:t>
            </w:r>
          </w:p>
        </w:tc>
        <w:tc>
          <w:tcPr>
            <w:tcW w:w="1399"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1904AC4D" w14:textId="07AC115E"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Variance</w:t>
            </w:r>
          </w:p>
        </w:tc>
        <w:tc>
          <w:tcPr>
            <w:tcW w:w="1701" w:type="dxa"/>
            <w:tcBorders>
              <w:top w:val="single" w:sz="8" w:space="0" w:color="FFFFFF"/>
              <w:left w:val="single" w:sz="8" w:space="0" w:color="FFFFFF"/>
              <w:bottom w:val="single" w:sz="24" w:space="0" w:color="FFFFFF"/>
              <w:right w:val="single" w:sz="8" w:space="0" w:color="FFFFFF"/>
            </w:tcBorders>
            <w:shd w:val="clear" w:color="auto" w:fill="5E8CC0"/>
            <w:tcMar>
              <w:top w:w="15" w:type="dxa"/>
              <w:left w:w="108" w:type="dxa"/>
              <w:bottom w:w="0" w:type="dxa"/>
              <w:right w:w="108" w:type="dxa"/>
            </w:tcMar>
            <w:vAlign w:val="center"/>
            <w:hideMark/>
          </w:tcPr>
          <w:p w14:paraId="6352B853" w14:textId="290644B3"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b/>
                <w:bCs/>
                <w:color w:val="000000" w:themeColor="text1"/>
                <w:kern w:val="24"/>
                <w:szCs w:val="24"/>
                <w:lang w:eastAsia="en-GB"/>
              </w:rPr>
              <w:t>Rating</w:t>
            </w:r>
          </w:p>
        </w:tc>
      </w:tr>
      <w:tr w:rsidR="00030D53" w:rsidRPr="0083152F" w14:paraId="417EDCBE" w14:textId="77777777" w:rsidTr="008D20BE">
        <w:trPr>
          <w:trHeight w:val="584"/>
        </w:trPr>
        <w:tc>
          <w:tcPr>
            <w:tcW w:w="2080"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0A5EDACF" w14:textId="6A6DA24A"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bCs/>
                <w:color w:val="000000" w:themeColor="dark1"/>
                <w:kern w:val="24"/>
                <w:szCs w:val="24"/>
                <w:lang w:eastAsia="en-GB"/>
              </w:rPr>
              <w:t>Resource Budget</w:t>
            </w:r>
          </w:p>
        </w:tc>
        <w:tc>
          <w:tcPr>
            <w:tcW w:w="2388"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73FCFFF4" w14:textId="621FCABC"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4BF41BCA" w14:textId="4C926EBE"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60.8</w:t>
            </w:r>
          </w:p>
        </w:tc>
        <w:tc>
          <w:tcPr>
            <w:tcW w:w="118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EDB00CD" w14:textId="69D57D93"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61.2</w:t>
            </w:r>
          </w:p>
        </w:tc>
        <w:tc>
          <w:tcPr>
            <w:tcW w:w="1399"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2BAB24E" w14:textId="1D7D3949"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kern w:val="24"/>
                <w:szCs w:val="24"/>
                <w:lang w:eastAsia="en-GB"/>
              </w:rPr>
              <w:t>(</w:t>
            </w:r>
            <w:r w:rsidRPr="00801612">
              <w:rPr>
                <w:rFonts w:ascii="Calibri" w:eastAsia="Times New Roman" w:hAnsi="Calibri" w:cs="Calibri"/>
                <w:kern w:val="24"/>
                <w:szCs w:val="24"/>
                <w:lang w:eastAsia="en-GB"/>
              </w:rPr>
              <w:t>0.</w:t>
            </w:r>
            <w:r>
              <w:rPr>
                <w:rFonts w:ascii="Calibri" w:eastAsia="Times New Roman" w:hAnsi="Calibri" w:cs="Calibri"/>
                <w:kern w:val="24"/>
                <w:szCs w:val="24"/>
                <w:lang w:eastAsia="en-GB"/>
              </w:rPr>
              <w:t>4)</w:t>
            </w:r>
          </w:p>
        </w:tc>
        <w:tc>
          <w:tcPr>
            <w:tcW w:w="1701" w:type="dxa"/>
            <w:tcBorders>
              <w:top w:val="single" w:sz="24"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F5741AA" w14:textId="15D80685"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b/>
                <w:bCs/>
                <w:color w:val="00B050"/>
                <w:kern w:val="24"/>
                <w:szCs w:val="24"/>
                <w:lang w:eastAsia="en-GB"/>
              </w:rPr>
              <w:t>ON TRACK</w:t>
            </w:r>
          </w:p>
        </w:tc>
      </w:tr>
      <w:tr w:rsidR="00030D53" w:rsidRPr="0083152F" w14:paraId="7FDF2055" w14:textId="77777777" w:rsidTr="008D20BE">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3AE73187" w14:textId="6BCB26D8"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heme="minorEastAsia" w:hAnsi="Calibri" w:cs="Calibri"/>
                <w:bCs/>
                <w:color w:val="000000" w:themeColor="dark1"/>
                <w:kern w:val="24"/>
                <w:szCs w:val="24"/>
                <w:lang w:eastAsia="en-GB"/>
              </w:rPr>
              <w:t>Capital</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5263CCFA" w14:textId="2E5E11A5"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5</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59BB70DB" w14:textId="152E08C7"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2.3</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06E559D4" w14:textId="626C01F0"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2.5</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27B3CC72" w14:textId="0067710B"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(0.2)</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37B6EE42" w14:textId="0DDCD0E5" w:rsidR="00030D53" w:rsidRPr="0083152F" w:rsidRDefault="00030D53" w:rsidP="00030D53">
            <w:pPr>
              <w:spacing w:line="256" w:lineRule="auto"/>
              <w:jc w:val="center"/>
              <w:rPr>
                <w:rFonts w:ascii="Calibri" w:eastAsia="Times New Roman" w:hAnsi="Calibri" w:cs="Calibri"/>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030D53" w:rsidRPr="0083152F" w14:paraId="6E9DD26E" w14:textId="77777777" w:rsidTr="008D20BE">
        <w:trPr>
          <w:trHeight w:val="72"/>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DE84C39" w14:textId="0DFBB336" w:rsidR="00030D53" w:rsidRPr="0083152F" w:rsidRDefault="00030D53" w:rsidP="00030D53">
            <w:pPr>
              <w:spacing w:line="256" w:lineRule="auto"/>
              <w:jc w:val="center"/>
              <w:rPr>
                <w:rFonts w:ascii="Calibri" w:eastAsiaTheme="minorEastAsia" w:hAnsi="Calibri" w:cs="Calibri"/>
                <w:bCs/>
                <w:color w:val="000000" w:themeColor="dark1"/>
                <w:kern w:val="24"/>
                <w:szCs w:val="24"/>
                <w:lang w:eastAsia="en-GB"/>
              </w:rPr>
            </w:pPr>
            <w:r>
              <w:rPr>
                <w:rFonts w:ascii="Calibri" w:eastAsiaTheme="minorEastAsia" w:hAnsi="Calibri" w:cs="Calibri"/>
                <w:bCs/>
                <w:color w:val="000000" w:themeColor="dark1"/>
                <w:kern w:val="24"/>
                <w:szCs w:val="24"/>
                <w:lang w:eastAsia="en-GB"/>
              </w:rPr>
              <w:t>Indirect Capital</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43C0FD8D" w14:textId="61A0BEBC"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5</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5DCBD1B4" w14:textId="28B105D9"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16.0</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6F38CB2B" w14:textId="15212CB6"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15.7</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70D71639" w14:textId="51BEC787"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kern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067C6E3D" w14:textId="5E59445C" w:rsidR="00030D53" w:rsidRPr="0083152F" w:rsidRDefault="00030D53" w:rsidP="00030D53">
            <w:pPr>
              <w:spacing w:line="256" w:lineRule="auto"/>
              <w:jc w:val="center"/>
              <w:rPr>
                <w:rFonts w:ascii="Calibri" w:eastAsia="Times New Roman" w:hAnsi="Calibri" w:cs="Calibri"/>
                <w:b/>
                <w:bCs/>
                <w:color w:val="00B050"/>
                <w:kern w:val="24"/>
                <w:szCs w:val="24"/>
                <w:lang w:eastAsia="en-GB"/>
              </w:rPr>
            </w:pPr>
            <w:r w:rsidRPr="00560E81">
              <w:rPr>
                <w:rFonts w:ascii="Calibri" w:eastAsia="Times New Roman" w:hAnsi="Calibri" w:cs="Calibri"/>
                <w:b/>
                <w:bCs/>
                <w:color w:val="00B050"/>
                <w:kern w:val="24"/>
                <w:szCs w:val="24"/>
                <w:lang w:eastAsia="en-GB"/>
              </w:rPr>
              <w:t>ON TRACK</w:t>
            </w:r>
          </w:p>
        </w:tc>
      </w:tr>
      <w:tr w:rsidR="00030D53" w:rsidRPr="0083152F" w14:paraId="608F19BE" w14:textId="77777777" w:rsidTr="008D20BE">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379EAF9C" w14:textId="22B00F71" w:rsidR="00030D53" w:rsidRPr="0083152F" w:rsidRDefault="00030D53" w:rsidP="00030D53">
            <w:pPr>
              <w:spacing w:line="256" w:lineRule="auto"/>
              <w:jc w:val="center"/>
              <w:rPr>
                <w:rFonts w:ascii="Calibri" w:eastAsia="Times New Roman" w:hAnsi="Calibri" w:cs="Calibri"/>
                <w:szCs w:val="24"/>
                <w:lang w:eastAsia="en-GB"/>
              </w:rPr>
            </w:pPr>
            <w:proofErr w:type="spellStart"/>
            <w:r w:rsidRPr="00560E81">
              <w:rPr>
                <w:rFonts w:ascii="Calibri" w:eastAsia="Times New Roman" w:hAnsi="Calibri" w:cs="Calibri"/>
                <w:bCs/>
                <w:color w:val="000000" w:themeColor="dark1"/>
                <w:kern w:val="24"/>
                <w:szCs w:val="24"/>
                <w:lang w:eastAsia="en-GB"/>
              </w:rPr>
              <w:t>Paybill</w:t>
            </w:r>
            <w:proofErr w:type="spellEnd"/>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5DC3D201" w14:textId="43EC25F5"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C5C6481" w14:textId="1BA7EB68"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39.0</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F88712B" w14:textId="2C41B560"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39.3</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06A6352" w14:textId="471421DE"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3C7145CA" w14:textId="1C1AEC1F" w:rsidR="00030D53" w:rsidRPr="0083152F" w:rsidRDefault="00030D53" w:rsidP="00030D53">
            <w:pPr>
              <w:spacing w:line="256" w:lineRule="auto"/>
              <w:jc w:val="center"/>
              <w:rPr>
                <w:rFonts w:ascii="Calibri" w:eastAsia="Times New Roman" w:hAnsi="Calibri" w:cs="Calibri"/>
                <w:color w:val="F79646" w:themeColor="accent6"/>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030D53" w:rsidRPr="0083152F" w14:paraId="4352EB85" w14:textId="77777777" w:rsidTr="008D20BE">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CDB732D" w14:textId="0AAB93E7"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heme="minorEastAsia" w:hAnsi="Calibri" w:cs="Calibri"/>
                <w:bCs/>
                <w:color w:val="000000" w:themeColor="dark1"/>
                <w:kern w:val="24"/>
                <w:szCs w:val="24"/>
                <w:lang w:eastAsia="en-GB"/>
              </w:rPr>
              <w:t>Project Allocation</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39DE676E" w14:textId="3AA6CB54"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target allocation range</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2432B7F6" w14:textId="608FFEEF"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13.1</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48C81968" w14:textId="5A928E2A"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13.4</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tcPr>
          <w:p w14:paraId="3F8377BC" w14:textId="0CA965E4"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(0.3)</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31952FAE" w14:textId="4E8A13A4" w:rsidR="00030D53" w:rsidRPr="0083152F" w:rsidRDefault="00030D53" w:rsidP="00030D53">
            <w:pPr>
              <w:spacing w:line="256" w:lineRule="auto"/>
              <w:jc w:val="center"/>
              <w:rPr>
                <w:rFonts w:ascii="Calibri" w:eastAsia="Times New Roman" w:hAnsi="Calibri" w:cs="Calibri"/>
                <w:color w:val="F79646" w:themeColor="accent6"/>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030D53" w:rsidRPr="0083152F" w14:paraId="417C1C9E" w14:textId="77777777" w:rsidTr="008D20BE">
        <w:trPr>
          <w:trHeight w:val="64"/>
        </w:trPr>
        <w:tc>
          <w:tcPr>
            <w:tcW w:w="2080"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5F2227D4" w14:textId="77777777" w:rsidR="00030D53" w:rsidRPr="0083152F" w:rsidRDefault="00030D53" w:rsidP="00887D1D">
            <w:pPr>
              <w:spacing w:line="256" w:lineRule="auto"/>
              <w:ind w:left="-262"/>
              <w:jc w:val="center"/>
              <w:rPr>
                <w:rFonts w:ascii="Calibri" w:eastAsiaTheme="minorEastAsia" w:hAnsi="Calibri" w:cs="Calibri"/>
                <w:bCs/>
                <w:color w:val="000000" w:themeColor="dark1"/>
                <w:kern w:val="24"/>
                <w:szCs w:val="24"/>
                <w:lang w:eastAsia="en-GB"/>
              </w:rPr>
            </w:pPr>
          </w:p>
        </w:tc>
        <w:tc>
          <w:tcPr>
            <w:tcW w:w="2388"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tcPr>
          <w:p w14:paraId="3C5EDA0A" w14:textId="77777777"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p>
        </w:tc>
        <w:tc>
          <w:tcPr>
            <w:tcW w:w="1132"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1DDF8C4C" w14:textId="77777777"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p>
        </w:tc>
        <w:tc>
          <w:tcPr>
            <w:tcW w:w="1189"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24161135" w14:textId="77777777"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p>
        </w:tc>
        <w:tc>
          <w:tcPr>
            <w:tcW w:w="1399"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7D9EF0AC" w14:textId="77777777"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p>
        </w:tc>
        <w:tc>
          <w:tcPr>
            <w:tcW w:w="1701" w:type="dxa"/>
            <w:tcBorders>
              <w:top w:val="single" w:sz="8" w:space="0" w:color="FFFFFF"/>
              <w:left w:val="single" w:sz="8" w:space="0" w:color="FFFFFF"/>
              <w:bottom w:val="single" w:sz="8" w:space="0" w:color="FFFFFF"/>
              <w:right w:val="single" w:sz="8" w:space="0" w:color="FFFFFF"/>
            </w:tcBorders>
            <w:tcMar>
              <w:top w:w="15" w:type="dxa"/>
              <w:left w:w="108" w:type="dxa"/>
              <w:bottom w:w="0" w:type="dxa"/>
              <w:right w:w="108" w:type="dxa"/>
            </w:tcMar>
            <w:vAlign w:val="center"/>
          </w:tcPr>
          <w:p w14:paraId="5583EF31" w14:textId="77777777" w:rsidR="00030D53" w:rsidRPr="0083152F" w:rsidRDefault="00030D53" w:rsidP="00030D53">
            <w:pPr>
              <w:spacing w:line="256" w:lineRule="auto"/>
              <w:jc w:val="center"/>
              <w:rPr>
                <w:rFonts w:ascii="Calibri" w:eastAsia="Times New Roman" w:hAnsi="Calibri" w:cs="Calibri"/>
                <w:b/>
                <w:bCs/>
                <w:color w:val="FFC000"/>
                <w:kern w:val="24"/>
                <w:szCs w:val="24"/>
                <w:lang w:eastAsia="en-GB"/>
              </w:rPr>
            </w:pPr>
          </w:p>
        </w:tc>
      </w:tr>
      <w:tr w:rsidR="00030D53" w:rsidRPr="0083152F" w14:paraId="68235240" w14:textId="77777777" w:rsidTr="008D20BE">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5162AFDD" w14:textId="4EE5CC70"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Arial" w:hAnsi="Calibri" w:cs="Calibri"/>
                <w:bCs/>
                <w:color w:val="000000" w:themeColor="text1"/>
                <w:kern w:val="24"/>
                <w:szCs w:val="24"/>
                <w:lang w:eastAsia="en-GB"/>
              </w:rPr>
              <w:t>Peatlands</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5201A2A7" w14:textId="28AF5614"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 xml:space="preserve">Outturn within </w:t>
            </w:r>
            <w:r>
              <w:rPr>
                <w:rFonts w:ascii="Calibri" w:eastAsia="Times New Roman" w:hAnsi="Calibri" w:cs="Calibri"/>
                <w:color w:val="000000" w:themeColor="dark1"/>
                <w:kern w:val="24"/>
                <w:szCs w:val="24"/>
                <w:lang w:eastAsia="en-GB"/>
              </w:rPr>
              <w:t>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23C9B3B1" w14:textId="56EF46F7"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14.3</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0BFF4AAC" w14:textId="05B6B06C"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14.3</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5BE052E4" w14:textId="6A13E77A"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7D8EDB0" w14:textId="6CB5C03B" w:rsidR="00030D53" w:rsidRPr="0083152F" w:rsidRDefault="00030D53" w:rsidP="00030D53">
            <w:pPr>
              <w:spacing w:line="256" w:lineRule="auto"/>
              <w:jc w:val="center"/>
              <w:rPr>
                <w:rFonts w:ascii="Calibri" w:eastAsia="Times New Roman" w:hAnsi="Calibri" w:cs="Calibri"/>
                <w:color w:val="F79646" w:themeColor="accent6"/>
                <w:szCs w:val="24"/>
                <w:lang w:eastAsia="en-GB"/>
              </w:rPr>
            </w:pPr>
            <w:r w:rsidRPr="00560E81">
              <w:rPr>
                <w:rFonts w:ascii="Calibri" w:eastAsia="Times New Roman" w:hAnsi="Calibri" w:cs="Calibri"/>
                <w:b/>
                <w:bCs/>
                <w:color w:val="00B050"/>
                <w:kern w:val="24"/>
                <w:szCs w:val="24"/>
                <w:lang w:eastAsia="en-GB"/>
              </w:rPr>
              <w:t>ON TRACK</w:t>
            </w:r>
          </w:p>
        </w:tc>
      </w:tr>
      <w:tr w:rsidR="00030D53" w:rsidRPr="0083152F" w14:paraId="0073A646" w14:textId="77777777" w:rsidTr="008D20BE">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2E174EDF" w14:textId="778F2FAF" w:rsidR="00030D53" w:rsidRPr="0083152F" w:rsidRDefault="00030D53" w:rsidP="00030D53">
            <w:pPr>
              <w:spacing w:line="256" w:lineRule="auto"/>
              <w:jc w:val="center"/>
              <w:rPr>
                <w:rFonts w:ascii="Calibri" w:eastAsia="Arial" w:hAnsi="Calibri" w:cs="Calibri"/>
                <w:bCs/>
                <w:color w:val="000000" w:themeColor="text1"/>
                <w:kern w:val="24"/>
                <w:szCs w:val="24"/>
                <w:lang w:eastAsia="en-GB"/>
              </w:rPr>
            </w:pPr>
            <w:r>
              <w:rPr>
                <w:rFonts w:ascii="Calibri" w:eastAsia="Arial" w:hAnsi="Calibri" w:cs="Calibri"/>
                <w:bCs/>
                <w:color w:val="000000" w:themeColor="text1"/>
                <w:kern w:val="24"/>
                <w:szCs w:val="24"/>
                <w:lang w:eastAsia="en-GB"/>
              </w:rPr>
              <w:t>Farming with Nature</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4F3990E2" w14:textId="723E51C2"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6E782011" w14:textId="588BCDED"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2.6</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11731095" w14:textId="57ADB25E"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2.6</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064FE6E5" w14:textId="58680C3E" w:rsidR="00030D53" w:rsidRPr="0083152F" w:rsidRDefault="00030D53" w:rsidP="00030D53">
            <w:pPr>
              <w:spacing w:line="256" w:lineRule="auto"/>
              <w:jc w:val="center"/>
              <w:rPr>
                <w:rFonts w:ascii="Calibri" w:eastAsia="Times New Roman" w:hAnsi="Calibri" w:cs="Calibri"/>
                <w:color w:val="FF0000"/>
                <w:kern w:val="24"/>
                <w:szCs w:val="24"/>
                <w:lang w:eastAsia="en-GB"/>
              </w:rPr>
            </w:pPr>
            <w:r>
              <w:rPr>
                <w:rFonts w:ascii="Calibri" w:eastAsia="Times New Roman" w:hAnsi="Calibri" w:cs="Calibri"/>
                <w:color w:val="000000" w:themeColor="dark1"/>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42598C99" w14:textId="68E8EE84" w:rsidR="00030D53" w:rsidRPr="0083152F" w:rsidRDefault="00030D53" w:rsidP="00030D53">
            <w:pPr>
              <w:spacing w:line="256" w:lineRule="auto"/>
              <w:jc w:val="center"/>
              <w:rPr>
                <w:rFonts w:ascii="Calibri" w:eastAsia="Times New Roman" w:hAnsi="Calibri" w:cs="Calibri"/>
                <w:b/>
                <w:bCs/>
                <w:color w:val="FFC000"/>
                <w:kern w:val="24"/>
                <w:szCs w:val="24"/>
                <w:lang w:eastAsia="en-GB"/>
              </w:rPr>
            </w:pPr>
            <w:r w:rsidRPr="00560E81">
              <w:rPr>
                <w:rFonts w:ascii="Calibri" w:eastAsia="Times New Roman" w:hAnsi="Calibri" w:cs="Calibri"/>
                <w:b/>
                <w:bCs/>
                <w:color w:val="00B050"/>
                <w:kern w:val="24"/>
                <w:szCs w:val="24"/>
                <w:lang w:eastAsia="en-GB"/>
              </w:rPr>
              <w:t>ON TRACK</w:t>
            </w:r>
          </w:p>
        </w:tc>
      </w:tr>
      <w:tr w:rsidR="00030D53" w:rsidRPr="0083152F" w14:paraId="2E23B4A2" w14:textId="77777777" w:rsidTr="008D20BE">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FBE72FD" w14:textId="3B55C0F0"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szCs w:val="24"/>
                <w:lang w:eastAsia="en-GB"/>
              </w:rPr>
              <w:t>Better Places Fund</w:t>
            </w:r>
          </w:p>
        </w:tc>
        <w:tc>
          <w:tcPr>
            <w:tcW w:w="238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hideMark/>
          </w:tcPr>
          <w:p w14:paraId="784E5084" w14:textId="5F56B18D"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color w:val="000000" w:themeColor="dark1"/>
                <w:kern w:val="24"/>
                <w:szCs w:val="24"/>
                <w:lang w:eastAsia="en-GB"/>
              </w:rPr>
              <w:t>Outturn within 1%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6F73C007" w14:textId="6DDA2ECD"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0.9</w:t>
            </w:r>
          </w:p>
        </w:tc>
        <w:tc>
          <w:tcPr>
            <w:tcW w:w="118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469AB1EC" w14:textId="189D8E39"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0.9</w:t>
            </w:r>
          </w:p>
        </w:tc>
        <w:tc>
          <w:tcPr>
            <w:tcW w:w="139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37A87B6F" w14:textId="316CF688"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0.0</w:t>
            </w:r>
          </w:p>
        </w:tc>
        <w:tc>
          <w:tcPr>
            <w:tcW w:w="1701"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Mar>
              <w:top w:w="15" w:type="dxa"/>
              <w:left w:w="108" w:type="dxa"/>
              <w:bottom w:w="0" w:type="dxa"/>
              <w:right w:w="108" w:type="dxa"/>
            </w:tcMar>
            <w:vAlign w:val="center"/>
            <w:hideMark/>
          </w:tcPr>
          <w:p w14:paraId="55941CDA" w14:textId="2C3BB869" w:rsidR="00030D53" w:rsidRPr="0083152F" w:rsidRDefault="00030D53" w:rsidP="00030D53">
            <w:pPr>
              <w:spacing w:line="256" w:lineRule="auto"/>
              <w:jc w:val="center"/>
              <w:rPr>
                <w:rFonts w:ascii="Calibri" w:eastAsia="Times New Roman" w:hAnsi="Calibri" w:cs="Calibri"/>
                <w:szCs w:val="24"/>
                <w:lang w:eastAsia="en-GB"/>
              </w:rPr>
            </w:pPr>
            <w:r w:rsidRPr="00560E81">
              <w:rPr>
                <w:rFonts w:ascii="Calibri" w:eastAsia="Times New Roman" w:hAnsi="Calibri" w:cs="Calibri"/>
                <w:b/>
                <w:bCs/>
                <w:color w:val="00B050"/>
                <w:kern w:val="24"/>
                <w:szCs w:val="24"/>
                <w:lang w:eastAsia="en-GB"/>
              </w:rPr>
              <w:t>ON TRACK</w:t>
            </w:r>
          </w:p>
        </w:tc>
      </w:tr>
      <w:tr w:rsidR="00030D53" w:rsidRPr="0083152F" w14:paraId="2EEFE688" w14:textId="77777777" w:rsidTr="008D20BE">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2AD571BC" w14:textId="4840DE54"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Arial" w:hAnsi="Calibri" w:cs="Calibri"/>
                <w:bCs/>
                <w:color w:val="000000" w:themeColor="text1"/>
                <w:kern w:val="24"/>
                <w:szCs w:val="24"/>
                <w:lang w:eastAsia="en-GB"/>
              </w:rPr>
              <w:t xml:space="preserve">Nature Recovery Fund </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hideMark/>
          </w:tcPr>
          <w:p w14:paraId="59790CB1" w14:textId="7A81B617"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Outturn within 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13E8C283" w14:textId="1CFB9E2F"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7.7</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637AD7C1" w14:textId="47DF1993"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7.3</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7AB401D8" w14:textId="6E5A3F1B" w:rsidR="00030D53" w:rsidRPr="0083152F" w:rsidRDefault="00030D53" w:rsidP="00030D53">
            <w:pPr>
              <w:spacing w:line="256" w:lineRule="auto"/>
              <w:jc w:val="center"/>
              <w:rPr>
                <w:rFonts w:ascii="Calibri" w:eastAsia="Times New Roman" w:hAnsi="Calibri" w:cs="Calibri"/>
                <w:szCs w:val="24"/>
                <w:lang w:eastAsia="en-GB"/>
              </w:rPr>
            </w:pPr>
            <w:r>
              <w:rPr>
                <w:rFonts w:ascii="Calibri" w:eastAsia="Times New Roman" w:hAnsi="Calibri" w:cs="Calibri"/>
                <w:color w:val="000000" w:themeColor="dark1"/>
                <w:kern w:val="24"/>
                <w:szCs w:val="24"/>
                <w:lang w:eastAsia="en-GB"/>
              </w:rPr>
              <w:t>0.4</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hideMark/>
          </w:tcPr>
          <w:p w14:paraId="66B7A989" w14:textId="3ECC932E" w:rsidR="00030D53" w:rsidRPr="0083152F" w:rsidRDefault="00030D53" w:rsidP="00030D53">
            <w:pPr>
              <w:spacing w:line="256" w:lineRule="auto"/>
              <w:jc w:val="center"/>
              <w:rPr>
                <w:rFonts w:ascii="Calibri" w:eastAsia="Times New Roman" w:hAnsi="Calibri" w:cs="Calibri"/>
                <w:szCs w:val="24"/>
                <w:lang w:eastAsia="en-GB"/>
              </w:rPr>
            </w:pPr>
            <w:r w:rsidRPr="00CB05F8">
              <w:rPr>
                <w:rFonts w:ascii="Calibri" w:eastAsia="Times New Roman" w:hAnsi="Calibri" w:cs="Calibri"/>
                <w:b/>
                <w:bCs/>
                <w:color w:val="F79646" w:themeColor="accent6"/>
                <w:kern w:val="24"/>
                <w:szCs w:val="24"/>
                <w:lang w:eastAsia="en-GB"/>
              </w:rPr>
              <w:t>MINOR SLIPPAGE</w:t>
            </w:r>
          </w:p>
        </w:tc>
      </w:tr>
      <w:tr w:rsidR="00030D53" w:rsidRPr="0083152F" w14:paraId="6A93FDEC" w14:textId="77777777" w:rsidTr="008D20BE">
        <w:trPr>
          <w:trHeight w:val="584"/>
        </w:trPr>
        <w:tc>
          <w:tcPr>
            <w:tcW w:w="208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446BA940" w14:textId="6565EFD9" w:rsidR="00030D53" w:rsidRPr="0083152F" w:rsidRDefault="00030D53" w:rsidP="00030D53">
            <w:pPr>
              <w:spacing w:line="256" w:lineRule="auto"/>
              <w:jc w:val="center"/>
              <w:rPr>
                <w:rFonts w:ascii="Calibri" w:eastAsia="Arial" w:hAnsi="Calibri" w:cs="Calibri"/>
                <w:bCs/>
                <w:color w:val="000000" w:themeColor="text1"/>
                <w:kern w:val="24"/>
                <w:szCs w:val="24"/>
                <w:lang w:eastAsia="en-GB"/>
              </w:rPr>
            </w:pPr>
            <w:r>
              <w:rPr>
                <w:rFonts w:ascii="Calibri" w:eastAsia="Arial" w:hAnsi="Calibri" w:cs="Calibri"/>
                <w:bCs/>
                <w:color w:val="000000" w:themeColor="text1"/>
                <w:kern w:val="24"/>
                <w:szCs w:val="24"/>
                <w:lang w:eastAsia="en-GB"/>
              </w:rPr>
              <w:t>FIRNS</w:t>
            </w:r>
          </w:p>
        </w:tc>
        <w:tc>
          <w:tcPr>
            <w:tcW w:w="238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tcPr>
          <w:p w14:paraId="7148DEC7" w14:textId="6802AEC8"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Outturn within 1</w:t>
            </w:r>
            <w:r w:rsidRPr="00560E81">
              <w:rPr>
                <w:rFonts w:ascii="Calibri" w:eastAsia="Times New Roman" w:hAnsi="Calibri" w:cs="Calibri"/>
                <w:color w:val="000000" w:themeColor="dark1"/>
                <w:kern w:val="24"/>
                <w:szCs w:val="24"/>
                <w:lang w:eastAsia="en-GB"/>
              </w:rPr>
              <w:t>% of final budget</w:t>
            </w:r>
          </w:p>
        </w:tc>
        <w:tc>
          <w:tcPr>
            <w:tcW w:w="113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13977307" w14:textId="4DBDC70A"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1.8</w:t>
            </w:r>
          </w:p>
        </w:tc>
        <w:tc>
          <w:tcPr>
            <w:tcW w:w="118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4249B66" w14:textId="2E0A780E"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1.7</w:t>
            </w:r>
          </w:p>
        </w:tc>
        <w:tc>
          <w:tcPr>
            <w:tcW w:w="139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7B6A794F" w14:textId="0E3B3037" w:rsidR="00030D53" w:rsidRPr="0083152F" w:rsidRDefault="00030D53" w:rsidP="00030D53">
            <w:pPr>
              <w:spacing w:line="256" w:lineRule="auto"/>
              <w:jc w:val="center"/>
              <w:rPr>
                <w:rFonts w:ascii="Calibri" w:eastAsia="Times New Roman" w:hAnsi="Calibri" w:cs="Calibri"/>
                <w:color w:val="000000" w:themeColor="dark1"/>
                <w:kern w:val="24"/>
                <w:szCs w:val="24"/>
                <w:lang w:eastAsia="en-GB"/>
              </w:rPr>
            </w:pPr>
            <w:r>
              <w:rPr>
                <w:rFonts w:ascii="Calibri" w:eastAsia="Times New Roman" w:hAnsi="Calibri" w:cs="Calibri"/>
                <w:color w:val="000000" w:themeColor="dark1"/>
                <w:kern w:val="24"/>
                <w:szCs w:val="24"/>
                <w:lang w:eastAsia="en-GB"/>
              </w:rPr>
              <w:t>0.1</w:t>
            </w:r>
          </w:p>
        </w:tc>
        <w:tc>
          <w:tcPr>
            <w:tcW w:w="1701"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15" w:type="dxa"/>
              <w:left w:w="108" w:type="dxa"/>
              <w:bottom w:w="0" w:type="dxa"/>
              <w:right w:w="108" w:type="dxa"/>
            </w:tcMar>
            <w:vAlign w:val="center"/>
          </w:tcPr>
          <w:p w14:paraId="3EBCC30F" w14:textId="3E14E3E8" w:rsidR="00030D53" w:rsidRPr="0083152F" w:rsidRDefault="00030D53" w:rsidP="00030D53">
            <w:pPr>
              <w:spacing w:line="256" w:lineRule="auto"/>
              <w:jc w:val="center"/>
              <w:rPr>
                <w:rFonts w:ascii="Calibri" w:eastAsia="Times New Roman" w:hAnsi="Calibri" w:cs="Calibri"/>
                <w:b/>
                <w:bCs/>
                <w:color w:val="00B050"/>
                <w:kern w:val="24"/>
                <w:szCs w:val="24"/>
                <w:lang w:eastAsia="en-GB"/>
              </w:rPr>
            </w:pPr>
            <w:r w:rsidRPr="00CB05F8">
              <w:rPr>
                <w:rFonts w:ascii="Calibri" w:eastAsia="Times New Roman" w:hAnsi="Calibri" w:cs="Calibri"/>
                <w:b/>
                <w:bCs/>
                <w:color w:val="F79646" w:themeColor="accent6"/>
                <w:kern w:val="24"/>
                <w:szCs w:val="24"/>
                <w:lang w:eastAsia="en-GB"/>
              </w:rPr>
              <w:t>MINOR SLIPPAGE</w:t>
            </w:r>
          </w:p>
        </w:tc>
      </w:tr>
    </w:tbl>
    <w:p w14:paraId="5BA82113" w14:textId="77777777" w:rsidR="008D20BE" w:rsidRDefault="008D20BE" w:rsidP="008D20BE">
      <w:pPr>
        <w:rPr>
          <w:rFonts w:ascii="Calibri" w:hAnsi="Calibri" w:cs="Calibri"/>
          <w:sz w:val="20"/>
          <w:szCs w:val="20"/>
        </w:rPr>
      </w:pPr>
      <w:r w:rsidRPr="005F425F">
        <w:rPr>
          <w:rFonts w:ascii="Calibri" w:hAnsi="Calibri" w:cs="Calibri"/>
          <w:sz w:val="20"/>
          <w:szCs w:val="20"/>
        </w:rPr>
        <w:t>*Operating under 1% - on track, up to 10% minor slippage, over 10% major slippage</w:t>
      </w:r>
      <w:r>
        <w:rPr>
          <w:rFonts w:ascii="Calibri" w:hAnsi="Calibri" w:cs="Calibri"/>
          <w:sz w:val="20"/>
          <w:szCs w:val="20"/>
        </w:rPr>
        <w:t xml:space="preserve"> (** Capital under 5% / up to 10%)</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3579"/>
      </w:tblGrid>
      <w:tr w:rsidR="00030D53" w:rsidRPr="0070007A" w14:paraId="6DEA99D2" w14:textId="77777777" w:rsidTr="00030D53">
        <w:trPr>
          <w:cantSplit/>
          <w:tblHeader/>
        </w:trPr>
        <w:tc>
          <w:tcPr>
            <w:tcW w:w="6486" w:type="dxa"/>
            <w:shd w:val="clear" w:color="auto" w:fill="auto"/>
            <w:vAlign w:val="center"/>
          </w:tcPr>
          <w:p w14:paraId="63FCA5C6" w14:textId="77777777" w:rsidR="00030D53" w:rsidRPr="0070007A" w:rsidRDefault="00030D53" w:rsidP="002E3CEA">
            <w:pPr>
              <w:rPr>
                <w:rFonts w:ascii="Calibri" w:hAnsi="Calibri" w:cs="Calibri"/>
                <w:color w:val="FFFFFF" w:themeColor="background1"/>
                <w:sz w:val="16"/>
                <w:szCs w:val="24"/>
              </w:rPr>
            </w:pPr>
            <w:r w:rsidRPr="0070007A">
              <w:rPr>
                <w:rFonts w:ascii="Calibri" w:hAnsi="Calibri" w:cs="Calibri"/>
                <w:color w:val="FFFFFF" w:themeColor="background1"/>
                <w:sz w:val="16"/>
                <w:szCs w:val="24"/>
              </w:rPr>
              <w:t>Financial graphs</w:t>
            </w:r>
          </w:p>
        </w:tc>
        <w:tc>
          <w:tcPr>
            <w:tcW w:w="3579" w:type="dxa"/>
            <w:shd w:val="clear" w:color="auto" w:fill="auto"/>
            <w:vAlign w:val="center"/>
          </w:tcPr>
          <w:p w14:paraId="6E7086A7" w14:textId="4DD62A79" w:rsidR="00030D53" w:rsidRPr="0070007A" w:rsidRDefault="00030D53" w:rsidP="002E3CEA">
            <w:pPr>
              <w:rPr>
                <w:rFonts w:ascii="Calibri" w:hAnsi="Calibri" w:cs="Calibri"/>
                <w:color w:val="FFFFFF" w:themeColor="background1"/>
                <w:sz w:val="16"/>
                <w:szCs w:val="24"/>
              </w:rPr>
            </w:pPr>
            <w:r w:rsidRPr="0070007A">
              <w:rPr>
                <w:rFonts w:ascii="Calibri" w:hAnsi="Calibri" w:cs="Calibri"/>
                <w:color w:val="FFFFFF" w:themeColor="background1"/>
                <w:sz w:val="16"/>
                <w:szCs w:val="24"/>
              </w:rPr>
              <w:t>summary of performance</w:t>
            </w:r>
          </w:p>
        </w:tc>
      </w:tr>
      <w:tr w:rsidR="00030D53" w:rsidRPr="00343ACD" w14:paraId="4DB94772" w14:textId="77777777" w:rsidTr="00030D53">
        <w:trPr>
          <w:trHeight w:val="283"/>
        </w:trPr>
        <w:tc>
          <w:tcPr>
            <w:tcW w:w="6486" w:type="dxa"/>
          </w:tcPr>
          <w:p w14:paraId="5C1BEF85" w14:textId="77777777" w:rsidR="00030D53" w:rsidRDefault="00030D53" w:rsidP="002E3CEA">
            <w:pPr>
              <w:rPr>
                <w:rFonts w:ascii="Calibri" w:hAnsi="Calibri" w:cs="Calibri"/>
                <w:szCs w:val="24"/>
              </w:rPr>
            </w:pPr>
            <w:r>
              <w:rPr>
                <w:rFonts w:ascii="Calibri" w:hAnsi="Calibri" w:cs="Calibri"/>
                <w:noProof/>
                <w:szCs w:val="24"/>
                <w:lang w:eastAsia="en-GB"/>
              </w:rPr>
              <w:drawing>
                <wp:inline distT="0" distB="0" distL="0" distR="0" wp14:anchorId="57F6BEAC" wp14:editId="660F80F4">
                  <wp:extent cx="3890866" cy="1800225"/>
                  <wp:effectExtent l="0" t="0" r="0" b="0"/>
                  <wp:docPr id="1330616269" name="Picture 1" descr="A graph showing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616269" name="Picture 1" descr="A graph showing a line graph&#10;&#10;Description automatically generated with medium confidenc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1525" cy="1819037"/>
                          </a:xfrm>
                          <a:prstGeom prst="rect">
                            <a:avLst/>
                          </a:prstGeom>
                          <a:noFill/>
                        </pic:spPr>
                      </pic:pic>
                    </a:graphicData>
                  </a:graphic>
                </wp:inline>
              </w:drawing>
            </w:r>
          </w:p>
          <w:p w14:paraId="36C0A040" w14:textId="24C3047B" w:rsidR="00030D53" w:rsidRPr="00B6615A" w:rsidRDefault="00887D1D" w:rsidP="002E3CEA">
            <w:pPr>
              <w:rPr>
                <w:rFonts w:ascii="Calibri" w:hAnsi="Calibri" w:cs="Calibri"/>
                <w:szCs w:val="24"/>
              </w:rPr>
            </w:pPr>
            <w:r>
              <w:rPr>
                <w:rFonts w:ascii="Calibri" w:hAnsi="Calibri" w:cs="Calibri"/>
                <w:b/>
                <w:bCs/>
                <w:noProof/>
                <w:color w:val="1F497D"/>
                <w:sz w:val="18"/>
                <w:szCs w:val="18"/>
                <w:lang w:eastAsia="en-GB"/>
              </w:rPr>
              <w:lastRenderedPageBreak/>
              <w:drawing>
                <wp:anchor distT="0" distB="0" distL="114300" distR="114300" simplePos="0" relativeHeight="251659264" behindDoc="1" locked="0" layoutInCell="1" allowOverlap="1" wp14:anchorId="43435E80" wp14:editId="33149F64">
                  <wp:simplePos x="0" y="0"/>
                  <wp:positionH relativeFrom="column">
                    <wp:posOffset>-68580</wp:posOffset>
                  </wp:positionH>
                  <wp:positionV relativeFrom="paragraph">
                    <wp:posOffset>2047875</wp:posOffset>
                  </wp:positionV>
                  <wp:extent cx="3962400" cy="2467610"/>
                  <wp:effectExtent l="0" t="0" r="0" b="8890"/>
                  <wp:wrapTight wrapText="bothSides">
                    <wp:wrapPolygon edited="0">
                      <wp:start x="0" y="0"/>
                      <wp:lineTo x="0" y="21511"/>
                      <wp:lineTo x="21496" y="21511"/>
                      <wp:lineTo x="21496" y="0"/>
                      <wp:lineTo x="0" y="0"/>
                    </wp:wrapPolygon>
                  </wp:wrapTight>
                  <wp:docPr id="2" name="Picture 2" descr="cid:image001.png@01DA1965.BFB36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A1965.BFB36F9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962400" cy="2467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180">
              <w:rPr>
                <w:rFonts w:ascii="Calibri" w:hAnsi="Calibri" w:cs="Calibri"/>
                <w:noProof/>
                <w:szCs w:val="24"/>
                <w:lang w:eastAsia="en-GB"/>
              </w:rPr>
              <w:drawing>
                <wp:anchor distT="0" distB="0" distL="114300" distR="114300" simplePos="0" relativeHeight="251658240" behindDoc="1" locked="0" layoutInCell="1" allowOverlap="1" wp14:anchorId="4EC1E8A3" wp14:editId="0A88789F">
                  <wp:simplePos x="0" y="0"/>
                  <wp:positionH relativeFrom="column">
                    <wp:posOffset>-68369</wp:posOffset>
                  </wp:positionH>
                  <wp:positionV relativeFrom="paragraph">
                    <wp:posOffset>423</wp:posOffset>
                  </wp:positionV>
                  <wp:extent cx="3981450" cy="1838325"/>
                  <wp:effectExtent l="0" t="0" r="0" b="9525"/>
                  <wp:wrapTight wrapText="bothSides">
                    <wp:wrapPolygon edited="0">
                      <wp:start x="0" y="0"/>
                      <wp:lineTo x="0" y="21488"/>
                      <wp:lineTo x="21497" y="21488"/>
                      <wp:lineTo x="21497" y="0"/>
                      <wp:lineTo x="0" y="0"/>
                    </wp:wrapPolygon>
                  </wp:wrapTight>
                  <wp:docPr id="512638105"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814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79" w:type="dxa"/>
            <w:vAlign w:val="center"/>
          </w:tcPr>
          <w:p w14:paraId="685D011E" w14:textId="7FD7FE58" w:rsidR="000A64A8" w:rsidRDefault="000A64A8" w:rsidP="002E3CEA">
            <w:pPr>
              <w:rPr>
                <w:rFonts w:ascii="Calibri" w:hAnsi="Calibri" w:cs="Calibri"/>
              </w:rPr>
            </w:pPr>
            <w:r>
              <w:rPr>
                <w:rFonts w:ascii="Calibri" w:hAnsi="Calibri" w:cs="Calibri"/>
              </w:rPr>
              <w:lastRenderedPageBreak/>
              <w:t xml:space="preserve">The current forecast is £13.385m against a project budget of £13.074m. </w:t>
            </w:r>
            <w:r w:rsidR="00030D53">
              <w:rPr>
                <w:rFonts w:ascii="Calibri" w:hAnsi="Calibri" w:cs="Calibri"/>
              </w:rPr>
              <w:t>The</w:t>
            </w:r>
            <w:r>
              <w:rPr>
                <w:rFonts w:ascii="Calibri" w:hAnsi="Calibri" w:cs="Calibri"/>
              </w:rPr>
              <w:t xml:space="preserve"> confidence levels / financial risk of slippage on </w:t>
            </w:r>
            <w:r w:rsidR="00DD7D36">
              <w:rPr>
                <w:rFonts w:ascii="Calibri" w:hAnsi="Calibri" w:cs="Calibri"/>
              </w:rPr>
              <w:t xml:space="preserve">our </w:t>
            </w:r>
            <w:r>
              <w:rPr>
                <w:rFonts w:ascii="Calibri" w:hAnsi="Calibri" w:cs="Calibri"/>
              </w:rPr>
              <w:t>corporate plan objectives is</w:t>
            </w:r>
            <w:r w:rsidRPr="000A64A8">
              <w:rPr>
                <w:rFonts w:ascii="Calibri" w:hAnsi="Calibri" w:cs="Calibri"/>
              </w:rPr>
              <w:t xml:space="preserve"> £2.325m.</w:t>
            </w:r>
            <w:r w:rsidR="00030D53">
              <w:rPr>
                <w:rFonts w:ascii="Calibri" w:hAnsi="Calibri" w:cs="Calibri"/>
              </w:rPr>
              <w:t xml:space="preserve"> </w:t>
            </w:r>
            <w:r>
              <w:rPr>
                <w:rFonts w:ascii="Calibri" w:hAnsi="Calibri" w:cs="Calibri"/>
              </w:rPr>
              <w:t>Although above tolerance, there is opportunity</w:t>
            </w:r>
            <w:r w:rsidR="002F786B">
              <w:rPr>
                <w:rFonts w:ascii="Calibri" w:hAnsi="Calibri" w:cs="Calibri"/>
              </w:rPr>
              <w:t xml:space="preserve">, </w:t>
            </w:r>
            <w:r w:rsidR="00DD7D36">
              <w:rPr>
                <w:rFonts w:ascii="Calibri" w:hAnsi="Calibri" w:cs="Calibri"/>
              </w:rPr>
              <w:t>based on the surrender profile,</w:t>
            </w:r>
            <w:r>
              <w:rPr>
                <w:rFonts w:ascii="Calibri" w:hAnsi="Calibri" w:cs="Calibri"/>
              </w:rPr>
              <w:t xml:space="preserve"> to bring expenditure in line with budget over the </w:t>
            </w:r>
            <w:r w:rsidR="002F786B">
              <w:rPr>
                <w:rFonts w:ascii="Calibri" w:hAnsi="Calibri" w:cs="Calibri"/>
              </w:rPr>
              <w:t>rest of the year.</w:t>
            </w:r>
          </w:p>
          <w:p w14:paraId="522F268C" w14:textId="3F154284" w:rsidR="00030D53" w:rsidRDefault="00030D53" w:rsidP="004872D7">
            <w:pPr>
              <w:spacing w:after="200" w:line="276" w:lineRule="auto"/>
              <w:rPr>
                <w:rFonts w:ascii="Calibri" w:hAnsi="Calibri" w:cs="Calibri"/>
              </w:rPr>
            </w:pPr>
            <w:r w:rsidRPr="004E4703">
              <w:rPr>
                <w:rFonts w:ascii="Calibri" w:hAnsi="Calibri" w:cs="Calibri"/>
              </w:rPr>
              <w:lastRenderedPageBreak/>
              <w:t xml:space="preserve">The </w:t>
            </w:r>
            <w:proofErr w:type="spellStart"/>
            <w:r w:rsidRPr="004E4703">
              <w:rPr>
                <w:rFonts w:ascii="Calibri" w:hAnsi="Calibri" w:cs="Calibri"/>
              </w:rPr>
              <w:t>paybill</w:t>
            </w:r>
            <w:proofErr w:type="spellEnd"/>
            <w:r w:rsidRPr="004E4703">
              <w:rPr>
                <w:rFonts w:ascii="Calibri" w:hAnsi="Calibri" w:cs="Calibri"/>
              </w:rPr>
              <w:t xml:space="preserve"> forecast is currently</w:t>
            </w:r>
            <w:r>
              <w:rPr>
                <w:rFonts w:ascii="Calibri" w:hAnsi="Calibri" w:cs="Calibri"/>
              </w:rPr>
              <w:t xml:space="preserve"> £0.3</w:t>
            </w:r>
            <w:r w:rsidRPr="004E4703">
              <w:rPr>
                <w:rFonts w:ascii="Calibri" w:hAnsi="Calibri" w:cs="Calibri"/>
              </w:rPr>
              <w:t>m above budget</w:t>
            </w:r>
            <w:r w:rsidR="002F786B">
              <w:rPr>
                <w:rFonts w:ascii="Calibri" w:hAnsi="Calibri" w:cs="Calibri"/>
              </w:rPr>
              <w:t xml:space="preserve"> </w:t>
            </w:r>
            <w:r w:rsidR="004872D7">
              <w:rPr>
                <w:rFonts w:ascii="Calibri" w:hAnsi="Calibri" w:cs="Calibri"/>
              </w:rPr>
              <w:t>(this is made up of £66k from Nature and Climate Change, £153</w:t>
            </w:r>
            <w:r w:rsidR="00887D1D">
              <w:rPr>
                <w:rFonts w:ascii="Calibri" w:hAnsi="Calibri" w:cs="Calibri"/>
              </w:rPr>
              <w:t xml:space="preserve">k from Green Economy £69k from </w:t>
            </w:r>
            <w:r w:rsidR="004872D7">
              <w:rPr>
                <w:rFonts w:ascii="Calibri" w:hAnsi="Calibri" w:cs="Calibri"/>
              </w:rPr>
              <w:t xml:space="preserve">Business Services and Transformation and £12k EO and Comms) </w:t>
            </w:r>
            <w:r w:rsidR="002F786B">
              <w:rPr>
                <w:rFonts w:ascii="Calibri" w:hAnsi="Calibri" w:cs="Calibri"/>
              </w:rPr>
              <w:t>based on the pay settlement assumption at the start of the year</w:t>
            </w:r>
            <w:r w:rsidRPr="004E4703">
              <w:rPr>
                <w:rFonts w:ascii="Calibri" w:hAnsi="Calibri" w:cs="Calibri"/>
              </w:rPr>
              <w:t>.</w:t>
            </w:r>
            <w:r>
              <w:rPr>
                <w:rFonts w:ascii="Calibri" w:hAnsi="Calibri" w:cs="Calibri"/>
              </w:rPr>
              <w:t xml:space="preserve"> We expect sufficient savings to be realised through leavers and vacancy gaps to re</w:t>
            </w:r>
            <w:r w:rsidR="002F786B">
              <w:rPr>
                <w:rFonts w:ascii="Calibri" w:hAnsi="Calibri" w:cs="Calibri"/>
              </w:rPr>
              <w:t>move this variance by year end</w:t>
            </w:r>
            <w:r w:rsidR="00252A73">
              <w:rPr>
                <w:rFonts w:ascii="Calibri" w:hAnsi="Calibri" w:cs="Calibri"/>
              </w:rPr>
              <w:t>,</w:t>
            </w:r>
            <w:r w:rsidR="002F786B">
              <w:rPr>
                <w:rFonts w:ascii="Calibri" w:hAnsi="Calibri" w:cs="Calibri"/>
              </w:rPr>
              <w:t xml:space="preserve"> with any additional pressure to be covered by flexibility on project or programme spend.</w:t>
            </w:r>
          </w:p>
          <w:p w14:paraId="2B9DA2F8" w14:textId="0C996926" w:rsidR="00887D1D" w:rsidRPr="000965F5" w:rsidRDefault="00887D1D" w:rsidP="004872D7">
            <w:pPr>
              <w:spacing w:after="200" w:line="276" w:lineRule="auto"/>
              <w:rPr>
                <w:rFonts w:ascii="Calibri" w:hAnsi="Calibri" w:cs="Calibri"/>
              </w:rPr>
            </w:pPr>
            <w:r w:rsidRPr="000965F5">
              <w:rPr>
                <w:rFonts w:ascii="Calibri" w:hAnsi="Calibri" w:cs="Calibri"/>
              </w:rPr>
              <w:t xml:space="preserve">The </w:t>
            </w:r>
            <w:proofErr w:type="spellStart"/>
            <w:r w:rsidRPr="000965F5">
              <w:rPr>
                <w:rFonts w:ascii="Calibri" w:hAnsi="Calibri" w:cs="Calibri"/>
              </w:rPr>
              <w:t>paybill</w:t>
            </w:r>
            <w:proofErr w:type="spellEnd"/>
            <w:r w:rsidRPr="000965F5">
              <w:rPr>
                <w:rFonts w:ascii="Calibri" w:hAnsi="Calibri" w:cs="Calibri"/>
              </w:rPr>
              <w:t xml:space="preserve"> split between core and ring-fenced funding is shown here with round £300k/month being spent on ring-fenced posts. </w:t>
            </w:r>
          </w:p>
          <w:p w14:paraId="637FCA46" w14:textId="77777777" w:rsidR="00887D1D" w:rsidRDefault="00887D1D" w:rsidP="004872D7">
            <w:pPr>
              <w:spacing w:after="200" w:line="276" w:lineRule="auto"/>
              <w:rPr>
                <w:rFonts w:ascii="Calibri" w:hAnsi="Calibri" w:cs="Calibri"/>
              </w:rPr>
            </w:pPr>
          </w:p>
          <w:p w14:paraId="0364D12C" w14:textId="5981CC19" w:rsidR="00887D1D" w:rsidRPr="00343ACD" w:rsidRDefault="00887D1D" w:rsidP="004872D7">
            <w:pPr>
              <w:spacing w:after="200" w:line="276" w:lineRule="auto"/>
              <w:rPr>
                <w:rFonts w:ascii="Calibri" w:hAnsi="Calibri" w:cs="Calibri"/>
              </w:rPr>
            </w:pPr>
          </w:p>
        </w:tc>
      </w:tr>
    </w:tbl>
    <w:p w14:paraId="70687438" w14:textId="77777777" w:rsidR="00030D53" w:rsidRDefault="00030D53" w:rsidP="00030D53">
      <w:pPr>
        <w:pStyle w:val="Heading2"/>
        <w:rPr>
          <w:rFonts w:ascii="Calibri" w:hAnsi="Calibri" w:cs="Calibri"/>
        </w:rPr>
      </w:pPr>
      <w:r w:rsidRPr="00670ABC">
        <w:rPr>
          <w:rFonts w:ascii="Calibri" w:hAnsi="Calibri" w:cs="Calibri"/>
        </w:rPr>
        <w:t>Finance</w:t>
      </w:r>
    </w:p>
    <w:p w14:paraId="08440D2F" w14:textId="77777777" w:rsidR="00030D53" w:rsidRPr="002336D3" w:rsidRDefault="00030D53" w:rsidP="00030D53">
      <w:pPr>
        <w:pStyle w:val="ListParagraph"/>
        <w:ind w:left="360"/>
        <w:rPr>
          <w:rFonts w:ascii="Calibri" w:hAnsi="Calibri" w:cs="Calibri"/>
          <w:szCs w:val="24"/>
        </w:rPr>
      </w:pPr>
      <w:r>
        <w:rPr>
          <w:rFonts w:ascii="Calibri" w:hAnsi="Calibri" w:cs="Calibri"/>
          <w:b/>
          <w:szCs w:val="24"/>
        </w:rPr>
        <w:t>Resource</w:t>
      </w:r>
      <w:r w:rsidRPr="002336D3">
        <w:rPr>
          <w:rFonts w:ascii="Calibri" w:hAnsi="Calibri" w:cs="Calibri"/>
          <w:b/>
          <w:szCs w:val="24"/>
        </w:rPr>
        <w:t xml:space="preserve"> Budget Performance</w:t>
      </w:r>
    </w:p>
    <w:p w14:paraId="35BA6784" w14:textId="77777777" w:rsidR="00030D53" w:rsidRDefault="00030D53" w:rsidP="002833D9">
      <w:pPr>
        <w:pStyle w:val="ListParagraph"/>
        <w:numPr>
          <w:ilvl w:val="0"/>
          <w:numId w:val="3"/>
        </w:numPr>
        <w:ind w:left="714" w:hanging="357"/>
        <w:rPr>
          <w:rFonts w:ascii="Calibri" w:hAnsi="Calibri" w:cs="Calibri"/>
          <w:szCs w:val="24"/>
        </w:rPr>
      </w:pPr>
      <w:r w:rsidRPr="009D417E">
        <w:rPr>
          <w:rFonts w:ascii="Calibri" w:hAnsi="Calibri" w:cs="Calibri"/>
          <w:szCs w:val="24"/>
        </w:rPr>
        <w:t>An overspend of £0.</w:t>
      </w:r>
      <w:r>
        <w:rPr>
          <w:rFonts w:ascii="Calibri" w:hAnsi="Calibri" w:cs="Calibri"/>
          <w:szCs w:val="24"/>
        </w:rPr>
        <w:t>355</w:t>
      </w:r>
      <w:r w:rsidRPr="009D417E">
        <w:rPr>
          <w:rFonts w:ascii="Calibri" w:hAnsi="Calibri" w:cs="Calibri"/>
          <w:szCs w:val="24"/>
        </w:rPr>
        <w:t xml:space="preserve">m is currently forecast on the </w:t>
      </w:r>
      <w:r>
        <w:rPr>
          <w:rFonts w:ascii="Calibri" w:hAnsi="Calibri" w:cs="Calibri"/>
          <w:szCs w:val="24"/>
        </w:rPr>
        <w:t>Resource</w:t>
      </w:r>
      <w:r w:rsidRPr="009D417E">
        <w:rPr>
          <w:rFonts w:ascii="Calibri" w:hAnsi="Calibri" w:cs="Calibri"/>
          <w:szCs w:val="24"/>
        </w:rPr>
        <w:t xml:space="preserve"> budget</w:t>
      </w:r>
      <w:r>
        <w:rPr>
          <w:rFonts w:ascii="Calibri" w:hAnsi="Calibri" w:cs="Calibri"/>
          <w:szCs w:val="24"/>
        </w:rPr>
        <w:t>, however it is</w:t>
      </w:r>
      <w:r w:rsidRPr="009D417E">
        <w:rPr>
          <w:rFonts w:ascii="Calibri" w:hAnsi="Calibri" w:cs="Calibri"/>
          <w:szCs w:val="24"/>
        </w:rPr>
        <w:t xml:space="preserve"> anticipated that we will end the year within our target outturn.  At the same point in 202</w:t>
      </w:r>
      <w:r>
        <w:rPr>
          <w:rFonts w:ascii="Calibri" w:hAnsi="Calibri" w:cs="Calibri"/>
          <w:szCs w:val="24"/>
        </w:rPr>
        <w:t>2</w:t>
      </w:r>
      <w:r w:rsidRPr="009D417E">
        <w:rPr>
          <w:rFonts w:ascii="Calibri" w:hAnsi="Calibri" w:cs="Calibri"/>
          <w:szCs w:val="24"/>
        </w:rPr>
        <w:t>/2</w:t>
      </w:r>
      <w:r>
        <w:rPr>
          <w:rFonts w:ascii="Calibri" w:hAnsi="Calibri" w:cs="Calibri"/>
          <w:szCs w:val="24"/>
        </w:rPr>
        <w:t>3</w:t>
      </w:r>
      <w:r w:rsidRPr="009D417E">
        <w:rPr>
          <w:rFonts w:ascii="Calibri" w:hAnsi="Calibri" w:cs="Calibri"/>
          <w:szCs w:val="24"/>
        </w:rPr>
        <w:t xml:space="preserve"> an overspend of £</w:t>
      </w:r>
      <w:r>
        <w:rPr>
          <w:rFonts w:ascii="Calibri" w:hAnsi="Calibri" w:cs="Calibri"/>
          <w:szCs w:val="24"/>
        </w:rPr>
        <w:t>0.591m</w:t>
      </w:r>
      <w:r w:rsidRPr="009D417E">
        <w:rPr>
          <w:rFonts w:ascii="Calibri" w:hAnsi="Calibri" w:cs="Calibri"/>
          <w:szCs w:val="24"/>
        </w:rPr>
        <w:t xml:space="preserve"> was forecast.  </w:t>
      </w:r>
    </w:p>
    <w:p w14:paraId="4B220992" w14:textId="77777777" w:rsidR="00030D53" w:rsidRPr="009D417E" w:rsidRDefault="00030D53" w:rsidP="002833D9">
      <w:pPr>
        <w:pStyle w:val="ListParagraph"/>
        <w:numPr>
          <w:ilvl w:val="0"/>
          <w:numId w:val="3"/>
        </w:numPr>
        <w:ind w:left="714" w:hanging="357"/>
        <w:rPr>
          <w:rFonts w:ascii="Calibri" w:hAnsi="Calibri" w:cs="Calibri"/>
          <w:szCs w:val="24"/>
        </w:rPr>
      </w:pPr>
      <w:r w:rsidRPr="00444990">
        <w:rPr>
          <w:rFonts w:ascii="Calibri" w:hAnsi="Calibri" w:cs="Calibri"/>
          <w:szCs w:val="24"/>
        </w:rPr>
        <w:t xml:space="preserve">We received confirmation from SG of a budget reduction of £0.705m for IFRS16 leases.  This is higher than our current forecast for IFRS16 leases and we understand that there will be an opportunity later in the year to revise this figure.  We are currently confirming this approach with SG.  </w:t>
      </w:r>
    </w:p>
    <w:p w14:paraId="73D5FEFA" w14:textId="77777777" w:rsidR="00030D53" w:rsidRPr="00444990" w:rsidRDefault="00030D53" w:rsidP="002833D9">
      <w:pPr>
        <w:pStyle w:val="ListParagraph"/>
        <w:numPr>
          <w:ilvl w:val="0"/>
          <w:numId w:val="3"/>
        </w:numPr>
        <w:spacing w:after="0"/>
        <w:ind w:left="714" w:hanging="357"/>
        <w:rPr>
          <w:szCs w:val="24"/>
        </w:rPr>
      </w:pPr>
      <w:r>
        <w:rPr>
          <w:rFonts w:ascii="Calibri" w:hAnsi="Calibri" w:cs="Calibri"/>
          <w:szCs w:val="24"/>
        </w:rPr>
        <w:t xml:space="preserve">We continue to use confidence levels against the Corporate Plan Objectives.  The Objective Leads are expected to reduce their allocation by this value and bring their Objective programme in on budget by year end.  </w:t>
      </w:r>
    </w:p>
    <w:p w14:paraId="73A3ADF6" w14:textId="10410CE4" w:rsidR="00030D53" w:rsidRPr="001C30A1" w:rsidRDefault="00030D53" w:rsidP="002833D9">
      <w:pPr>
        <w:pStyle w:val="ListParagraph"/>
        <w:numPr>
          <w:ilvl w:val="0"/>
          <w:numId w:val="3"/>
        </w:numPr>
        <w:spacing w:after="0"/>
        <w:ind w:left="714" w:hanging="357"/>
        <w:rPr>
          <w:szCs w:val="24"/>
        </w:rPr>
      </w:pPr>
      <w:r>
        <w:rPr>
          <w:rFonts w:ascii="Calibri" w:hAnsi="Calibri" w:cs="Calibri"/>
          <w:szCs w:val="24"/>
        </w:rPr>
        <w:t xml:space="preserve">Finance </w:t>
      </w:r>
      <w:r w:rsidRPr="00444990">
        <w:rPr>
          <w:rFonts w:ascii="Calibri" w:hAnsi="Calibri" w:cs="Calibri"/>
          <w:szCs w:val="24"/>
        </w:rPr>
        <w:t>team colleagues engage with Objective Lea</w:t>
      </w:r>
      <w:r w:rsidR="002F786B">
        <w:rPr>
          <w:rFonts w:ascii="Calibri" w:hAnsi="Calibri" w:cs="Calibri"/>
          <w:szCs w:val="24"/>
        </w:rPr>
        <w:t>ds, on a monthly basis</w:t>
      </w:r>
      <w:r w:rsidR="00252A73">
        <w:rPr>
          <w:rFonts w:ascii="Calibri" w:hAnsi="Calibri" w:cs="Calibri"/>
          <w:szCs w:val="24"/>
        </w:rPr>
        <w:t>.</w:t>
      </w:r>
    </w:p>
    <w:p w14:paraId="69559AFE" w14:textId="5E2B23EF" w:rsidR="00030D53" w:rsidRDefault="00030D53" w:rsidP="002833D9">
      <w:pPr>
        <w:pStyle w:val="ListParagraph"/>
        <w:numPr>
          <w:ilvl w:val="0"/>
          <w:numId w:val="3"/>
        </w:numPr>
        <w:spacing w:after="0"/>
        <w:ind w:left="714" w:hanging="357"/>
        <w:rPr>
          <w:rFonts w:ascii="Calibri" w:hAnsi="Calibri" w:cs="Calibri"/>
          <w:szCs w:val="24"/>
        </w:rPr>
      </w:pPr>
      <w:r>
        <w:rPr>
          <w:rFonts w:ascii="Calibri" w:hAnsi="Calibri" w:cs="Calibri"/>
          <w:szCs w:val="24"/>
        </w:rPr>
        <w:t>Our</w:t>
      </w:r>
      <w:r w:rsidRPr="00316432">
        <w:rPr>
          <w:rFonts w:ascii="Calibri" w:hAnsi="Calibri" w:cs="Calibri"/>
          <w:szCs w:val="24"/>
        </w:rPr>
        <w:t xml:space="preserve"> F</w:t>
      </w:r>
      <w:r>
        <w:rPr>
          <w:rFonts w:ascii="Calibri" w:hAnsi="Calibri" w:cs="Calibri"/>
          <w:szCs w:val="24"/>
        </w:rPr>
        <w:t xml:space="preserve">arming </w:t>
      </w:r>
      <w:r w:rsidRPr="00316432">
        <w:rPr>
          <w:rFonts w:ascii="Calibri" w:hAnsi="Calibri" w:cs="Calibri"/>
          <w:szCs w:val="24"/>
        </w:rPr>
        <w:t>w</w:t>
      </w:r>
      <w:r>
        <w:rPr>
          <w:rFonts w:ascii="Calibri" w:hAnsi="Calibri" w:cs="Calibri"/>
          <w:szCs w:val="24"/>
        </w:rPr>
        <w:t xml:space="preserve">ith </w:t>
      </w:r>
      <w:r w:rsidRPr="00316432">
        <w:rPr>
          <w:rFonts w:ascii="Calibri" w:hAnsi="Calibri" w:cs="Calibri"/>
          <w:szCs w:val="24"/>
        </w:rPr>
        <w:t>N</w:t>
      </w:r>
      <w:r>
        <w:rPr>
          <w:rFonts w:ascii="Calibri" w:hAnsi="Calibri" w:cs="Calibri"/>
          <w:szCs w:val="24"/>
        </w:rPr>
        <w:t>ature (</w:t>
      </w:r>
      <w:proofErr w:type="spellStart"/>
      <w:r>
        <w:rPr>
          <w:rFonts w:ascii="Calibri" w:hAnsi="Calibri" w:cs="Calibri"/>
          <w:szCs w:val="24"/>
        </w:rPr>
        <w:t>FwN</w:t>
      </w:r>
      <w:proofErr w:type="spellEnd"/>
      <w:r>
        <w:rPr>
          <w:rFonts w:ascii="Calibri" w:hAnsi="Calibri" w:cs="Calibri"/>
          <w:szCs w:val="24"/>
        </w:rPr>
        <w:t xml:space="preserve">) </w:t>
      </w:r>
      <w:r w:rsidRPr="00316432">
        <w:rPr>
          <w:rFonts w:ascii="Calibri" w:hAnsi="Calibri" w:cs="Calibri"/>
          <w:szCs w:val="24"/>
        </w:rPr>
        <w:t>budget</w:t>
      </w:r>
      <w:r>
        <w:rPr>
          <w:rFonts w:ascii="Calibri" w:hAnsi="Calibri" w:cs="Calibri"/>
          <w:szCs w:val="24"/>
        </w:rPr>
        <w:t xml:space="preserve"> reduced from </w:t>
      </w:r>
      <w:r w:rsidRPr="00316432">
        <w:rPr>
          <w:rFonts w:ascii="Calibri" w:hAnsi="Calibri" w:cs="Calibri"/>
          <w:szCs w:val="24"/>
        </w:rPr>
        <w:t xml:space="preserve">£1.285m </w:t>
      </w:r>
      <w:r>
        <w:rPr>
          <w:rFonts w:ascii="Calibri" w:hAnsi="Calibri" w:cs="Calibri"/>
          <w:szCs w:val="24"/>
        </w:rPr>
        <w:t>to £1.083m</w:t>
      </w:r>
      <w:r w:rsidRPr="00316432">
        <w:rPr>
          <w:rFonts w:ascii="Calibri" w:hAnsi="Calibri" w:cs="Calibri"/>
          <w:szCs w:val="24"/>
        </w:rPr>
        <w:t xml:space="preserve">.  </w:t>
      </w:r>
      <w:r w:rsidR="002F786B">
        <w:rPr>
          <w:rFonts w:ascii="Calibri" w:hAnsi="Calibri" w:cs="Calibri"/>
          <w:szCs w:val="24"/>
        </w:rPr>
        <w:t xml:space="preserve">During the quarter, </w:t>
      </w:r>
      <w:r>
        <w:rPr>
          <w:rFonts w:ascii="Calibri" w:hAnsi="Calibri" w:cs="Calibri"/>
          <w:szCs w:val="24"/>
        </w:rPr>
        <w:t xml:space="preserve">SG confirmed </w:t>
      </w:r>
      <w:r w:rsidR="002F786B">
        <w:rPr>
          <w:rFonts w:ascii="Calibri" w:hAnsi="Calibri" w:cs="Calibri"/>
          <w:szCs w:val="24"/>
        </w:rPr>
        <w:t xml:space="preserve">that </w:t>
      </w:r>
      <w:r>
        <w:rPr>
          <w:rFonts w:ascii="Calibri" w:hAnsi="Calibri" w:cs="Calibri"/>
          <w:szCs w:val="24"/>
        </w:rPr>
        <w:t xml:space="preserve">the £1.5m SRDP retention can be retained and used </w:t>
      </w:r>
      <w:r w:rsidRPr="00AD3F40">
        <w:rPr>
          <w:rFonts w:ascii="Calibri" w:hAnsi="Calibri" w:cs="Calibri"/>
          <w:szCs w:val="24"/>
        </w:rPr>
        <w:t>to deliver the Farming with Nature programme.</w:t>
      </w:r>
    </w:p>
    <w:p w14:paraId="14280061" w14:textId="77777777" w:rsidR="00030D53" w:rsidRPr="001C30A1" w:rsidRDefault="00030D53" w:rsidP="002833D9">
      <w:pPr>
        <w:pStyle w:val="ListParagraph"/>
        <w:numPr>
          <w:ilvl w:val="0"/>
          <w:numId w:val="3"/>
        </w:numPr>
        <w:spacing w:after="0"/>
        <w:ind w:left="714" w:hanging="357"/>
        <w:rPr>
          <w:rFonts w:ascii="Calibri" w:hAnsi="Calibri" w:cs="Calibri"/>
          <w:szCs w:val="24"/>
        </w:rPr>
      </w:pPr>
      <w:r>
        <w:rPr>
          <w:rFonts w:ascii="Calibri" w:hAnsi="Calibri" w:cs="Calibri"/>
          <w:szCs w:val="24"/>
        </w:rPr>
        <w:lastRenderedPageBreak/>
        <w:t>T</w:t>
      </w:r>
      <w:r w:rsidRPr="00B97CBE">
        <w:rPr>
          <w:rFonts w:ascii="Calibri" w:hAnsi="Calibri" w:cs="Calibri"/>
          <w:szCs w:val="24"/>
        </w:rPr>
        <w:t>he Facility for Investment Ready Nature in Scotland (FIRNS)</w:t>
      </w:r>
      <w:r>
        <w:rPr>
          <w:rFonts w:ascii="Calibri" w:hAnsi="Calibri" w:cs="Calibri"/>
          <w:szCs w:val="24"/>
        </w:rPr>
        <w:t xml:space="preserve"> budget remains at £1.8m.  Grants are currently being awarded to deliver the programme.  We are forecasting an underspend of £0.14m</w:t>
      </w:r>
      <w:r w:rsidRPr="00B97CBE">
        <w:rPr>
          <w:rFonts w:ascii="Calibri" w:hAnsi="Calibri" w:cs="Calibri"/>
          <w:szCs w:val="24"/>
        </w:rPr>
        <w:t>.</w:t>
      </w:r>
    </w:p>
    <w:p w14:paraId="5DA3579D" w14:textId="77777777" w:rsidR="00030D53" w:rsidRPr="002336D3" w:rsidRDefault="00030D53" w:rsidP="002833D9">
      <w:pPr>
        <w:pStyle w:val="ListParagraph"/>
        <w:numPr>
          <w:ilvl w:val="0"/>
          <w:numId w:val="3"/>
        </w:numPr>
        <w:ind w:left="714" w:hanging="357"/>
        <w:rPr>
          <w:rFonts w:ascii="Calibri" w:hAnsi="Calibri" w:cs="Calibri"/>
          <w:szCs w:val="24"/>
        </w:rPr>
      </w:pPr>
      <w:r w:rsidRPr="002336D3">
        <w:rPr>
          <w:rFonts w:ascii="Calibri" w:hAnsi="Calibri" w:cs="Calibri"/>
          <w:szCs w:val="24"/>
        </w:rPr>
        <w:t>The budget</w:t>
      </w:r>
      <w:r>
        <w:rPr>
          <w:rFonts w:ascii="Calibri" w:hAnsi="Calibri" w:cs="Calibri"/>
          <w:szCs w:val="24"/>
        </w:rPr>
        <w:t xml:space="preserve"> management</w:t>
      </w:r>
      <w:r w:rsidRPr="002336D3">
        <w:rPr>
          <w:rFonts w:ascii="Calibri" w:hAnsi="Calibri" w:cs="Calibri"/>
          <w:szCs w:val="24"/>
        </w:rPr>
        <w:t xml:space="preserve"> exercise </w:t>
      </w:r>
      <w:r>
        <w:rPr>
          <w:rFonts w:ascii="Calibri" w:hAnsi="Calibri" w:cs="Calibri"/>
          <w:szCs w:val="24"/>
        </w:rPr>
        <w:t>began</w:t>
      </w:r>
      <w:r w:rsidRPr="002336D3">
        <w:rPr>
          <w:rFonts w:ascii="Calibri" w:hAnsi="Calibri" w:cs="Calibri"/>
          <w:szCs w:val="24"/>
        </w:rPr>
        <w:t xml:space="preserve"> in early Q2, challenging uncommitted budgets and ensuring that allocations are optimised with respect to high priority work consider</w:t>
      </w:r>
      <w:r>
        <w:rPr>
          <w:rFonts w:ascii="Calibri" w:hAnsi="Calibri" w:cs="Calibri"/>
          <w:szCs w:val="24"/>
        </w:rPr>
        <w:t>ed achievable during the remainder of the year</w:t>
      </w:r>
      <w:r w:rsidRPr="002336D3">
        <w:rPr>
          <w:rFonts w:ascii="Calibri" w:hAnsi="Calibri" w:cs="Calibri"/>
          <w:szCs w:val="24"/>
        </w:rPr>
        <w:t>.</w:t>
      </w:r>
    </w:p>
    <w:p w14:paraId="5E64FBB9" w14:textId="77777777" w:rsidR="00030D53" w:rsidRPr="002336D3" w:rsidRDefault="00030D53" w:rsidP="002833D9">
      <w:pPr>
        <w:pStyle w:val="ListParagraph"/>
        <w:numPr>
          <w:ilvl w:val="0"/>
          <w:numId w:val="3"/>
        </w:numPr>
        <w:ind w:left="714" w:hanging="357"/>
        <w:rPr>
          <w:rFonts w:ascii="Calibri" w:hAnsi="Calibri" w:cs="Calibri"/>
          <w:szCs w:val="24"/>
        </w:rPr>
      </w:pPr>
      <w:r w:rsidRPr="002336D3">
        <w:rPr>
          <w:rFonts w:ascii="Calibri" w:hAnsi="Calibri" w:cs="Calibri"/>
          <w:szCs w:val="24"/>
        </w:rPr>
        <w:t>We will continue to monitor project surrenders</w:t>
      </w:r>
      <w:r>
        <w:rPr>
          <w:rFonts w:ascii="Calibri" w:hAnsi="Calibri" w:cs="Calibri"/>
          <w:szCs w:val="24"/>
        </w:rPr>
        <w:t xml:space="preserve"> throughout the year, using </w:t>
      </w:r>
      <w:r w:rsidRPr="002336D3">
        <w:rPr>
          <w:rFonts w:ascii="Calibri" w:hAnsi="Calibri" w:cs="Calibri"/>
          <w:szCs w:val="24"/>
        </w:rPr>
        <w:t xml:space="preserve">our knowledge and experience of previous slippage patterns to ensure </w:t>
      </w:r>
      <w:r>
        <w:rPr>
          <w:rFonts w:ascii="Calibri" w:hAnsi="Calibri" w:cs="Calibri"/>
          <w:szCs w:val="24"/>
        </w:rPr>
        <w:t xml:space="preserve">that appropriate </w:t>
      </w:r>
      <w:r w:rsidRPr="002336D3">
        <w:rPr>
          <w:rFonts w:ascii="Calibri" w:hAnsi="Calibri" w:cs="Calibri"/>
          <w:szCs w:val="24"/>
        </w:rPr>
        <w:t xml:space="preserve">demand is ready to allocate when funds become available.  </w:t>
      </w:r>
    </w:p>
    <w:p w14:paraId="6319D24E" w14:textId="512FA783" w:rsidR="00030D53" w:rsidRDefault="00030D53" w:rsidP="002833D9">
      <w:pPr>
        <w:pStyle w:val="ListParagraph"/>
        <w:numPr>
          <w:ilvl w:val="0"/>
          <w:numId w:val="3"/>
        </w:numPr>
        <w:ind w:left="714" w:hanging="357"/>
        <w:rPr>
          <w:rFonts w:ascii="Calibri" w:hAnsi="Calibri" w:cs="Calibri"/>
          <w:szCs w:val="24"/>
        </w:rPr>
      </w:pPr>
      <w:r w:rsidRPr="00060C0F">
        <w:rPr>
          <w:rFonts w:ascii="Calibri" w:hAnsi="Calibri" w:cs="Calibri"/>
          <w:szCs w:val="24"/>
        </w:rPr>
        <w:t xml:space="preserve">The </w:t>
      </w:r>
      <w:proofErr w:type="spellStart"/>
      <w:r w:rsidRPr="00060C0F">
        <w:rPr>
          <w:rFonts w:ascii="Calibri" w:hAnsi="Calibri" w:cs="Calibri"/>
          <w:szCs w:val="24"/>
        </w:rPr>
        <w:t>paybill</w:t>
      </w:r>
      <w:proofErr w:type="spellEnd"/>
      <w:r w:rsidRPr="00060C0F">
        <w:rPr>
          <w:rFonts w:ascii="Calibri" w:hAnsi="Calibri" w:cs="Calibri"/>
          <w:szCs w:val="24"/>
        </w:rPr>
        <w:t xml:space="preserve"> outturn is currently projected to exceed the</w:t>
      </w:r>
      <w:r>
        <w:rPr>
          <w:rFonts w:ascii="Calibri" w:hAnsi="Calibri" w:cs="Calibri"/>
          <w:szCs w:val="24"/>
        </w:rPr>
        <w:t xml:space="preserve"> budget by £0.329m</w:t>
      </w:r>
      <w:r w:rsidRPr="00060C0F">
        <w:rPr>
          <w:rFonts w:ascii="Calibri" w:hAnsi="Calibri" w:cs="Calibri"/>
          <w:szCs w:val="24"/>
        </w:rPr>
        <w:t>.  This follows the early approval of staffing requirements for 202</w:t>
      </w:r>
      <w:r>
        <w:rPr>
          <w:rFonts w:ascii="Calibri" w:hAnsi="Calibri" w:cs="Calibri"/>
          <w:szCs w:val="24"/>
        </w:rPr>
        <w:t>3</w:t>
      </w:r>
      <w:r w:rsidRPr="00060C0F">
        <w:rPr>
          <w:rFonts w:ascii="Calibri" w:hAnsi="Calibri" w:cs="Calibri"/>
          <w:szCs w:val="24"/>
        </w:rPr>
        <w:t>/2</w:t>
      </w:r>
      <w:r>
        <w:rPr>
          <w:rFonts w:ascii="Calibri" w:hAnsi="Calibri" w:cs="Calibri"/>
          <w:szCs w:val="24"/>
        </w:rPr>
        <w:t>4</w:t>
      </w:r>
      <w:r w:rsidRPr="00060C0F">
        <w:rPr>
          <w:rFonts w:ascii="Calibri" w:hAnsi="Calibri" w:cs="Calibri"/>
          <w:szCs w:val="24"/>
        </w:rPr>
        <w:t xml:space="preserve"> in response to identified resourcing pressures.  This proactive approach ensures that we can respond to the developing needs of the organisation in the right timeframe.  It is anticipated that </w:t>
      </w:r>
      <w:r>
        <w:rPr>
          <w:rFonts w:ascii="Calibri" w:hAnsi="Calibri" w:cs="Calibri"/>
          <w:szCs w:val="24"/>
        </w:rPr>
        <w:t>sufficient</w:t>
      </w:r>
      <w:r w:rsidRPr="00060C0F">
        <w:rPr>
          <w:rFonts w:ascii="Calibri" w:hAnsi="Calibri" w:cs="Calibri"/>
          <w:szCs w:val="24"/>
        </w:rPr>
        <w:t xml:space="preserve"> savings will be achieved throughout the year</w:t>
      </w:r>
      <w:r>
        <w:rPr>
          <w:rFonts w:ascii="Calibri" w:hAnsi="Calibri" w:cs="Calibri"/>
          <w:szCs w:val="24"/>
        </w:rPr>
        <w:t xml:space="preserve"> to meet the </w:t>
      </w:r>
      <w:proofErr w:type="spellStart"/>
      <w:r>
        <w:rPr>
          <w:rFonts w:ascii="Calibri" w:hAnsi="Calibri" w:cs="Calibri"/>
          <w:szCs w:val="24"/>
        </w:rPr>
        <w:t>paybill</w:t>
      </w:r>
      <w:proofErr w:type="spellEnd"/>
      <w:r>
        <w:rPr>
          <w:rFonts w:ascii="Calibri" w:hAnsi="Calibri" w:cs="Calibri"/>
          <w:szCs w:val="24"/>
        </w:rPr>
        <w:t xml:space="preserve"> budget</w:t>
      </w:r>
      <w:r w:rsidRPr="00060C0F">
        <w:rPr>
          <w:rFonts w:ascii="Calibri" w:hAnsi="Calibri" w:cs="Calibri"/>
          <w:szCs w:val="24"/>
        </w:rPr>
        <w:t>.</w:t>
      </w:r>
      <w:r w:rsidR="00252A73">
        <w:rPr>
          <w:rFonts w:ascii="Calibri" w:hAnsi="Calibri" w:cs="Calibri"/>
          <w:szCs w:val="24"/>
        </w:rPr>
        <w:t xml:space="preserve"> </w:t>
      </w:r>
    </w:p>
    <w:p w14:paraId="2C3A2DA0" w14:textId="1A25BB80" w:rsidR="002A5DDE" w:rsidRPr="00306458" w:rsidRDefault="002A5DDE" w:rsidP="002833D9">
      <w:pPr>
        <w:pStyle w:val="ListParagraph"/>
        <w:numPr>
          <w:ilvl w:val="0"/>
          <w:numId w:val="3"/>
        </w:numPr>
        <w:ind w:left="714" w:hanging="357"/>
        <w:rPr>
          <w:rFonts w:ascii="Calibri" w:hAnsi="Calibri" w:cs="Calibri"/>
          <w:szCs w:val="24"/>
        </w:rPr>
      </w:pPr>
      <w:r w:rsidRPr="00306458">
        <w:rPr>
          <w:rFonts w:ascii="Calibri" w:hAnsi="Calibri" w:cs="Calibri"/>
          <w:szCs w:val="24"/>
        </w:rPr>
        <w:t xml:space="preserve">If the 2023/24 SG based pay settlement is agreed the </w:t>
      </w:r>
      <w:proofErr w:type="spellStart"/>
      <w:r w:rsidRPr="00306458">
        <w:rPr>
          <w:rFonts w:ascii="Calibri" w:hAnsi="Calibri" w:cs="Calibri"/>
          <w:szCs w:val="24"/>
        </w:rPr>
        <w:t>Paybill</w:t>
      </w:r>
      <w:proofErr w:type="spellEnd"/>
      <w:r w:rsidRPr="00306458">
        <w:rPr>
          <w:rFonts w:ascii="Calibri" w:hAnsi="Calibri" w:cs="Calibri"/>
          <w:szCs w:val="24"/>
        </w:rPr>
        <w:t xml:space="preserve"> forecast cost will increase by c£650k. A lower settlement cost is factored into the existing forecast.</w:t>
      </w:r>
    </w:p>
    <w:p w14:paraId="70A5DBF7" w14:textId="77777777" w:rsidR="00030D53" w:rsidRDefault="00030D53" w:rsidP="002833D9">
      <w:pPr>
        <w:pStyle w:val="ListParagraph"/>
        <w:rPr>
          <w:rFonts w:ascii="Calibri" w:hAnsi="Calibri" w:cs="Calibri"/>
          <w:szCs w:val="24"/>
        </w:rPr>
      </w:pPr>
    </w:p>
    <w:p w14:paraId="25F48692" w14:textId="77777777" w:rsidR="00030D53" w:rsidRDefault="00030D53" w:rsidP="002833D9">
      <w:pPr>
        <w:keepNext/>
        <w:keepLines/>
        <w:ind w:left="360"/>
        <w:contextualSpacing/>
        <w:outlineLvl w:val="1"/>
        <w:rPr>
          <w:rFonts w:ascii="Calibri" w:eastAsia="Times New Roman" w:hAnsi="Calibri" w:cs="Calibri"/>
          <w:b/>
          <w:szCs w:val="24"/>
        </w:rPr>
      </w:pPr>
      <w:r>
        <w:rPr>
          <w:rFonts w:ascii="Calibri" w:eastAsia="Times New Roman" w:hAnsi="Calibri" w:cs="Calibri"/>
          <w:b/>
          <w:szCs w:val="24"/>
        </w:rPr>
        <w:t>Indirect Capital Funding Programmes (including Peatlands)</w:t>
      </w:r>
    </w:p>
    <w:p w14:paraId="30DB61FC" w14:textId="77777777" w:rsidR="00030D53" w:rsidRDefault="00030D53" w:rsidP="002833D9">
      <w:pPr>
        <w:pStyle w:val="ListParagraph"/>
        <w:numPr>
          <w:ilvl w:val="0"/>
          <w:numId w:val="4"/>
        </w:numPr>
        <w:spacing w:line="259" w:lineRule="auto"/>
        <w:ind w:left="714" w:hanging="357"/>
        <w:rPr>
          <w:rFonts w:ascii="Calibri" w:hAnsi="Calibri" w:cs="Calibri"/>
          <w:szCs w:val="24"/>
        </w:rPr>
      </w:pPr>
      <w:r>
        <w:rPr>
          <w:rFonts w:ascii="Calibri" w:hAnsi="Calibri" w:cs="Calibri"/>
          <w:szCs w:val="24"/>
        </w:rPr>
        <w:t>We are forecasting an overall underspend on Indirect Capital of £0.326m.</w:t>
      </w:r>
    </w:p>
    <w:p w14:paraId="1C796EDA" w14:textId="70480317" w:rsidR="002A5DDE" w:rsidRPr="00306458" w:rsidRDefault="00030D53" w:rsidP="002833D9">
      <w:pPr>
        <w:pStyle w:val="ListParagraph"/>
        <w:numPr>
          <w:ilvl w:val="0"/>
          <w:numId w:val="4"/>
        </w:numPr>
        <w:spacing w:line="259" w:lineRule="auto"/>
        <w:rPr>
          <w:rFonts w:ascii="Calibri" w:hAnsi="Calibri" w:cs="Calibri"/>
          <w:szCs w:val="24"/>
        </w:rPr>
      </w:pPr>
      <w:r w:rsidRPr="00306458">
        <w:rPr>
          <w:rFonts w:ascii="Calibri" w:hAnsi="Calibri" w:cs="Calibri"/>
          <w:szCs w:val="24"/>
        </w:rPr>
        <w:t xml:space="preserve">Peatland Action restoration, conservation, management and associated employee costs for 2023/24 remains at £14.25m.  The first official forecast for </w:t>
      </w:r>
      <w:r w:rsidR="00252A73" w:rsidRPr="00306458">
        <w:rPr>
          <w:rFonts w:ascii="Calibri" w:hAnsi="Calibri" w:cs="Calibri"/>
          <w:szCs w:val="24"/>
        </w:rPr>
        <w:t>20</w:t>
      </w:r>
      <w:r w:rsidRPr="00306458">
        <w:rPr>
          <w:rFonts w:ascii="Calibri" w:hAnsi="Calibri" w:cs="Calibri"/>
          <w:szCs w:val="24"/>
        </w:rPr>
        <w:t>23/24 will be completed in October.</w:t>
      </w:r>
      <w:r w:rsidR="002A5DDE" w:rsidRPr="00306458">
        <w:rPr>
          <w:rFonts w:ascii="Calibri" w:hAnsi="Calibri" w:cs="Calibri"/>
          <w:szCs w:val="24"/>
        </w:rPr>
        <w:t xml:space="preserve"> We have received the £864k income for Peatlands and </w:t>
      </w:r>
      <w:r w:rsidR="00306458">
        <w:rPr>
          <w:rFonts w:ascii="Calibri" w:hAnsi="Calibri" w:cs="Calibri"/>
          <w:szCs w:val="24"/>
        </w:rPr>
        <w:t xml:space="preserve">remain </w:t>
      </w:r>
      <w:r w:rsidR="002A5DDE" w:rsidRPr="00306458">
        <w:rPr>
          <w:rFonts w:ascii="Calibri" w:hAnsi="Calibri" w:cs="Calibri"/>
          <w:szCs w:val="24"/>
        </w:rPr>
        <w:t xml:space="preserve">over-allocated on Indirect Capital. </w:t>
      </w:r>
    </w:p>
    <w:p w14:paraId="3218F498" w14:textId="19CF0004" w:rsidR="00030D53" w:rsidRPr="00306458" w:rsidRDefault="00030D53" w:rsidP="002833D9">
      <w:pPr>
        <w:pStyle w:val="ListParagraph"/>
        <w:numPr>
          <w:ilvl w:val="0"/>
          <w:numId w:val="4"/>
        </w:numPr>
        <w:spacing w:line="259" w:lineRule="auto"/>
        <w:rPr>
          <w:rFonts w:ascii="Calibri" w:hAnsi="Calibri" w:cs="Calibri"/>
          <w:szCs w:val="24"/>
        </w:rPr>
      </w:pPr>
      <w:r w:rsidRPr="00306458">
        <w:rPr>
          <w:rFonts w:ascii="Calibri" w:hAnsi="Calibri" w:cs="Calibri"/>
          <w:szCs w:val="24"/>
        </w:rPr>
        <w:t xml:space="preserve">The Nature Recovery Fund (NRF) budget for </w:t>
      </w:r>
      <w:r w:rsidR="00252A73" w:rsidRPr="00306458">
        <w:rPr>
          <w:rFonts w:ascii="Calibri" w:hAnsi="Calibri" w:cs="Calibri"/>
          <w:szCs w:val="24"/>
        </w:rPr>
        <w:t>20</w:t>
      </w:r>
      <w:r w:rsidRPr="00306458">
        <w:rPr>
          <w:rFonts w:ascii="Calibri" w:hAnsi="Calibri" w:cs="Calibri"/>
          <w:szCs w:val="24"/>
        </w:rPr>
        <w:t>23/24 is currently £6.750m.  This is split £1.750m Resourc</w:t>
      </w:r>
      <w:r w:rsidR="002A5DDE" w:rsidRPr="00306458">
        <w:rPr>
          <w:rFonts w:ascii="Calibri" w:hAnsi="Calibri" w:cs="Calibri"/>
          <w:szCs w:val="24"/>
        </w:rPr>
        <w:t xml:space="preserve">e and £5m Indirect Capital. We have received the additional £1m for Indirect Capital but there is </w:t>
      </w:r>
      <w:r w:rsidR="00887D1D" w:rsidRPr="00306458">
        <w:rPr>
          <w:rFonts w:ascii="Calibri" w:hAnsi="Calibri" w:cs="Calibri"/>
          <w:szCs w:val="24"/>
        </w:rPr>
        <w:t xml:space="preserve">a possibility </w:t>
      </w:r>
      <w:r w:rsidR="002A5DDE" w:rsidRPr="00306458">
        <w:rPr>
          <w:rFonts w:ascii="Calibri" w:hAnsi="Calibri" w:cs="Calibri"/>
          <w:szCs w:val="24"/>
        </w:rPr>
        <w:t xml:space="preserve">of handing some of this back to SG at SBR.  </w:t>
      </w:r>
    </w:p>
    <w:p w14:paraId="026C3D6B" w14:textId="77777777" w:rsidR="00030D53" w:rsidRPr="00306458" w:rsidRDefault="00030D53" w:rsidP="002833D9">
      <w:pPr>
        <w:pStyle w:val="ListParagraph"/>
        <w:numPr>
          <w:ilvl w:val="0"/>
          <w:numId w:val="3"/>
        </w:numPr>
        <w:ind w:left="720"/>
        <w:rPr>
          <w:rFonts w:ascii="Calibri" w:hAnsi="Calibri" w:cs="Calibri"/>
          <w:szCs w:val="24"/>
        </w:rPr>
      </w:pPr>
      <w:r w:rsidRPr="00306458">
        <w:rPr>
          <w:rFonts w:ascii="Calibri" w:hAnsi="Calibri" w:cs="Calibri"/>
          <w:szCs w:val="24"/>
        </w:rPr>
        <w:t xml:space="preserve">Awards are currently being agreed for Nature Recovery Fund and Peatlands, with an over-allocation approach to ensure that full budget spend is achieved. </w:t>
      </w:r>
    </w:p>
    <w:p w14:paraId="3B669CA5" w14:textId="594EE0D2" w:rsidR="00887D1D" w:rsidRDefault="00030D53" w:rsidP="002833D9">
      <w:pPr>
        <w:pStyle w:val="ListParagraph"/>
        <w:numPr>
          <w:ilvl w:val="0"/>
          <w:numId w:val="3"/>
        </w:numPr>
        <w:ind w:left="720"/>
        <w:rPr>
          <w:rFonts w:ascii="Calibri" w:hAnsi="Calibri" w:cs="Calibri"/>
          <w:szCs w:val="24"/>
        </w:rPr>
      </w:pPr>
      <w:r w:rsidRPr="00306458">
        <w:rPr>
          <w:rFonts w:ascii="Calibri" w:hAnsi="Calibri" w:cs="Calibri"/>
          <w:szCs w:val="24"/>
        </w:rPr>
        <w:t xml:space="preserve">The impact of slippage on large value programmes such as NRF presents a risk to spend levels.  The anticipated slippage is </w:t>
      </w:r>
      <w:r w:rsidR="002F786B" w:rsidRPr="00306458">
        <w:rPr>
          <w:rFonts w:ascii="Calibri" w:hAnsi="Calibri" w:cs="Calibri"/>
          <w:szCs w:val="24"/>
        </w:rPr>
        <w:t xml:space="preserve">provided for at </w:t>
      </w:r>
      <w:r w:rsidRPr="00306458">
        <w:rPr>
          <w:rFonts w:ascii="Calibri" w:hAnsi="Calibri" w:cs="Calibri"/>
          <w:szCs w:val="24"/>
        </w:rPr>
        <w:t xml:space="preserve">10% of the forecast outturn </w:t>
      </w:r>
      <w:r w:rsidR="002F786B" w:rsidRPr="00306458">
        <w:rPr>
          <w:rFonts w:ascii="Calibri" w:hAnsi="Calibri" w:cs="Calibri"/>
          <w:szCs w:val="24"/>
        </w:rPr>
        <w:t>(£0.438m).  This is split to</w:t>
      </w:r>
      <w:r w:rsidRPr="00306458">
        <w:rPr>
          <w:rFonts w:ascii="Calibri" w:hAnsi="Calibri" w:cs="Calibri"/>
          <w:szCs w:val="24"/>
        </w:rPr>
        <w:t xml:space="preserve"> Indirect Capital (£0.326m) and Resource (£0.112m) budgets. </w:t>
      </w:r>
    </w:p>
    <w:p w14:paraId="4213C8E8" w14:textId="77777777" w:rsidR="00887D1D" w:rsidRPr="00306458" w:rsidRDefault="00887D1D" w:rsidP="002833D9">
      <w:pPr>
        <w:pStyle w:val="ListParagraph"/>
        <w:rPr>
          <w:rFonts w:ascii="Calibri" w:hAnsi="Calibri" w:cs="Calibri"/>
          <w:szCs w:val="24"/>
        </w:rPr>
      </w:pPr>
    </w:p>
    <w:p w14:paraId="47336F37" w14:textId="77777777" w:rsidR="00030D53" w:rsidRPr="00306458" w:rsidRDefault="00030D53" w:rsidP="002833D9">
      <w:pPr>
        <w:keepNext/>
        <w:keepLines/>
        <w:ind w:left="360"/>
        <w:contextualSpacing/>
        <w:outlineLvl w:val="1"/>
        <w:rPr>
          <w:rFonts w:ascii="Calibri" w:eastAsia="Times New Roman" w:hAnsi="Calibri" w:cs="Calibri"/>
          <w:szCs w:val="24"/>
        </w:rPr>
      </w:pPr>
      <w:r w:rsidRPr="00306458">
        <w:rPr>
          <w:rFonts w:ascii="Calibri" w:eastAsia="Times New Roman" w:hAnsi="Calibri" w:cs="Calibri"/>
          <w:b/>
          <w:szCs w:val="24"/>
        </w:rPr>
        <w:t>Structural Funds Programmes</w:t>
      </w:r>
    </w:p>
    <w:p w14:paraId="43333BDE" w14:textId="190E4079" w:rsidR="00030D53" w:rsidRPr="00306458" w:rsidRDefault="00BC2772" w:rsidP="002833D9">
      <w:pPr>
        <w:pStyle w:val="ListParagraph"/>
        <w:numPr>
          <w:ilvl w:val="0"/>
          <w:numId w:val="15"/>
        </w:numPr>
        <w:spacing w:after="120"/>
        <w:rPr>
          <w:rFonts w:ascii="Calibri" w:hAnsi="Calibri" w:cs="Calibri"/>
          <w:szCs w:val="24"/>
        </w:rPr>
      </w:pPr>
      <w:r w:rsidRPr="00306458">
        <w:rPr>
          <w:rFonts w:ascii="Calibri" w:hAnsi="Calibri" w:cs="Calibri"/>
          <w:szCs w:val="24"/>
        </w:rPr>
        <w:t xml:space="preserve">Following the delays to the claim timescales advised by the Managing Authority (SG) earlier in the year and the rejection of our penultimate NCHF claim at the end of September, </w:t>
      </w:r>
      <w:r w:rsidR="002F786B" w:rsidRPr="00306458">
        <w:rPr>
          <w:rFonts w:ascii="Calibri" w:hAnsi="Calibri" w:cs="Calibri"/>
          <w:szCs w:val="24"/>
        </w:rPr>
        <w:t xml:space="preserve">our cash drawdown requirements </w:t>
      </w:r>
      <w:r w:rsidRPr="00306458">
        <w:rPr>
          <w:rFonts w:ascii="Calibri" w:hAnsi="Calibri" w:cs="Calibri"/>
          <w:szCs w:val="24"/>
        </w:rPr>
        <w:t>have</w:t>
      </w:r>
      <w:r w:rsidR="002F786B" w:rsidRPr="00306458">
        <w:rPr>
          <w:rFonts w:ascii="Calibri" w:hAnsi="Calibri" w:cs="Calibri"/>
          <w:szCs w:val="24"/>
        </w:rPr>
        <w:t xml:space="preserve"> </w:t>
      </w:r>
      <w:r w:rsidRPr="00306458">
        <w:rPr>
          <w:rFonts w:ascii="Calibri" w:hAnsi="Calibri" w:cs="Calibri"/>
          <w:szCs w:val="24"/>
        </w:rPr>
        <w:t xml:space="preserve">increased to </w:t>
      </w:r>
      <w:r w:rsidR="002F786B" w:rsidRPr="00306458">
        <w:rPr>
          <w:rFonts w:ascii="Calibri" w:hAnsi="Calibri" w:cs="Calibri"/>
          <w:szCs w:val="24"/>
        </w:rPr>
        <w:t xml:space="preserve">£20m rather than </w:t>
      </w:r>
      <w:r w:rsidR="002F786B" w:rsidRPr="00306458">
        <w:rPr>
          <w:rFonts w:ascii="Calibri" w:hAnsi="Calibri" w:cs="Calibri"/>
          <w:szCs w:val="24"/>
        </w:rPr>
        <w:lastRenderedPageBreak/>
        <w:t>£10m</w:t>
      </w:r>
      <w:r w:rsidRPr="00306458">
        <w:rPr>
          <w:rFonts w:ascii="Calibri" w:hAnsi="Calibri" w:cs="Calibri"/>
          <w:szCs w:val="24"/>
        </w:rPr>
        <w:t>, as initially forecast</w:t>
      </w:r>
      <w:r w:rsidR="002F786B" w:rsidRPr="00306458">
        <w:rPr>
          <w:rFonts w:ascii="Calibri" w:hAnsi="Calibri" w:cs="Calibri"/>
          <w:szCs w:val="24"/>
        </w:rPr>
        <w:t xml:space="preserve">.  We have </w:t>
      </w:r>
      <w:r w:rsidRPr="00306458">
        <w:rPr>
          <w:rFonts w:ascii="Calibri" w:hAnsi="Calibri" w:cs="Calibri"/>
          <w:szCs w:val="24"/>
        </w:rPr>
        <w:t>drawn down £16m at the end of September and have updated</w:t>
      </w:r>
      <w:r w:rsidR="002F786B" w:rsidRPr="00306458">
        <w:rPr>
          <w:rFonts w:ascii="Calibri" w:hAnsi="Calibri" w:cs="Calibri"/>
          <w:szCs w:val="24"/>
        </w:rPr>
        <w:t xml:space="preserve"> our Sponsor Team</w:t>
      </w:r>
      <w:r w:rsidRPr="00306458">
        <w:rPr>
          <w:rFonts w:ascii="Calibri" w:hAnsi="Calibri" w:cs="Calibri"/>
          <w:szCs w:val="24"/>
        </w:rPr>
        <w:t xml:space="preserve"> on the additional requirement</w:t>
      </w:r>
      <w:r w:rsidR="002F786B" w:rsidRPr="00306458">
        <w:rPr>
          <w:rFonts w:ascii="Calibri" w:hAnsi="Calibri" w:cs="Calibri"/>
          <w:szCs w:val="24"/>
        </w:rPr>
        <w:t>.</w:t>
      </w:r>
    </w:p>
    <w:p w14:paraId="15F60479" w14:textId="31E448BF" w:rsidR="00BC2772" w:rsidRPr="00306458" w:rsidRDefault="00BC2772" w:rsidP="002833D9">
      <w:pPr>
        <w:pStyle w:val="ListParagraph"/>
        <w:numPr>
          <w:ilvl w:val="0"/>
          <w:numId w:val="15"/>
        </w:numPr>
        <w:spacing w:after="120"/>
        <w:rPr>
          <w:rFonts w:ascii="Calibri" w:hAnsi="Calibri" w:cs="Calibri"/>
          <w:szCs w:val="24"/>
        </w:rPr>
      </w:pPr>
      <w:r w:rsidRPr="00306458">
        <w:rPr>
          <w:rFonts w:ascii="Calibri" w:hAnsi="Calibri" w:cs="Calibri"/>
          <w:szCs w:val="24"/>
        </w:rPr>
        <w:t>The handling of our penultimate NCHF claim by the Managing Authority has increased the risk of de-commitment over the remainder of the programme.  We are incr</w:t>
      </w:r>
      <w:r w:rsidR="00DD7D36" w:rsidRPr="00306458">
        <w:rPr>
          <w:rFonts w:ascii="Calibri" w:hAnsi="Calibri" w:cs="Calibri"/>
          <w:szCs w:val="24"/>
        </w:rPr>
        <w:t>easing the resource employed to manage claims for</w:t>
      </w:r>
      <w:r w:rsidRPr="00306458">
        <w:rPr>
          <w:rFonts w:ascii="Calibri" w:hAnsi="Calibri" w:cs="Calibri"/>
          <w:szCs w:val="24"/>
        </w:rPr>
        <w:t xml:space="preserve"> our Structural Funds Programmes and </w:t>
      </w:r>
      <w:r w:rsidR="00DD7D36" w:rsidRPr="00306458">
        <w:rPr>
          <w:rFonts w:ascii="Calibri" w:hAnsi="Calibri" w:cs="Calibri"/>
          <w:szCs w:val="24"/>
        </w:rPr>
        <w:t xml:space="preserve">are </w:t>
      </w:r>
      <w:r w:rsidRPr="00306458">
        <w:rPr>
          <w:rFonts w:ascii="Calibri" w:hAnsi="Calibri" w:cs="Calibri"/>
          <w:szCs w:val="24"/>
        </w:rPr>
        <w:t xml:space="preserve">engaging with the Managing Authority to </w:t>
      </w:r>
      <w:r w:rsidR="00DD7D36" w:rsidRPr="00306458">
        <w:rPr>
          <w:rFonts w:ascii="Calibri" w:hAnsi="Calibri" w:cs="Calibri"/>
          <w:szCs w:val="24"/>
        </w:rPr>
        <w:t>resolve the</w:t>
      </w:r>
      <w:r w:rsidRPr="00306458">
        <w:rPr>
          <w:rFonts w:ascii="Calibri" w:hAnsi="Calibri" w:cs="Calibri"/>
          <w:szCs w:val="24"/>
        </w:rPr>
        <w:t xml:space="preserve"> challenges </w:t>
      </w:r>
      <w:r w:rsidR="00DD7D36" w:rsidRPr="00306458">
        <w:rPr>
          <w:rFonts w:ascii="Calibri" w:hAnsi="Calibri" w:cs="Calibri"/>
          <w:szCs w:val="24"/>
        </w:rPr>
        <w:t>raised</w:t>
      </w:r>
      <w:r w:rsidRPr="00306458">
        <w:rPr>
          <w:rFonts w:ascii="Calibri" w:hAnsi="Calibri" w:cs="Calibri"/>
          <w:szCs w:val="24"/>
        </w:rPr>
        <w:t>.</w:t>
      </w:r>
    </w:p>
    <w:p w14:paraId="1DC78DF9" w14:textId="77777777" w:rsidR="002A5DDE" w:rsidRPr="00BE4366" w:rsidRDefault="002A5DDE" w:rsidP="002833D9">
      <w:pPr>
        <w:pStyle w:val="ListParagraph"/>
        <w:spacing w:after="120"/>
        <w:rPr>
          <w:rFonts w:ascii="Calibri" w:hAnsi="Calibri" w:cs="Calibri"/>
          <w:color w:val="FF0000"/>
          <w:szCs w:val="24"/>
        </w:rPr>
      </w:pPr>
    </w:p>
    <w:p w14:paraId="1F8C9535" w14:textId="77777777" w:rsidR="00030D53" w:rsidRPr="002336D3" w:rsidRDefault="00030D53" w:rsidP="002833D9">
      <w:pPr>
        <w:keepNext/>
        <w:keepLines/>
        <w:ind w:left="360"/>
        <w:contextualSpacing/>
        <w:outlineLvl w:val="1"/>
        <w:rPr>
          <w:rFonts w:ascii="Calibri" w:eastAsia="Times New Roman" w:hAnsi="Calibri" w:cs="Calibri"/>
          <w:szCs w:val="24"/>
        </w:rPr>
      </w:pPr>
      <w:r w:rsidRPr="002336D3">
        <w:rPr>
          <w:rFonts w:ascii="Calibri" w:eastAsia="Times New Roman" w:hAnsi="Calibri" w:cs="Calibri"/>
          <w:b/>
          <w:szCs w:val="24"/>
        </w:rPr>
        <w:t>Capital Budget Performance</w:t>
      </w:r>
    </w:p>
    <w:p w14:paraId="6F44D8C2" w14:textId="3415A082" w:rsidR="00030D53" w:rsidRDefault="00030D53" w:rsidP="002833D9">
      <w:pPr>
        <w:pStyle w:val="ListParagraph"/>
        <w:numPr>
          <w:ilvl w:val="0"/>
          <w:numId w:val="3"/>
        </w:numPr>
        <w:ind w:left="720"/>
        <w:rPr>
          <w:rFonts w:ascii="Calibri" w:hAnsi="Calibri" w:cs="Calibri"/>
          <w:szCs w:val="24"/>
        </w:rPr>
      </w:pPr>
      <w:r w:rsidRPr="002C0D29">
        <w:rPr>
          <w:rFonts w:ascii="Calibri" w:hAnsi="Calibri" w:cs="Calibri"/>
          <w:szCs w:val="24"/>
        </w:rPr>
        <w:t xml:space="preserve">An </w:t>
      </w:r>
      <w:r>
        <w:rPr>
          <w:rFonts w:ascii="Calibri" w:hAnsi="Calibri" w:cs="Calibri"/>
          <w:szCs w:val="24"/>
        </w:rPr>
        <w:t>overspend of £0.187</w:t>
      </w:r>
      <w:r w:rsidRPr="002C0D29">
        <w:rPr>
          <w:rFonts w:ascii="Calibri" w:hAnsi="Calibri" w:cs="Calibri"/>
          <w:szCs w:val="24"/>
        </w:rPr>
        <w:t>m is forecast on the capital budget</w:t>
      </w:r>
      <w:r>
        <w:rPr>
          <w:rFonts w:ascii="Calibri" w:hAnsi="Calibri" w:cs="Calibri"/>
          <w:szCs w:val="24"/>
        </w:rPr>
        <w:t xml:space="preserve"> </w:t>
      </w:r>
      <w:r w:rsidR="002F786B">
        <w:rPr>
          <w:rFonts w:ascii="Calibri" w:hAnsi="Calibri" w:cs="Calibri"/>
          <w:szCs w:val="24"/>
        </w:rPr>
        <w:t xml:space="preserve">following a review of the </w:t>
      </w:r>
      <w:proofErr w:type="spellStart"/>
      <w:r>
        <w:rPr>
          <w:rFonts w:ascii="Calibri" w:hAnsi="Calibri" w:cs="Calibri"/>
          <w:szCs w:val="24"/>
        </w:rPr>
        <w:t>Deerline</w:t>
      </w:r>
      <w:proofErr w:type="spellEnd"/>
      <w:r>
        <w:rPr>
          <w:rFonts w:ascii="Calibri" w:hAnsi="Calibri" w:cs="Calibri"/>
          <w:szCs w:val="24"/>
        </w:rPr>
        <w:t xml:space="preserve"> </w:t>
      </w:r>
      <w:r w:rsidR="002F786B">
        <w:rPr>
          <w:rFonts w:ascii="Calibri" w:hAnsi="Calibri" w:cs="Calibri"/>
          <w:szCs w:val="24"/>
        </w:rPr>
        <w:t xml:space="preserve">and online licensing </w:t>
      </w:r>
      <w:r>
        <w:rPr>
          <w:rFonts w:ascii="Calibri" w:hAnsi="Calibri" w:cs="Calibri"/>
          <w:szCs w:val="24"/>
        </w:rPr>
        <w:t>project</w:t>
      </w:r>
      <w:r w:rsidR="002F786B">
        <w:rPr>
          <w:rFonts w:ascii="Calibri" w:hAnsi="Calibri" w:cs="Calibri"/>
          <w:szCs w:val="24"/>
        </w:rPr>
        <w:t>s</w:t>
      </w:r>
      <w:r>
        <w:rPr>
          <w:rFonts w:ascii="Calibri" w:hAnsi="Calibri" w:cs="Calibri"/>
          <w:szCs w:val="24"/>
        </w:rPr>
        <w:t xml:space="preserve">. </w:t>
      </w:r>
    </w:p>
    <w:p w14:paraId="3F3C87C2" w14:textId="1A7C8748" w:rsidR="00030D53" w:rsidRPr="001B1B91" w:rsidRDefault="00030D53" w:rsidP="002833D9">
      <w:pPr>
        <w:pStyle w:val="ListParagraph"/>
        <w:numPr>
          <w:ilvl w:val="0"/>
          <w:numId w:val="3"/>
        </w:numPr>
        <w:spacing w:after="120"/>
        <w:ind w:left="720"/>
        <w:rPr>
          <w:rFonts w:ascii="Calibri" w:hAnsi="Calibri" w:cs="Calibri"/>
          <w:szCs w:val="24"/>
        </w:rPr>
      </w:pPr>
      <w:r>
        <w:rPr>
          <w:rFonts w:ascii="Calibri" w:hAnsi="Calibri" w:cs="Calibri"/>
          <w:szCs w:val="24"/>
        </w:rPr>
        <w:t>We will continue to r</w:t>
      </w:r>
      <w:r w:rsidRPr="001B1B91">
        <w:rPr>
          <w:rFonts w:ascii="Calibri" w:hAnsi="Calibri" w:cs="Calibri"/>
          <w:szCs w:val="24"/>
        </w:rPr>
        <w:t xml:space="preserve">eview </w:t>
      </w:r>
      <w:r>
        <w:rPr>
          <w:rFonts w:ascii="Calibri" w:hAnsi="Calibri" w:cs="Calibri"/>
          <w:szCs w:val="24"/>
        </w:rPr>
        <w:t xml:space="preserve">and actively manage the </w:t>
      </w:r>
      <w:r w:rsidRPr="001B1B91">
        <w:rPr>
          <w:rFonts w:ascii="Calibri" w:hAnsi="Calibri" w:cs="Calibri"/>
          <w:szCs w:val="24"/>
        </w:rPr>
        <w:t xml:space="preserve">capital budget (in particular for </w:t>
      </w:r>
      <w:proofErr w:type="spellStart"/>
      <w:r w:rsidR="00CD613D">
        <w:rPr>
          <w:rFonts w:ascii="Calibri" w:hAnsi="Calibri" w:cs="Calibri"/>
          <w:szCs w:val="24"/>
        </w:rPr>
        <w:t>D</w:t>
      </w:r>
      <w:r>
        <w:rPr>
          <w:rFonts w:ascii="Calibri" w:hAnsi="Calibri" w:cs="Calibri"/>
          <w:szCs w:val="24"/>
        </w:rPr>
        <w:t>eerline</w:t>
      </w:r>
      <w:proofErr w:type="spellEnd"/>
      <w:r>
        <w:rPr>
          <w:rFonts w:ascii="Calibri" w:hAnsi="Calibri" w:cs="Calibri"/>
          <w:szCs w:val="24"/>
        </w:rPr>
        <w:t xml:space="preserve"> and other </w:t>
      </w:r>
      <w:r w:rsidRPr="001B1B91">
        <w:rPr>
          <w:rFonts w:ascii="Calibri" w:hAnsi="Calibri" w:cs="Calibri"/>
          <w:szCs w:val="24"/>
        </w:rPr>
        <w:t xml:space="preserve">projects where costs have increased) to ensure outturn can be brought in line with budget for the year.  </w:t>
      </w:r>
    </w:p>
    <w:p w14:paraId="0F59C67D" w14:textId="77777777" w:rsidR="008D20BE" w:rsidRPr="001D66FE" w:rsidRDefault="008D20BE" w:rsidP="008D20BE">
      <w:pPr>
        <w:pStyle w:val="ListParagraph"/>
      </w:pPr>
    </w:p>
    <w:p w14:paraId="1AE8570F" w14:textId="77777777" w:rsidR="00521801" w:rsidRDefault="00521801" w:rsidP="004F3330">
      <w:pPr>
        <w:keepNext/>
        <w:keepLines/>
        <w:spacing w:before="40" w:after="0" w:line="259" w:lineRule="auto"/>
        <w:outlineLvl w:val="1"/>
        <w:rPr>
          <w:rFonts w:ascii="Calibri" w:eastAsiaTheme="majorEastAsia" w:hAnsi="Calibri" w:cs="Calibri"/>
          <w:b/>
          <w:color w:val="007DC3"/>
          <w:sz w:val="28"/>
          <w:szCs w:val="28"/>
        </w:rPr>
      </w:pPr>
    </w:p>
    <w:p w14:paraId="4177BCB5" w14:textId="77777777" w:rsidR="00521801" w:rsidRDefault="00521801" w:rsidP="004F3330">
      <w:pPr>
        <w:keepNext/>
        <w:keepLines/>
        <w:spacing w:before="40" w:after="0" w:line="259" w:lineRule="auto"/>
        <w:outlineLvl w:val="1"/>
        <w:rPr>
          <w:rFonts w:ascii="Calibri" w:eastAsiaTheme="majorEastAsia" w:hAnsi="Calibri" w:cs="Calibri"/>
          <w:b/>
          <w:color w:val="007DC3"/>
          <w:sz w:val="28"/>
          <w:szCs w:val="28"/>
        </w:rPr>
      </w:pPr>
    </w:p>
    <w:p w14:paraId="5477437F" w14:textId="3C03CD8A" w:rsidR="00521801" w:rsidRDefault="00521801" w:rsidP="00521801">
      <w:pPr>
        <w:rPr>
          <w:rFonts w:ascii="Calibri" w:eastAsiaTheme="majorEastAsia" w:hAnsi="Calibri" w:cs="Calibri"/>
          <w:b/>
          <w:color w:val="007DC3"/>
          <w:sz w:val="28"/>
          <w:szCs w:val="28"/>
        </w:rPr>
      </w:pPr>
    </w:p>
    <w:p w14:paraId="0EB1A4B1" w14:textId="77777777" w:rsidR="00521801" w:rsidRDefault="00521801">
      <w:pPr>
        <w:rPr>
          <w:rFonts w:ascii="Calibri" w:eastAsiaTheme="majorEastAsia" w:hAnsi="Calibri" w:cs="Calibri"/>
          <w:b/>
          <w:color w:val="007DC3"/>
          <w:sz w:val="28"/>
          <w:szCs w:val="28"/>
        </w:rPr>
      </w:pPr>
      <w:r>
        <w:rPr>
          <w:rFonts w:ascii="Calibri" w:eastAsiaTheme="majorEastAsia" w:hAnsi="Calibri" w:cs="Calibri"/>
          <w:b/>
          <w:color w:val="007DC3"/>
          <w:sz w:val="28"/>
          <w:szCs w:val="28"/>
        </w:rPr>
        <w:br w:type="page"/>
      </w:r>
    </w:p>
    <w:p w14:paraId="55C4FC37" w14:textId="7E654915" w:rsidR="008D20BE" w:rsidRDefault="008D20BE" w:rsidP="004F3330">
      <w:pPr>
        <w:keepNext/>
        <w:keepLines/>
        <w:spacing w:before="40" w:after="0" w:line="259" w:lineRule="auto"/>
        <w:outlineLvl w:val="1"/>
        <w:rPr>
          <w:rFonts w:ascii="Calibri" w:eastAsiaTheme="majorEastAsia" w:hAnsi="Calibri" w:cs="Calibri"/>
          <w:b/>
          <w:color w:val="007DC3"/>
          <w:sz w:val="28"/>
          <w:szCs w:val="28"/>
        </w:rPr>
      </w:pPr>
      <w:r w:rsidRPr="004F3330">
        <w:rPr>
          <w:rFonts w:ascii="Calibri" w:eastAsiaTheme="majorEastAsia" w:hAnsi="Calibri" w:cs="Calibri"/>
          <w:b/>
          <w:color w:val="007DC3"/>
          <w:sz w:val="28"/>
          <w:szCs w:val="28"/>
        </w:rPr>
        <w:lastRenderedPageBreak/>
        <w:t xml:space="preserve">RISK </w:t>
      </w:r>
    </w:p>
    <w:p w14:paraId="401DCFA1" w14:textId="77777777" w:rsidR="00CA47FF" w:rsidRPr="004F3330" w:rsidRDefault="00CA47FF" w:rsidP="004F3330">
      <w:pPr>
        <w:keepNext/>
        <w:keepLines/>
        <w:spacing w:before="40" w:after="0" w:line="259" w:lineRule="auto"/>
        <w:outlineLvl w:val="1"/>
        <w:rPr>
          <w:rFonts w:ascii="Calibri" w:eastAsiaTheme="majorEastAsia" w:hAnsi="Calibri" w:cs="Calibri"/>
          <w:b/>
          <w:color w:val="007DC3"/>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76"/>
        <w:gridCol w:w="3199"/>
      </w:tblGrid>
      <w:tr w:rsidR="008D20BE" w:rsidRPr="00CA47FF" w14:paraId="74B545DE" w14:textId="77777777" w:rsidTr="00CA47FF">
        <w:trPr>
          <w:cantSplit/>
          <w:trHeight w:val="284"/>
          <w:tblHeader/>
        </w:trPr>
        <w:tc>
          <w:tcPr>
            <w:tcW w:w="5376" w:type="dxa"/>
            <w:tcBorders>
              <w:top w:val="single" w:sz="12" w:space="0" w:color="auto"/>
              <w:left w:val="single" w:sz="12" w:space="0" w:color="auto"/>
              <w:bottom w:val="single" w:sz="12" w:space="0" w:color="auto"/>
              <w:right w:val="single" w:sz="12" w:space="0" w:color="auto"/>
            </w:tcBorders>
            <w:shd w:val="clear" w:color="auto" w:fill="5E8CC0"/>
            <w:vAlign w:val="bottom"/>
          </w:tcPr>
          <w:p w14:paraId="010CA88B" w14:textId="77777777" w:rsidR="008D20BE" w:rsidRPr="00CA47FF" w:rsidRDefault="008D20BE" w:rsidP="008D20BE">
            <w:pPr>
              <w:rPr>
                <w:rFonts w:ascii="Calibri" w:hAnsi="Calibri" w:cs="Calibri"/>
                <w:b/>
                <w:bCs/>
                <w:color w:val="1F497D" w:themeColor="text2"/>
                <w:szCs w:val="24"/>
                <w:highlight w:val="yellow"/>
              </w:rPr>
            </w:pPr>
            <w:r w:rsidRPr="00CA47FF">
              <w:rPr>
                <w:rFonts w:ascii="Calibri" w:hAnsi="Calibri" w:cs="Calibri"/>
                <w:b/>
                <w:bCs/>
                <w:szCs w:val="24"/>
              </w:rPr>
              <w:t>Corporate Risks</w:t>
            </w:r>
          </w:p>
        </w:tc>
        <w:tc>
          <w:tcPr>
            <w:tcW w:w="3199" w:type="dxa"/>
            <w:tcBorders>
              <w:top w:val="single" w:sz="12" w:space="0" w:color="auto"/>
              <w:left w:val="single" w:sz="12" w:space="0" w:color="auto"/>
              <w:bottom w:val="single" w:sz="12" w:space="0" w:color="auto"/>
              <w:right w:val="single" w:sz="12" w:space="0" w:color="auto"/>
            </w:tcBorders>
            <w:shd w:val="clear" w:color="auto" w:fill="5E8CC0"/>
          </w:tcPr>
          <w:p w14:paraId="5DAA98D0" w14:textId="77777777" w:rsidR="008D20BE" w:rsidRPr="00CA47FF" w:rsidRDefault="008D20BE" w:rsidP="008D20BE">
            <w:pPr>
              <w:rPr>
                <w:rFonts w:ascii="Calibri" w:hAnsi="Calibri" w:cs="Calibri"/>
                <w:b/>
                <w:bCs/>
                <w:color w:val="1F497D" w:themeColor="text2"/>
                <w:szCs w:val="24"/>
                <w:highlight w:val="yellow"/>
              </w:rPr>
            </w:pPr>
            <w:r w:rsidRPr="00CA47FF">
              <w:rPr>
                <w:rFonts w:ascii="Calibri" w:hAnsi="Calibri" w:cs="Calibri"/>
                <w:b/>
                <w:bCs/>
                <w:szCs w:val="24"/>
              </w:rPr>
              <w:t>Risk Changes</w:t>
            </w:r>
          </w:p>
        </w:tc>
      </w:tr>
      <w:tr w:rsidR="008D20BE" w:rsidRPr="004D18D9" w14:paraId="095403E0" w14:textId="77777777" w:rsidTr="00CA47FF">
        <w:trPr>
          <w:trHeight w:val="3745"/>
        </w:trPr>
        <w:tc>
          <w:tcPr>
            <w:tcW w:w="5376" w:type="dxa"/>
            <w:tcBorders>
              <w:top w:val="single" w:sz="12" w:space="0" w:color="auto"/>
              <w:left w:val="single" w:sz="12" w:space="0" w:color="auto"/>
              <w:bottom w:val="single" w:sz="12" w:space="0" w:color="auto"/>
              <w:right w:val="single" w:sz="12" w:space="0" w:color="auto"/>
            </w:tcBorders>
            <w:shd w:val="clear" w:color="auto" w:fill="auto"/>
          </w:tcPr>
          <w:tbl>
            <w:tblPr>
              <w:tblW w:w="5412" w:type="dxa"/>
              <w:jc w:val="center"/>
              <w:tblLayout w:type="fixed"/>
              <w:tblLook w:val="04A0" w:firstRow="1" w:lastRow="0" w:firstColumn="1" w:lastColumn="0" w:noHBand="0" w:noVBand="1"/>
            </w:tblPr>
            <w:tblGrid>
              <w:gridCol w:w="5412"/>
            </w:tblGrid>
            <w:tr w:rsidR="008D20BE" w:rsidRPr="00FE4730" w14:paraId="481C579A" w14:textId="77777777" w:rsidTr="00CA47FF">
              <w:trPr>
                <w:trHeight w:val="99"/>
                <w:jc w:val="center"/>
              </w:trPr>
              <w:tc>
                <w:tcPr>
                  <w:tcW w:w="5412" w:type="dxa"/>
                  <w:tcBorders>
                    <w:top w:val="nil"/>
                    <w:left w:val="nil"/>
                    <w:bottom w:val="nil"/>
                    <w:right w:val="nil"/>
                  </w:tcBorders>
                  <w:shd w:val="clear" w:color="auto" w:fill="auto"/>
                  <w:noWrap/>
                  <w:vAlign w:val="center"/>
                  <w:hideMark/>
                </w:tcPr>
                <w:p w14:paraId="694646F0" w14:textId="3065EA0E" w:rsidR="008D20BE" w:rsidRPr="00FE4730" w:rsidRDefault="008D20BE" w:rsidP="00CA47FF">
                  <w:pPr>
                    <w:jc w:val="center"/>
                    <w:rPr>
                      <w:rFonts w:ascii="Calibri" w:eastAsia="Times New Roman" w:hAnsi="Calibri" w:cs="Calibri"/>
                      <w:color w:val="000000"/>
                      <w:lang w:eastAsia="en-GB"/>
                    </w:rPr>
                  </w:pPr>
                </w:p>
              </w:tc>
            </w:tr>
          </w:tbl>
          <w:p w14:paraId="025996CD" w14:textId="20DCE144" w:rsidR="008D20BE" w:rsidRPr="00030D53" w:rsidRDefault="00030D53" w:rsidP="008D20BE">
            <w:pPr>
              <w:jc w:val="center"/>
              <w:rPr>
                <w:rFonts w:ascii="Calibri" w:hAnsi="Calibri" w:cs="Calibri"/>
                <w:szCs w:val="24"/>
              </w:rPr>
            </w:pPr>
            <w:r w:rsidRPr="00030D53">
              <w:rPr>
                <w:rFonts w:ascii="Calibri" w:hAnsi="Calibri" w:cs="Calibri"/>
                <w:noProof/>
                <w:szCs w:val="24"/>
                <w:lang w:eastAsia="en-GB"/>
              </w:rPr>
              <w:drawing>
                <wp:inline distT="0" distB="0" distL="0" distR="0" wp14:anchorId="0267CBAD" wp14:editId="128591E1">
                  <wp:extent cx="3323206" cy="2234241"/>
                  <wp:effectExtent l="0" t="0" r="0" b="0"/>
                  <wp:docPr id="1832026962" name="Picture 8" descr="One risk is very high, 3 are high and 6 are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26962" name="Picture 8" descr="One risk is very high, 3 are high and 6 are medium"/>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29024" cy="2238153"/>
                          </a:xfrm>
                          <a:prstGeom prst="rect">
                            <a:avLst/>
                          </a:prstGeom>
                          <a:noFill/>
                        </pic:spPr>
                      </pic:pic>
                    </a:graphicData>
                  </a:graphic>
                </wp:inline>
              </w:drawing>
            </w:r>
          </w:p>
        </w:tc>
        <w:tc>
          <w:tcPr>
            <w:tcW w:w="3199" w:type="dxa"/>
            <w:tcBorders>
              <w:top w:val="single" w:sz="12" w:space="0" w:color="auto"/>
              <w:left w:val="single" w:sz="12" w:space="0" w:color="auto"/>
              <w:bottom w:val="single" w:sz="12" w:space="0" w:color="auto"/>
              <w:right w:val="single" w:sz="12" w:space="0" w:color="auto"/>
            </w:tcBorders>
            <w:shd w:val="clear" w:color="auto" w:fill="auto"/>
          </w:tcPr>
          <w:p w14:paraId="41FAE082" w14:textId="350D6429" w:rsidR="008D20BE" w:rsidRPr="00030D53" w:rsidRDefault="008D20BE" w:rsidP="008D20BE">
            <w:pPr>
              <w:rPr>
                <w:rFonts w:ascii="Calibri" w:hAnsi="Calibri" w:cs="Calibri"/>
                <w:szCs w:val="24"/>
              </w:rPr>
            </w:pPr>
            <w:r w:rsidRPr="00030D53">
              <w:rPr>
                <w:rFonts w:ascii="Calibri" w:hAnsi="Calibri" w:cs="Calibri"/>
                <w:szCs w:val="24"/>
                <w:u w:val="single"/>
              </w:rPr>
              <w:t>Changes to Corporate Risk Scores</w:t>
            </w:r>
          </w:p>
          <w:p w14:paraId="5083B13F" w14:textId="257DEB84" w:rsidR="008D20BE" w:rsidRPr="00030D53" w:rsidRDefault="008D20BE" w:rsidP="008D20BE">
            <w:pPr>
              <w:rPr>
                <w:rFonts w:ascii="Calibri" w:hAnsi="Calibri" w:cs="Calibri"/>
                <w:szCs w:val="24"/>
              </w:rPr>
            </w:pPr>
            <w:r w:rsidRPr="00030D53">
              <w:rPr>
                <w:rFonts w:ascii="Calibri" w:hAnsi="Calibri" w:cs="Calibri"/>
                <w:szCs w:val="24"/>
              </w:rPr>
              <w:t xml:space="preserve">↑ </w:t>
            </w:r>
            <w:r w:rsidR="00030D53" w:rsidRPr="00030D53">
              <w:rPr>
                <w:rFonts w:ascii="Calibri" w:hAnsi="Calibri" w:cs="Calibri"/>
                <w:b/>
                <w:bCs/>
                <w:szCs w:val="24"/>
              </w:rPr>
              <w:t>1</w:t>
            </w:r>
            <w:r w:rsidRPr="00030D53">
              <w:rPr>
                <w:rFonts w:ascii="Calibri" w:hAnsi="Calibri" w:cs="Calibri"/>
                <w:szCs w:val="24"/>
              </w:rPr>
              <w:t xml:space="preserve"> Gone Up </w:t>
            </w:r>
          </w:p>
          <w:p w14:paraId="67339C72" w14:textId="7105604A" w:rsidR="008D20BE" w:rsidRPr="00030D53" w:rsidRDefault="008D20BE" w:rsidP="008D20BE">
            <w:pPr>
              <w:rPr>
                <w:rFonts w:ascii="Calibri" w:hAnsi="Calibri" w:cs="Calibri"/>
                <w:szCs w:val="24"/>
              </w:rPr>
            </w:pPr>
            <w:r w:rsidRPr="00030D53">
              <w:rPr>
                <w:rFonts w:ascii="Calibri" w:hAnsi="Calibri" w:cs="Calibri"/>
                <w:szCs w:val="24"/>
              </w:rPr>
              <w:t xml:space="preserve">↓ </w:t>
            </w:r>
            <w:r w:rsidR="00CA47FF" w:rsidRPr="00030D53">
              <w:rPr>
                <w:rFonts w:ascii="Calibri" w:hAnsi="Calibri" w:cs="Calibri"/>
                <w:b/>
                <w:szCs w:val="24"/>
              </w:rPr>
              <w:t>0</w:t>
            </w:r>
            <w:r w:rsidRPr="00030D53">
              <w:rPr>
                <w:rFonts w:ascii="Calibri" w:hAnsi="Calibri" w:cs="Calibri"/>
                <w:b/>
                <w:szCs w:val="24"/>
              </w:rPr>
              <w:t xml:space="preserve"> </w:t>
            </w:r>
            <w:r w:rsidRPr="00030D53">
              <w:rPr>
                <w:rFonts w:ascii="Calibri" w:hAnsi="Calibri" w:cs="Calibri"/>
                <w:szCs w:val="24"/>
              </w:rPr>
              <w:t xml:space="preserve">Gone Down </w:t>
            </w:r>
          </w:p>
          <w:p w14:paraId="4205A418" w14:textId="77777777" w:rsidR="008D20BE" w:rsidRPr="00030D53" w:rsidRDefault="008D20BE" w:rsidP="008D20BE">
            <w:pPr>
              <w:rPr>
                <w:rFonts w:ascii="Calibri" w:hAnsi="Calibri" w:cs="Calibri"/>
                <w:szCs w:val="24"/>
              </w:rPr>
            </w:pPr>
            <w:r w:rsidRPr="00030D53">
              <w:rPr>
                <w:rFonts w:ascii="Calibri" w:hAnsi="Calibri" w:cs="Calibri"/>
                <w:szCs w:val="24"/>
                <w:u w:val="single"/>
              </w:rPr>
              <w:t>Change to Corporate Risk Register - proposed</w:t>
            </w:r>
          </w:p>
          <w:p w14:paraId="6D750F06" w14:textId="77777777" w:rsidR="008D20BE" w:rsidRPr="00030D53" w:rsidRDefault="008D20BE" w:rsidP="008D20BE">
            <w:pPr>
              <w:rPr>
                <w:rFonts w:ascii="Calibri" w:hAnsi="Calibri" w:cs="Calibri"/>
                <w:szCs w:val="24"/>
              </w:rPr>
            </w:pPr>
            <w:r w:rsidRPr="00030D53">
              <w:rPr>
                <w:rFonts w:ascii="Calibri" w:hAnsi="Calibri" w:cs="Calibri"/>
                <w:szCs w:val="24"/>
              </w:rPr>
              <w:t>↗</w:t>
            </w:r>
            <w:r w:rsidRPr="00030D53">
              <w:rPr>
                <w:rFonts w:ascii="Calibri" w:hAnsi="Calibri" w:cs="Calibri"/>
                <w:b/>
                <w:szCs w:val="24"/>
              </w:rPr>
              <w:t xml:space="preserve"> 0 </w:t>
            </w:r>
            <w:r w:rsidRPr="00030D53">
              <w:rPr>
                <w:rFonts w:ascii="Calibri" w:hAnsi="Calibri" w:cs="Calibri"/>
                <w:szCs w:val="24"/>
              </w:rPr>
              <w:t xml:space="preserve">New Corporate Risks </w:t>
            </w:r>
          </w:p>
          <w:p w14:paraId="3ECE3F02" w14:textId="0C66FDA2" w:rsidR="008D20BE" w:rsidRPr="004D18D9" w:rsidRDefault="008D20BE" w:rsidP="008D20BE">
            <w:pPr>
              <w:rPr>
                <w:rFonts w:ascii="Calibri" w:hAnsi="Calibri" w:cs="Calibri"/>
                <w:noProof/>
                <w:szCs w:val="24"/>
                <w:lang w:eastAsia="en-GB"/>
              </w:rPr>
            </w:pPr>
            <w:r w:rsidRPr="00030D53">
              <w:rPr>
                <w:rFonts w:ascii="Calibri" w:hAnsi="Calibri" w:cs="Calibri"/>
                <w:szCs w:val="24"/>
              </w:rPr>
              <w:t xml:space="preserve">↘ </w:t>
            </w:r>
            <w:r w:rsidR="00CA47FF" w:rsidRPr="00030D53">
              <w:rPr>
                <w:rFonts w:ascii="Calibri" w:hAnsi="Calibri" w:cs="Calibri"/>
                <w:b/>
                <w:bCs/>
                <w:szCs w:val="24"/>
              </w:rPr>
              <w:t>0</w:t>
            </w:r>
            <w:r w:rsidRPr="00030D53">
              <w:rPr>
                <w:rFonts w:ascii="Calibri" w:hAnsi="Calibri" w:cs="Calibri"/>
                <w:b/>
                <w:szCs w:val="24"/>
              </w:rPr>
              <w:t xml:space="preserve"> </w:t>
            </w:r>
            <w:r w:rsidRPr="00030D53">
              <w:rPr>
                <w:rFonts w:ascii="Calibri" w:hAnsi="Calibri" w:cs="Calibri"/>
                <w:szCs w:val="24"/>
              </w:rPr>
              <w:t>Risk De-Escalated</w:t>
            </w:r>
            <w:r w:rsidRPr="00F77EE9">
              <w:rPr>
                <w:rFonts w:ascii="Calibri" w:hAnsi="Calibri" w:cs="Calibri"/>
                <w:szCs w:val="24"/>
              </w:rPr>
              <w:t xml:space="preserve"> </w:t>
            </w:r>
          </w:p>
        </w:tc>
      </w:tr>
    </w:tbl>
    <w:p w14:paraId="77255B2C" w14:textId="77777777" w:rsidR="008D20BE" w:rsidRDefault="008D20BE" w:rsidP="008D20BE"/>
    <w:p w14:paraId="6F27AD07" w14:textId="77777777" w:rsidR="008D20BE" w:rsidRPr="00CA47FF" w:rsidRDefault="008D20BE" w:rsidP="008D20BE">
      <w:pPr>
        <w:pStyle w:val="Heading2"/>
        <w:spacing w:before="0" w:after="120" w:line="240" w:lineRule="auto"/>
        <w:rPr>
          <w:rFonts w:ascii="Calibri" w:hAnsi="Calibri" w:cs="Calibri"/>
          <w:szCs w:val="24"/>
        </w:rPr>
      </w:pPr>
      <w:r w:rsidRPr="00CA47FF">
        <w:rPr>
          <w:rFonts w:ascii="Calibri" w:hAnsi="Calibri" w:cs="Calibri"/>
          <w:szCs w:val="24"/>
        </w:rPr>
        <w:t>Risk</w:t>
      </w:r>
    </w:p>
    <w:p w14:paraId="6025E418" w14:textId="435D26B0" w:rsidR="008D20BE" w:rsidRPr="00CA47FF" w:rsidRDefault="008D20BE" w:rsidP="00025C49">
      <w:pPr>
        <w:pStyle w:val="ListParagraph"/>
        <w:numPr>
          <w:ilvl w:val="0"/>
          <w:numId w:val="1"/>
        </w:numPr>
        <w:rPr>
          <w:rFonts w:ascii="Calibri" w:hAnsi="Calibri" w:cs="Calibri"/>
          <w:szCs w:val="24"/>
        </w:rPr>
      </w:pPr>
      <w:r w:rsidRPr="00CA47FF">
        <w:rPr>
          <w:rFonts w:ascii="Calibri" w:hAnsi="Calibri" w:cs="Calibri"/>
          <w:szCs w:val="24"/>
        </w:rPr>
        <w:t xml:space="preserve">The </w:t>
      </w:r>
      <w:r w:rsidRPr="00BE4366">
        <w:rPr>
          <w:rFonts w:ascii="Calibri" w:hAnsi="Calibri" w:cs="Calibri"/>
          <w:szCs w:val="24"/>
        </w:rPr>
        <w:t>Corporate Risk Register</w:t>
      </w:r>
      <w:r w:rsidRPr="00CA47FF">
        <w:rPr>
          <w:rFonts w:ascii="Calibri" w:hAnsi="Calibri" w:cs="Calibri"/>
          <w:szCs w:val="24"/>
        </w:rPr>
        <w:t xml:space="preserve"> holds the current corporate risks for NatureScot.  Activity and project risks are managed within the risk management system, which underpins the corporate risk register.  All risks are managed in line with the Risk Management Policy and monitored regularly for compliance and visibility of impact.  </w:t>
      </w:r>
      <w:r w:rsidRPr="00CA47FF">
        <w:rPr>
          <w:rFonts w:ascii="Calibri" w:eastAsia="Times New Roman" w:hAnsi="Calibri" w:cs="Calibri"/>
          <w:szCs w:val="24"/>
        </w:rPr>
        <w:br/>
      </w:r>
    </w:p>
    <w:p w14:paraId="28AC64FB" w14:textId="7CCA5589" w:rsidR="008D20BE" w:rsidRPr="00030D53" w:rsidRDefault="008D20BE" w:rsidP="00025C49">
      <w:pPr>
        <w:pStyle w:val="ListParagraph"/>
        <w:numPr>
          <w:ilvl w:val="0"/>
          <w:numId w:val="1"/>
        </w:numPr>
        <w:rPr>
          <w:rFonts w:ascii="Calibri" w:eastAsia="Times New Roman" w:hAnsi="Calibri" w:cs="Calibri"/>
          <w:szCs w:val="24"/>
        </w:rPr>
      </w:pPr>
      <w:r w:rsidRPr="00CA47FF">
        <w:rPr>
          <w:rFonts w:ascii="Calibri" w:eastAsia="Times New Roman" w:hAnsi="Calibri" w:cs="Calibri"/>
          <w:szCs w:val="24"/>
        </w:rPr>
        <w:t>There are currently 1</w:t>
      </w:r>
      <w:r w:rsidR="00CA47FF" w:rsidRPr="00CA47FF">
        <w:rPr>
          <w:rFonts w:ascii="Calibri" w:eastAsia="Times New Roman" w:hAnsi="Calibri" w:cs="Calibri"/>
          <w:szCs w:val="24"/>
        </w:rPr>
        <w:t>0</w:t>
      </w:r>
      <w:r w:rsidRPr="00CA47FF">
        <w:rPr>
          <w:rFonts w:ascii="Calibri" w:eastAsia="Times New Roman" w:hAnsi="Calibri" w:cs="Calibri"/>
          <w:szCs w:val="24"/>
        </w:rPr>
        <w:t xml:space="preserve"> approved Corporate Risks, 6 medium</w:t>
      </w:r>
      <w:r w:rsidR="00030D53">
        <w:rPr>
          <w:rFonts w:ascii="Calibri" w:eastAsia="Times New Roman" w:hAnsi="Calibri" w:cs="Calibri"/>
          <w:szCs w:val="24"/>
        </w:rPr>
        <w:t>, 3</w:t>
      </w:r>
      <w:r w:rsidRPr="00CA47FF">
        <w:rPr>
          <w:rFonts w:ascii="Calibri" w:eastAsia="Times New Roman" w:hAnsi="Calibri" w:cs="Calibri"/>
          <w:szCs w:val="24"/>
        </w:rPr>
        <w:t xml:space="preserve"> high</w:t>
      </w:r>
      <w:r w:rsidR="00030D53">
        <w:rPr>
          <w:rFonts w:ascii="Calibri" w:eastAsia="Times New Roman" w:hAnsi="Calibri" w:cs="Calibri"/>
          <w:szCs w:val="24"/>
        </w:rPr>
        <w:t xml:space="preserve"> and </w:t>
      </w:r>
      <w:r w:rsidR="00300974">
        <w:rPr>
          <w:rFonts w:ascii="Calibri" w:eastAsia="Times New Roman" w:hAnsi="Calibri" w:cs="Calibri"/>
          <w:szCs w:val="24"/>
        </w:rPr>
        <w:t>1</w:t>
      </w:r>
      <w:r w:rsidR="00030D53">
        <w:rPr>
          <w:rFonts w:ascii="Calibri" w:eastAsia="Times New Roman" w:hAnsi="Calibri" w:cs="Calibri"/>
          <w:szCs w:val="24"/>
        </w:rPr>
        <w:t xml:space="preserve"> very high</w:t>
      </w:r>
      <w:r w:rsidRPr="00CA47FF">
        <w:rPr>
          <w:rFonts w:ascii="Calibri" w:eastAsia="Times New Roman" w:hAnsi="Calibri" w:cs="Calibri"/>
          <w:szCs w:val="24"/>
        </w:rPr>
        <w:t>.  During Q</w:t>
      </w:r>
      <w:r w:rsidR="00030D53">
        <w:rPr>
          <w:rFonts w:ascii="Calibri" w:eastAsia="Times New Roman" w:hAnsi="Calibri" w:cs="Calibri"/>
          <w:szCs w:val="24"/>
        </w:rPr>
        <w:t>2</w:t>
      </w:r>
      <w:r w:rsidRPr="00CA47FF">
        <w:rPr>
          <w:rFonts w:ascii="Calibri" w:eastAsia="Times New Roman" w:hAnsi="Calibri" w:cs="Calibri"/>
          <w:szCs w:val="24"/>
        </w:rPr>
        <w:t xml:space="preserve"> the</w:t>
      </w:r>
      <w:r w:rsidR="00030D53">
        <w:rPr>
          <w:rFonts w:ascii="Calibri" w:eastAsia="Times New Roman" w:hAnsi="Calibri" w:cs="Calibri"/>
          <w:szCs w:val="24"/>
        </w:rPr>
        <w:t xml:space="preserve"> overall score for risk 586 - </w:t>
      </w:r>
      <w:r w:rsidR="00030D53" w:rsidRPr="00030D53">
        <w:rPr>
          <w:rFonts w:ascii="Calibri" w:eastAsia="Times New Roman" w:hAnsi="Calibri" w:cs="Calibri"/>
          <w:szCs w:val="24"/>
        </w:rPr>
        <w:t>Structural Funds – failure of programme delivery and/or funding mechanism</w:t>
      </w:r>
      <w:r w:rsidR="00030D53">
        <w:rPr>
          <w:rFonts w:ascii="Calibri" w:eastAsia="Times New Roman" w:hAnsi="Calibri" w:cs="Calibri"/>
          <w:szCs w:val="24"/>
        </w:rPr>
        <w:t xml:space="preserve"> increased from high to very high</w:t>
      </w:r>
      <w:r w:rsidR="00CD613D">
        <w:rPr>
          <w:rFonts w:ascii="Calibri" w:eastAsia="Times New Roman" w:hAnsi="Calibri" w:cs="Calibri"/>
          <w:szCs w:val="24"/>
        </w:rPr>
        <w:t>;</w:t>
      </w:r>
      <w:r w:rsidR="00030D53">
        <w:rPr>
          <w:rFonts w:ascii="Calibri" w:eastAsia="Times New Roman" w:hAnsi="Calibri" w:cs="Calibri"/>
          <w:szCs w:val="24"/>
        </w:rPr>
        <w:t xml:space="preserve"> and the</w:t>
      </w:r>
      <w:r w:rsidRPr="00030D53">
        <w:rPr>
          <w:rFonts w:ascii="Calibri" w:eastAsia="Times New Roman" w:hAnsi="Calibri" w:cs="Calibri"/>
          <w:szCs w:val="24"/>
        </w:rPr>
        <w:t xml:space="preserve"> likelihood </w:t>
      </w:r>
      <w:r w:rsidR="00030D53">
        <w:rPr>
          <w:rFonts w:ascii="Calibri" w:eastAsia="Times New Roman" w:hAnsi="Calibri" w:cs="Calibri"/>
          <w:szCs w:val="24"/>
        </w:rPr>
        <w:t xml:space="preserve">of </w:t>
      </w:r>
      <w:r w:rsidRPr="00030D53">
        <w:rPr>
          <w:rFonts w:ascii="Calibri" w:eastAsia="Times New Roman" w:hAnsi="Calibri" w:cs="Calibri"/>
          <w:szCs w:val="24"/>
        </w:rPr>
        <w:t xml:space="preserve">risk 21 – Budget management </w:t>
      </w:r>
      <w:r w:rsidR="00CA47FF" w:rsidRPr="00030D53">
        <w:rPr>
          <w:rFonts w:ascii="Calibri" w:eastAsia="Times New Roman" w:hAnsi="Calibri" w:cs="Calibri"/>
          <w:szCs w:val="24"/>
        </w:rPr>
        <w:t>de</w:t>
      </w:r>
      <w:r w:rsidRPr="00030D53">
        <w:rPr>
          <w:rFonts w:ascii="Calibri" w:eastAsia="Times New Roman" w:hAnsi="Calibri" w:cs="Calibri"/>
          <w:szCs w:val="24"/>
        </w:rPr>
        <w:t>creased</w:t>
      </w:r>
      <w:r w:rsidR="00CD613D">
        <w:rPr>
          <w:rFonts w:ascii="Calibri" w:eastAsia="Times New Roman" w:hAnsi="Calibri" w:cs="Calibri"/>
          <w:szCs w:val="24"/>
        </w:rPr>
        <w:t>,</w:t>
      </w:r>
      <w:r w:rsidRPr="00030D53">
        <w:rPr>
          <w:rFonts w:ascii="Calibri" w:eastAsia="Times New Roman" w:hAnsi="Calibri" w:cs="Calibri"/>
          <w:szCs w:val="24"/>
        </w:rPr>
        <w:t xml:space="preserve"> but </w:t>
      </w:r>
      <w:r w:rsidR="00030D53">
        <w:rPr>
          <w:rFonts w:ascii="Calibri" w:eastAsia="Times New Roman" w:hAnsi="Calibri" w:cs="Calibri"/>
          <w:szCs w:val="24"/>
        </w:rPr>
        <w:t>it</w:t>
      </w:r>
      <w:r w:rsidRPr="00030D53">
        <w:rPr>
          <w:rFonts w:ascii="Calibri" w:eastAsia="Times New Roman" w:hAnsi="Calibri" w:cs="Calibri"/>
          <w:szCs w:val="24"/>
        </w:rPr>
        <w:t xml:space="preserve"> hasn’t impacted the overall risk </w:t>
      </w:r>
      <w:r w:rsidR="00030D53">
        <w:rPr>
          <w:rFonts w:ascii="Calibri" w:eastAsia="Times New Roman" w:hAnsi="Calibri" w:cs="Calibri"/>
          <w:szCs w:val="24"/>
        </w:rPr>
        <w:t>score</w:t>
      </w:r>
      <w:r w:rsidRPr="00030D53">
        <w:rPr>
          <w:rFonts w:ascii="Calibri" w:eastAsia="Times New Roman" w:hAnsi="Calibri" w:cs="Calibri"/>
          <w:szCs w:val="24"/>
        </w:rPr>
        <w:t xml:space="preserve">.  </w:t>
      </w:r>
    </w:p>
    <w:p w14:paraId="78AAB91D" w14:textId="77777777" w:rsidR="008D20BE" w:rsidRPr="00CA47FF" w:rsidRDefault="008D20BE" w:rsidP="008D20BE">
      <w:pPr>
        <w:pStyle w:val="ListParagraph"/>
        <w:ind w:left="360"/>
        <w:rPr>
          <w:rFonts w:ascii="Calibri" w:eastAsia="Times New Roman" w:hAnsi="Calibri" w:cs="Calibri"/>
          <w:szCs w:val="24"/>
          <w:highlight w:val="yellow"/>
        </w:rPr>
      </w:pPr>
    </w:p>
    <w:p w14:paraId="488C75C3" w14:textId="1914F86B" w:rsidR="008D20BE" w:rsidRPr="00887D1D" w:rsidRDefault="008D20BE" w:rsidP="00025C49">
      <w:pPr>
        <w:pStyle w:val="ListParagraph"/>
        <w:numPr>
          <w:ilvl w:val="0"/>
          <w:numId w:val="1"/>
        </w:numPr>
        <w:spacing w:after="0"/>
        <w:rPr>
          <w:rFonts w:ascii="Calibri" w:hAnsi="Calibri" w:cs="Calibri"/>
          <w:szCs w:val="24"/>
        </w:rPr>
      </w:pPr>
      <w:r w:rsidRPr="00CA47FF">
        <w:rPr>
          <w:rFonts w:ascii="Calibri" w:eastAsia="Times New Roman" w:hAnsi="Calibri" w:cs="Calibri"/>
          <w:szCs w:val="24"/>
        </w:rPr>
        <w:t>During Q</w:t>
      </w:r>
      <w:r w:rsidR="00030D53">
        <w:rPr>
          <w:rFonts w:ascii="Calibri" w:eastAsia="Times New Roman" w:hAnsi="Calibri" w:cs="Calibri"/>
          <w:szCs w:val="24"/>
        </w:rPr>
        <w:t>2</w:t>
      </w:r>
      <w:r w:rsidRPr="00CA47FF">
        <w:rPr>
          <w:rFonts w:ascii="Calibri" w:eastAsia="Times New Roman" w:hAnsi="Calibri" w:cs="Calibri"/>
          <w:szCs w:val="24"/>
        </w:rPr>
        <w:t xml:space="preserve">, the Corporate Risks have been reviewed to ensure that they still require to be managed at the corporate level. </w:t>
      </w:r>
      <w:r w:rsidR="00D771D0">
        <w:rPr>
          <w:rFonts w:ascii="Calibri" w:eastAsia="Times New Roman" w:hAnsi="Calibri" w:cs="Calibri"/>
          <w:szCs w:val="24"/>
        </w:rPr>
        <w:t>None of the current corporate risks have been required to be archived or de-escalated this quarter.</w:t>
      </w:r>
    </w:p>
    <w:p w14:paraId="715F59B2" w14:textId="77777777" w:rsidR="00887D1D" w:rsidRPr="00306458" w:rsidRDefault="00887D1D" w:rsidP="00887D1D">
      <w:pPr>
        <w:pStyle w:val="ListParagraph"/>
        <w:rPr>
          <w:rFonts w:ascii="Calibri" w:hAnsi="Calibri" w:cs="Calibri"/>
          <w:szCs w:val="24"/>
        </w:rPr>
      </w:pPr>
    </w:p>
    <w:p w14:paraId="548AF17E" w14:textId="72DD04B4" w:rsidR="00887D1D" w:rsidRPr="00306458" w:rsidRDefault="00887D1D" w:rsidP="00887D1D">
      <w:pPr>
        <w:pStyle w:val="ListParagraph"/>
        <w:numPr>
          <w:ilvl w:val="0"/>
          <w:numId w:val="1"/>
        </w:numPr>
        <w:spacing w:after="0"/>
        <w:rPr>
          <w:rFonts w:ascii="Calibri" w:hAnsi="Calibri" w:cs="Calibri"/>
          <w:szCs w:val="24"/>
        </w:rPr>
      </w:pPr>
      <w:r w:rsidRPr="00306458">
        <w:rPr>
          <w:rFonts w:ascii="Calibri" w:hAnsi="Calibri" w:cs="Calibri"/>
          <w:szCs w:val="24"/>
        </w:rPr>
        <w:t>For risk no. 21 Budget Management, the likelihood has been reduced as this risk concerns core budget. The overarching financial risk of de-commitment on structural funds is not included in this risk and is reported in risk 586.</w:t>
      </w:r>
    </w:p>
    <w:p w14:paraId="4F8E86CA" w14:textId="77777777" w:rsidR="008D20BE" w:rsidRPr="00517D22" w:rsidRDefault="008D20BE" w:rsidP="008D20BE">
      <w:pPr>
        <w:spacing w:after="0"/>
        <w:rPr>
          <w:rFonts w:ascii="Calibri" w:hAnsi="Calibri" w:cs="Calibri"/>
          <w:szCs w:val="24"/>
        </w:rPr>
      </w:pPr>
    </w:p>
    <w:p w14:paraId="29D5E221" w14:textId="794055A3" w:rsidR="008D20BE" w:rsidRDefault="008D20BE" w:rsidP="008D20BE">
      <w:pPr>
        <w:rPr>
          <w:rFonts w:ascii="Calibri" w:eastAsia="Times New Roman" w:hAnsi="Calibri" w:cs="Calibri"/>
          <w:b/>
          <w:szCs w:val="24"/>
        </w:rPr>
      </w:pPr>
      <w:r w:rsidRPr="00517D22">
        <w:rPr>
          <w:rFonts w:ascii="Calibri" w:eastAsia="Times New Roman" w:hAnsi="Calibri" w:cs="Calibri"/>
          <w:b/>
          <w:szCs w:val="24"/>
        </w:rPr>
        <w:t>SLT are requested to note the performance of the corporate risks</w:t>
      </w:r>
      <w:r w:rsidR="00CD613D">
        <w:rPr>
          <w:rFonts w:ascii="Calibri" w:eastAsia="Times New Roman" w:hAnsi="Calibri" w:cs="Calibri"/>
          <w:b/>
          <w:szCs w:val="24"/>
        </w:rPr>
        <w:t>.</w:t>
      </w:r>
      <w:r w:rsidR="00701FAD">
        <w:rPr>
          <w:rFonts w:ascii="Calibri" w:eastAsia="Times New Roman" w:hAnsi="Calibri" w:cs="Calibri"/>
          <w:b/>
          <w:szCs w:val="24"/>
        </w:rPr>
        <w:t xml:space="preserve"> </w:t>
      </w:r>
      <w:r w:rsidRPr="00701FAD">
        <w:rPr>
          <w:rFonts w:ascii="Calibri" w:eastAsia="Times New Roman" w:hAnsi="Calibri" w:cs="Calibri"/>
          <w:b/>
          <w:color w:val="FF0000"/>
          <w:szCs w:val="24"/>
        </w:rPr>
        <w:t xml:space="preserve"> </w:t>
      </w:r>
    </w:p>
    <w:p w14:paraId="0D50D14D" w14:textId="77777777" w:rsidR="008D20BE" w:rsidRDefault="008D20BE" w:rsidP="008D20BE">
      <w:pPr>
        <w:rPr>
          <w:rFonts w:ascii="Calibri" w:eastAsia="Times New Roman" w:hAnsi="Calibri" w:cs="Calibri"/>
          <w:b/>
          <w:szCs w:val="24"/>
        </w:rPr>
      </w:pPr>
    </w:p>
    <w:p w14:paraId="34FF7ADB" w14:textId="78F0F13C" w:rsidR="00CA47FF" w:rsidRDefault="00CA47FF">
      <w:pPr>
        <w:rPr>
          <w:rFonts w:ascii="Calibri" w:eastAsiaTheme="majorEastAsia" w:hAnsi="Calibri" w:cs="Calibri"/>
          <w:b/>
          <w:color w:val="5E8CC0"/>
          <w:szCs w:val="26"/>
        </w:rPr>
      </w:pPr>
      <w:r>
        <w:rPr>
          <w:rFonts w:ascii="Calibri" w:hAnsi="Calibri" w:cs="Calibri"/>
          <w:color w:val="5E8CC0"/>
        </w:rPr>
        <w:br w:type="page"/>
      </w:r>
    </w:p>
    <w:p w14:paraId="5AA694A1" w14:textId="742E6EE3" w:rsidR="008D20BE" w:rsidRPr="005D1EE3" w:rsidRDefault="008D20BE" w:rsidP="005D1EE3">
      <w:pPr>
        <w:keepNext/>
        <w:keepLines/>
        <w:spacing w:before="40" w:after="0" w:line="259" w:lineRule="auto"/>
        <w:outlineLvl w:val="1"/>
        <w:rPr>
          <w:rFonts w:ascii="Calibri" w:eastAsiaTheme="majorEastAsia" w:hAnsi="Calibri" w:cs="Calibri"/>
          <w:b/>
          <w:color w:val="007DC3"/>
          <w:sz w:val="28"/>
          <w:szCs w:val="28"/>
        </w:rPr>
      </w:pPr>
      <w:r w:rsidRPr="005D1EE3">
        <w:rPr>
          <w:rFonts w:ascii="Calibri" w:eastAsiaTheme="majorEastAsia" w:hAnsi="Calibri" w:cs="Calibri"/>
          <w:b/>
          <w:color w:val="007DC3"/>
          <w:sz w:val="28"/>
          <w:szCs w:val="28"/>
        </w:rPr>
        <w:lastRenderedPageBreak/>
        <w:t>PEOPLE</w:t>
      </w:r>
      <w:r w:rsidR="00701FAD" w:rsidRPr="005D1EE3">
        <w:rPr>
          <w:rFonts w:ascii="Calibri" w:eastAsiaTheme="majorEastAsia" w:hAnsi="Calibri" w:cs="Calibri"/>
          <w:b/>
          <w:color w:val="007DC3"/>
          <w:sz w:val="28"/>
          <w:szCs w:val="28"/>
        </w:rPr>
        <w:t xml:space="preserve"> </w:t>
      </w:r>
    </w:p>
    <w:tbl>
      <w:tblPr>
        <w:tblStyle w:val="TableGrid"/>
        <w:tblW w:w="10349" w:type="dxa"/>
        <w:tblInd w:w="-431" w:type="dxa"/>
        <w:tblLook w:val="04A0" w:firstRow="1" w:lastRow="0" w:firstColumn="1" w:lastColumn="0" w:noHBand="0" w:noVBand="1"/>
      </w:tblPr>
      <w:tblGrid>
        <w:gridCol w:w="9455"/>
        <w:gridCol w:w="894"/>
      </w:tblGrid>
      <w:tr w:rsidR="00BC58D8" w:rsidRPr="00022898" w14:paraId="7E4E6956" w14:textId="77777777" w:rsidTr="00BC58D8">
        <w:trPr>
          <w:tblHeader/>
        </w:trPr>
        <w:tc>
          <w:tcPr>
            <w:tcW w:w="9498" w:type="dxa"/>
            <w:shd w:val="clear" w:color="auto" w:fill="5E8CC0"/>
          </w:tcPr>
          <w:p w14:paraId="2ECFD850" w14:textId="225D4344" w:rsidR="005D1EE3" w:rsidRPr="00022898" w:rsidRDefault="005D1EE3" w:rsidP="005D1EE3">
            <w:pPr>
              <w:rPr>
                <w:szCs w:val="24"/>
              </w:rPr>
            </w:pPr>
            <w:r w:rsidRPr="00022898">
              <w:rPr>
                <w:rFonts w:ascii="Calibri" w:eastAsia="Times New Roman" w:hAnsi="Calibri" w:cs="Calibri"/>
                <w:b/>
                <w:bCs/>
                <w:szCs w:val="24"/>
                <w:lang w:eastAsia="en-GB"/>
              </w:rPr>
              <w:t>People Metrics </w:t>
            </w:r>
          </w:p>
        </w:tc>
        <w:tc>
          <w:tcPr>
            <w:tcW w:w="851" w:type="dxa"/>
            <w:shd w:val="clear" w:color="auto" w:fill="5E8CC0"/>
          </w:tcPr>
          <w:p w14:paraId="76AA4CBA" w14:textId="6EEA50FB" w:rsidR="005D1EE3" w:rsidRPr="00022898" w:rsidRDefault="005D1EE3" w:rsidP="005D1EE3">
            <w:pPr>
              <w:rPr>
                <w:szCs w:val="24"/>
              </w:rPr>
            </w:pPr>
            <w:r w:rsidRPr="00022898">
              <w:rPr>
                <w:rFonts w:ascii="Calibri" w:eastAsia="Times New Roman" w:hAnsi="Calibri" w:cs="Calibri"/>
                <w:b/>
                <w:bCs/>
                <w:szCs w:val="24"/>
                <w:lang w:eastAsia="en-GB"/>
              </w:rPr>
              <w:t>Status </w:t>
            </w:r>
          </w:p>
        </w:tc>
      </w:tr>
      <w:tr w:rsidR="00BC58D8" w:rsidRPr="00022898" w14:paraId="2D8E8E59" w14:textId="77777777" w:rsidTr="00BC58D8">
        <w:tc>
          <w:tcPr>
            <w:tcW w:w="9498" w:type="dxa"/>
            <w:shd w:val="clear" w:color="auto" w:fill="FFC000"/>
          </w:tcPr>
          <w:p w14:paraId="212C0C7E" w14:textId="5227BC41" w:rsidR="005D1EE3" w:rsidRPr="00022898" w:rsidRDefault="005D1EE3" w:rsidP="005D1EE3">
            <w:pPr>
              <w:textAlignment w:val="baseline"/>
              <w:rPr>
                <w:rFonts w:ascii="Calibri" w:eastAsia="Times New Roman" w:hAnsi="Calibri" w:cs="Calibri"/>
                <w:b/>
                <w:bCs/>
                <w:szCs w:val="24"/>
                <w:lang w:eastAsia="en-GB"/>
              </w:rPr>
            </w:pPr>
            <w:r w:rsidRPr="00022898">
              <w:rPr>
                <w:rFonts w:ascii="Calibri" w:eastAsia="Times New Roman" w:hAnsi="Calibri" w:cs="Calibri"/>
                <w:b/>
                <w:bCs/>
                <w:szCs w:val="24"/>
                <w:lang w:eastAsia="en-GB"/>
              </w:rPr>
              <w:t>Wellbeing  - Accidents are slightly out with our target levels and Near Misses are within target levels</w:t>
            </w:r>
          </w:p>
        </w:tc>
        <w:tc>
          <w:tcPr>
            <w:tcW w:w="851" w:type="dxa"/>
            <w:shd w:val="clear" w:color="auto" w:fill="FFC000"/>
          </w:tcPr>
          <w:p w14:paraId="31E8082E" w14:textId="101946F2" w:rsidR="005D1EE3" w:rsidRPr="00022898" w:rsidRDefault="005D1EE3" w:rsidP="005D1EE3">
            <w:pPr>
              <w:rPr>
                <w:b/>
                <w:bCs/>
                <w:szCs w:val="24"/>
              </w:rPr>
            </w:pPr>
            <w:r w:rsidRPr="00022898">
              <w:rPr>
                <w:b/>
                <w:bCs/>
                <w:szCs w:val="24"/>
              </w:rPr>
              <w:t>Amber</w:t>
            </w:r>
          </w:p>
        </w:tc>
      </w:tr>
      <w:tr w:rsidR="00BC58D8" w:rsidRPr="00022898" w14:paraId="650272DC" w14:textId="77777777" w:rsidTr="00BC58D8">
        <w:tc>
          <w:tcPr>
            <w:tcW w:w="9498" w:type="dxa"/>
          </w:tcPr>
          <w:p w14:paraId="54B61C89" w14:textId="77777777" w:rsidR="005D1EE3" w:rsidRPr="00022898" w:rsidRDefault="005D1EE3" w:rsidP="005D1EE3">
            <w:pPr>
              <w:textAlignment w:val="baseline"/>
              <w:rPr>
                <w:rFonts w:ascii="Calibri" w:eastAsia="Times New Roman" w:hAnsi="Calibri" w:cs="Calibri"/>
                <w:b/>
                <w:bCs/>
                <w:szCs w:val="24"/>
                <w:lang w:eastAsia="en-GB"/>
              </w:rPr>
            </w:pPr>
            <w:r w:rsidRPr="00022898">
              <w:rPr>
                <w:rFonts w:ascii="Calibri" w:eastAsia="Times New Roman" w:hAnsi="Calibri" w:cs="Calibri"/>
                <w:b/>
                <w:bCs/>
                <w:szCs w:val="24"/>
                <w:lang w:eastAsia="en-GB"/>
              </w:rPr>
              <w:t>Key Messages:</w:t>
            </w:r>
          </w:p>
          <w:p w14:paraId="69719D7E" w14:textId="727EC5EF" w:rsidR="005D1EE3" w:rsidRPr="00022898" w:rsidRDefault="005D1EE3" w:rsidP="005D1EE3">
            <w:pPr>
              <w:pStyle w:val="ListParagraph"/>
              <w:numPr>
                <w:ilvl w:val="0"/>
                <w:numId w:val="16"/>
              </w:numPr>
              <w:textAlignment w:val="baseline"/>
              <w:rPr>
                <w:rFonts w:ascii="Calibri" w:eastAsia="Times New Roman" w:hAnsi="Calibri" w:cs="Calibri"/>
                <w:bCs/>
                <w:szCs w:val="24"/>
                <w:lang w:eastAsia="en-GB"/>
              </w:rPr>
            </w:pPr>
            <w:r w:rsidRPr="00022898">
              <w:rPr>
                <w:rFonts w:ascii="Calibri" w:eastAsia="Times New Roman" w:hAnsi="Calibri" w:cs="Calibri"/>
                <w:bCs/>
                <w:szCs w:val="24"/>
                <w:lang w:eastAsia="en-GB"/>
              </w:rPr>
              <w:t xml:space="preserve">Our Health &amp; Safety engagement theme for Q2 was about the safe use of work equipment. </w:t>
            </w:r>
            <w:r w:rsidR="005D3653" w:rsidRPr="002824F2">
              <w:rPr>
                <w:rFonts w:ascii="Calibri" w:eastAsia="Times New Roman" w:hAnsi="Calibri" w:cs="Calibri"/>
                <w:bCs/>
                <w:sz w:val="22"/>
                <w:lang w:eastAsia="en-GB"/>
              </w:rPr>
              <w:t>We were pleased to see the number of safety conversations more than doubled this quarter</w:t>
            </w:r>
            <w:r w:rsidR="005D3653">
              <w:rPr>
                <w:rFonts w:ascii="Calibri" w:eastAsia="Times New Roman" w:hAnsi="Calibri" w:cs="Calibri"/>
                <w:bCs/>
                <w:sz w:val="22"/>
                <w:lang w:eastAsia="en-GB"/>
              </w:rPr>
              <w:t>.</w:t>
            </w:r>
          </w:p>
          <w:p w14:paraId="46B3CFED" w14:textId="77777777" w:rsidR="005D1EE3" w:rsidRPr="00022898" w:rsidRDefault="005D1EE3" w:rsidP="005D1EE3">
            <w:pPr>
              <w:textAlignment w:val="baseline"/>
              <w:rPr>
                <w:rFonts w:ascii="Calibri" w:eastAsia="Times New Roman" w:hAnsi="Calibri" w:cs="Calibri"/>
                <w:b/>
                <w:bCs/>
                <w:szCs w:val="24"/>
                <w:lang w:eastAsia="en-GB"/>
              </w:rPr>
            </w:pPr>
          </w:p>
          <w:p w14:paraId="7B3C992D" w14:textId="77777777" w:rsidR="005D1EE3" w:rsidRPr="00022898" w:rsidRDefault="005D1EE3" w:rsidP="005D1EE3">
            <w:pPr>
              <w:textAlignment w:val="baseline"/>
              <w:rPr>
                <w:rFonts w:ascii="Calibri" w:eastAsia="Times New Roman" w:hAnsi="Calibri" w:cs="Calibri"/>
                <w:b/>
                <w:bCs/>
                <w:szCs w:val="24"/>
                <w:lang w:eastAsia="en-GB"/>
              </w:rPr>
            </w:pPr>
            <w:r w:rsidRPr="00022898">
              <w:rPr>
                <w:rFonts w:ascii="Calibri" w:eastAsia="Times New Roman" w:hAnsi="Calibri" w:cs="Calibri"/>
                <w:b/>
                <w:bCs/>
                <w:szCs w:val="24"/>
                <w:lang w:eastAsia="en-GB"/>
              </w:rPr>
              <w:t>Accidents &amp; Near Misses</w:t>
            </w:r>
          </w:p>
          <w:p w14:paraId="30320698" w14:textId="1D6EBBCC" w:rsidR="005D1EE3" w:rsidRPr="0090357D" w:rsidRDefault="005D1EE3" w:rsidP="005D1EE3">
            <w:pPr>
              <w:pStyle w:val="ListParagraph"/>
              <w:numPr>
                <w:ilvl w:val="0"/>
                <w:numId w:val="17"/>
              </w:numPr>
              <w:textAlignment w:val="baseline"/>
              <w:rPr>
                <w:rFonts w:ascii="Times New Roman" w:eastAsia="Times New Roman" w:hAnsi="Times New Roman" w:cs="Times New Roman"/>
                <w:b/>
                <w:bCs/>
                <w:szCs w:val="24"/>
                <w:lang w:eastAsia="en-GB"/>
              </w:rPr>
            </w:pPr>
            <w:r w:rsidRPr="00022898">
              <w:rPr>
                <w:rFonts w:ascii="Calibri" w:eastAsia="Times New Roman" w:hAnsi="Calibri" w:cs="Calibri"/>
                <w:b/>
                <w:bCs/>
                <w:szCs w:val="24"/>
                <w:lang w:eastAsia="en-GB"/>
              </w:rPr>
              <w:t>Target: to stay within variations around the mean (4.4 for number of accidents &amp; 5.8 for number of near misses) </w:t>
            </w:r>
            <w:r w:rsidR="0090357D">
              <w:rPr>
                <w:rFonts w:ascii="Calibri" w:eastAsia="Times New Roman" w:hAnsi="Calibri" w:cs="Calibri"/>
                <w:b/>
                <w:bCs/>
                <w:szCs w:val="24"/>
                <w:lang w:eastAsia="en-GB"/>
              </w:rPr>
              <w:t xml:space="preserve">- </w:t>
            </w:r>
            <w:r w:rsidRPr="0090357D">
              <w:rPr>
                <w:rFonts w:ascii="Calibri" w:eastAsia="Times New Roman" w:hAnsi="Calibri" w:cs="Calibri"/>
                <w:szCs w:val="24"/>
                <w:lang w:eastAsia="en-GB"/>
              </w:rPr>
              <w:t xml:space="preserve">Q2: Accidents = 6; Near Misses = 5 </w:t>
            </w:r>
          </w:p>
          <w:p w14:paraId="0A33BD3A" w14:textId="77777777" w:rsidR="005D1EE3" w:rsidRPr="00022898" w:rsidRDefault="005D1EE3" w:rsidP="005D1EE3">
            <w:pPr>
              <w:textAlignment w:val="baseline"/>
              <w:rPr>
                <w:rFonts w:ascii="Calibri" w:eastAsia="Times New Roman" w:hAnsi="Calibri" w:cs="Calibri"/>
                <w:szCs w:val="24"/>
                <w:lang w:eastAsia="en-GB"/>
              </w:rPr>
            </w:pPr>
          </w:p>
          <w:p w14:paraId="0BB4701B" w14:textId="77777777" w:rsidR="0090357D" w:rsidRPr="0090357D" w:rsidRDefault="0090357D" w:rsidP="0090357D">
            <w:pPr>
              <w:textAlignment w:val="baseline"/>
              <w:rPr>
                <w:rFonts w:ascii="Calibri" w:eastAsia="Times New Roman" w:hAnsi="Calibri" w:cs="Calibri"/>
                <w:szCs w:val="24"/>
                <w:lang w:eastAsia="en-GB"/>
              </w:rPr>
            </w:pPr>
            <w:r w:rsidRPr="0090357D">
              <w:rPr>
                <w:rFonts w:ascii="Calibri" w:eastAsia="Times New Roman" w:hAnsi="Calibri" w:cs="Calibri"/>
                <w:szCs w:val="24"/>
                <w:lang w:eastAsia="en-GB"/>
              </w:rPr>
              <w:t xml:space="preserve">There has been no significant change from Q2 2022/23, however there have been a number of tick bites which has contributed to the slight increase in accidents this quarter.  </w:t>
            </w:r>
          </w:p>
          <w:p w14:paraId="50F7CAAB" w14:textId="0BDF2C55" w:rsidR="005D1EE3" w:rsidRPr="00022898" w:rsidRDefault="005D1EE3" w:rsidP="00022898">
            <w:pPr>
              <w:textAlignment w:val="baseline"/>
              <w:rPr>
                <w:rFonts w:ascii="Calibri" w:eastAsia="Times New Roman" w:hAnsi="Calibri" w:cs="Calibri"/>
                <w:szCs w:val="24"/>
                <w:lang w:eastAsia="en-GB"/>
              </w:rPr>
            </w:pPr>
          </w:p>
        </w:tc>
        <w:tc>
          <w:tcPr>
            <w:tcW w:w="851" w:type="dxa"/>
          </w:tcPr>
          <w:p w14:paraId="4D26CFE5" w14:textId="7286F792" w:rsidR="005D1EE3" w:rsidRPr="00022898" w:rsidRDefault="005D1EE3" w:rsidP="005D1EE3">
            <w:pPr>
              <w:rPr>
                <w:szCs w:val="24"/>
              </w:rPr>
            </w:pPr>
          </w:p>
        </w:tc>
      </w:tr>
      <w:tr w:rsidR="00544B54" w:rsidRPr="00022898" w14:paraId="1E266A21" w14:textId="77777777" w:rsidTr="00BC58D8">
        <w:tc>
          <w:tcPr>
            <w:tcW w:w="9498" w:type="dxa"/>
            <w:shd w:val="clear" w:color="auto" w:fill="00B050"/>
          </w:tcPr>
          <w:p w14:paraId="29FD46A1" w14:textId="375398A1" w:rsidR="005D1EE3" w:rsidRPr="00022898" w:rsidRDefault="005D1EE3" w:rsidP="005D1EE3">
            <w:pPr>
              <w:textAlignment w:val="baseline"/>
              <w:rPr>
                <w:rFonts w:ascii="Calibri" w:eastAsia="Times New Roman" w:hAnsi="Calibri" w:cs="Calibri"/>
                <w:b/>
                <w:bCs/>
                <w:szCs w:val="24"/>
                <w:lang w:eastAsia="en-GB"/>
              </w:rPr>
            </w:pPr>
            <w:r w:rsidRPr="00022898">
              <w:rPr>
                <w:rFonts w:ascii="Calibri" w:eastAsia="Times New Roman" w:hAnsi="Calibri" w:cs="Calibri"/>
                <w:b/>
                <w:bCs/>
                <w:szCs w:val="24"/>
                <w:lang w:eastAsia="en-GB"/>
              </w:rPr>
              <w:t>Change Management, Communication, Leadership &amp; Empowerment Pulse Survey</w:t>
            </w:r>
          </w:p>
        </w:tc>
        <w:tc>
          <w:tcPr>
            <w:tcW w:w="851" w:type="dxa"/>
            <w:shd w:val="clear" w:color="auto" w:fill="00B050"/>
          </w:tcPr>
          <w:p w14:paraId="748B46C2" w14:textId="593B5801" w:rsidR="005D1EE3" w:rsidRPr="00022898" w:rsidRDefault="005D1EE3" w:rsidP="005D1EE3">
            <w:pPr>
              <w:rPr>
                <w:b/>
                <w:bCs/>
                <w:szCs w:val="24"/>
              </w:rPr>
            </w:pPr>
            <w:r w:rsidRPr="00022898">
              <w:rPr>
                <w:b/>
                <w:bCs/>
                <w:szCs w:val="24"/>
              </w:rPr>
              <w:t>Green</w:t>
            </w:r>
          </w:p>
        </w:tc>
      </w:tr>
      <w:tr w:rsidR="00544B54" w:rsidRPr="00022898" w14:paraId="34B235C0" w14:textId="77777777" w:rsidTr="00BC58D8">
        <w:tc>
          <w:tcPr>
            <w:tcW w:w="9498" w:type="dxa"/>
          </w:tcPr>
          <w:p w14:paraId="2A2A6779" w14:textId="77777777" w:rsidR="00022898" w:rsidRPr="00022898" w:rsidRDefault="00022898" w:rsidP="00022898">
            <w:pPr>
              <w:textAlignment w:val="baseline"/>
              <w:rPr>
                <w:rFonts w:ascii="Calibri" w:eastAsia="Times New Roman" w:hAnsi="Calibri" w:cs="Calibri"/>
                <w:b/>
                <w:szCs w:val="24"/>
                <w:lang w:eastAsia="en-GB"/>
              </w:rPr>
            </w:pPr>
            <w:r w:rsidRPr="00022898">
              <w:rPr>
                <w:rFonts w:ascii="Calibri" w:eastAsia="Times New Roman" w:hAnsi="Calibri" w:cs="Calibri"/>
                <w:b/>
                <w:szCs w:val="24"/>
                <w:lang w:eastAsia="en-GB"/>
              </w:rPr>
              <w:t xml:space="preserve">Key Messages: </w:t>
            </w:r>
          </w:p>
          <w:p w14:paraId="37D04454" w14:textId="77777777" w:rsidR="00022898" w:rsidRPr="00022898" w:rsidRDefault="00022898" w:rsidP="00022898">
            <w:pPr>
              <w:pStyle w:val="ListParagraph"/>
              <w:numPr>
                <w:ilvl w:val="0"/>
                <w:numId w:val="16"/>
              </w:numPr>
              <w:textAlignment w:val="baseline"/>
              <w:rPr>
                <w:rFonts w:ascii="Calibri" w:eastAsia="Times New Roman" w:hAnsi="Calibri" w:cs="Calibri"/>
                <w:szCs w:val="24"/>
                <w:lang w:eastAsia="en-GB"/>
              </w:rPr>
            </w:pPr>
            <w:r w:rsidRPr="00022898">
              <w:rPr>
                <w:rFonts w:ascii="Calibri" w:eastAsia="Times New Roman" w:hAnsi="Calibri" w:cs="Calibri"/>
                <w:szCs w:val="24"/>
                <w:lang w:eastAsia="en-GB"/>
              </w:rPr>
              <w:t>The response rate was 48%, a slight decrease from May 2023 (52%; ↓4%).</w:t>
            </w:r>
          </w:p>
          <w:p w14:paraId="4BDA2D45" w14:textId="77777777" w:rsidR="00022898" w:rsidRPr="00022898" w:rsidRDefault="00022898" w:rsidP="00022898">
            <w:pPr>
              <w:pStyle w:val="ListParagraph"/>
              <w:numPr>
                <w:ilvl w:val="0"/>
                <w:numId w:val="16"/>
              </w:numPr>
              <w:textAlignment w:val="baseline"/>
              <w:rPr>
                <w:rFonts w:ascii="Calibri" w:eastAsia="Times New Roman" w:hAnsi="Calibri" w:cs="Calibri"/>
                <w:szCs w:val="24"/>
                <w:lang w:eastAsia="en-GB"/>
              </w:rPr>
            </w:pPr>
            <w:r w:rsidRPr="00022898">
              <w:rPr>
                <w:rFonts w:ascii="Calibri" w:eastAsia="Times New Roman" w:hAnsi="Calibri" w:cs="Calibri"/>
                <w:szCs w:val="24"/>
                <w:lang w:eastAsia="en-GB"/>
              </w:rPr>
              <w:t>The ‘Employee Net Promoter Score’ where colleagues would proactively recommend NatureScot as an employer was -4, an increase from July 2022 (-7; ↑3).  The Engagement Index has also improved, with a score of 6.75, compared to July 2022 (6.5; ↑0.25).</w:t>
            </w:r>
          </w:p>
          <w:p w14:paraId="0C079958" w14:textId="77777777" w:rsidR="00022898" w:rsidRPr="00022898" w:rsidRDefault="00022898" w:rsidP="00022898">
            <w:pPr>
              <w:pStyle w:val="ListParagraph"/>
              <w:numPr>
                <w:ilvl w:val="0"/>
                <w:numId w:val="16"/>
              </w:numPr>
              <w:textAlignment w:val="baseline"/>
              <w:rPr>
                <w:rFonts w:ascii="Calibri" w:eastAsia="Times New Roman" w:hAnsi="Calibri" w:cs="Calibri"/>
                <w:szCs w:val="24"/>
                <w:lang w:eastAsia="en-GB"/>
              </w:rPr>
            </w:pPr>
            <w:r w:rsidRPr="00022898">
              <w:rPr>
                <w:rFonts w:ascii="Calibri" w:eastAsia="Times New Roman" w:hAnsi="Calibri" w:cs="Calibri"/>
                <w:szCs w:val="24"/>
                <w:lang w:eastAsia="en-GB"/>
              </w:rPr>
              <w:t>76% said they were 'proud to work for NatureScot', a slight increase from July 2022 (72%; ↑4%).</w:t>
            </w:r>
          </w:p>
          <w:p w14:paraId="1A928051" w14:textId="77777777" w:rsidR="00022898" w:rsidRPr="00022898" w:rsidRDefault="00022898" w:rsidP="00022898">
            <w:pPr>
              <w:pStyle w:val="ListParagraph"/>
              <w:numPr>
                <w:ilvl w:val="0"/>
                <w:numId w:val="16"/>
              </w:numPr>
              <w:textAlignment w:val="baseline"/>
              <w:rPr>
                <w:rFonts w:ascii="Calibri" w:eastAsia="Times New Roman" w:hAnsi="Calibri" w:cs="Calibri"/>
                <w:b/>
                <w:szCs w:val="24"/>
                <w:lang w:eastAsia="en-GB"/>
              </w:rPr>
            </w:pPr>
            <w:r w:rsidRPr="00022898">
              <w:rPr>
                <w:rFonts w:ascii="Calibri" w:eastAsia="Times New Roman" w:hAnsi="Calibri" w:cs="Calibri"/>
                <w:bCs/>
                <w:szCs w:val="24"/>
                <w:lang w:eastAsia="en-GB"/>
              </w:rPr>
              <w:t xml:space="preserve">63% of the pulse survey respondents (in the survey from Q2) said that they rarely think about looking for a job with another company, this is an increase of 12% </w:t>
            </w:r>
            <w:r w:rsidRPr="00022898">
              <w:rPr>
                <w:rFonts w:ascii="Calibri" w:eastAsia="Times New Roman" w:hAnsi="Calibri" w:cs="Calibri"/>
                <w:szCs w:val="24"/>
                <w:lang w:eastAsia="en-GB"/>
              </w:rPr>
              <w:t>from July 2022 (51%; ↑12%).</w:t>
            </w:r>
          </w:p>
          <w:p w14:paraId="01515183" w14:textId="77777777" w:rsidR="00022898" w:rsidRPr="00022898" w:rsidRDefault="00022898" w:rsidP="00022898">
            <w:pPr>
              <w:pStyle w:val="ListParagraph"/>
              <w:numPr>
                <w:ilvl w:val="0"/>
                <w:numId w:val="16"/>
              </w:numPr>
              <w:textAlignment w:val="baseline"/>
              <w:rPr>
                <w:rFonts w:ascii="Calibri" w:eastAsia="Times New Roman" w:hAnsi="Calibri" w:cs="Calibri"/>
                <w:szCs w:val="24"/>
                <w:lang w:eastAsia="en-GB"/>
              </w:rPr>
            </w:pPr>
            <w:r w:rsidRPr="00022898">
              <w:rPr>
                <w:rFonts w:ascii="Calibri" w:eastAsia="Times New Roman" w:hAnsi="Calibri" w:cs="Calibri"/>
                <w:szCs w:val="24"/>
                <w:lang w:eastAsia="en-GB"/>
              </w:rPr>
              <w:t>Responses to all change management questions showed a positive increase. Comments made around change projects which have been managed well, included the move to cloud based Objective Nexus and the organisational design work. Comments about change projects not managed well, included changes to area offices.</w:t>
            </w:r>
          </w:p>
          <w:p w14:paraId="27B0B6E7" w14:textId="77777777" w:rsidR="00022898" w:rsidRPr="00022898" w:rsidRDefault="00022898" w:rsidP="00022898">
            <w:pPr>
              <w:pStyle w:val="ListParagraph"/>
              <w:numPr>
                <w:ilvl w:val="0"/>
                <w:numId w:val="16"/>
              </w:numPr>
              <w:textAlignment w:val="baseline"/>
              <w:rPr>
                <w:rFonts w:ascii="Calibri" w:eastAsia="Times New Roman" w:hAnsi="Calibri" w:cs="Calibri"/>
                <w:szCs w:val="24"/>
                <w:lang w:eastAsia="en-GB"/>
              </w:rPr>
            </w:pPr>
            <w:r w:rsidRPr="00022898">
              <w:rPr>
                <w:rFonts w:ascii="Calibri" w:eastAsia="Times New Roman" w:hAnsi="Calibri" w:cs="Calibri"/>
                <w:szCs w:val="24"/>
                <w:lang w:eastAsia="en-GB"/>
              </w:rPr>
              <w:t>There was an increase of 6% in people who felt well-informed about what we are doing outside the organisation, although there was a decrease of 10% who felt well-informed about what is happening inside NatureScot (from May 2022 responses).</w:t>
            </w:r>
          </w:p>
          <w:p w14:paraId="41658B1E" w14:textId="77777777" w:rsidR="00022898" w:rsidRPr="00022898" w:rsidRDefault="00022898" w:rsidP="00022898">
            <w:pPr>
              <w:pStyle w:val="ListParagraph"/>
              <w:numPr>
                <w:ilvl w:val="0"/>
                <w:numId w:val="16"/>
              </w:numPr>
              <w:textAlignment w:val="baseline"/>
              <w:rPr>
                <w:rFonts w:ascii="Calibri" w:eastAsia="Times New Roman" w:hAnsi="Calibri" w:cs="Calibri"/>
                <w:szCs w:val="24"/>
                <w:lang w:eastAsia="en-GB"/>
              </w:rPr>
            </w:pPr>
            <w:r w:rsidRPr="00022898">
              <w:rPr>
                <w:rFonts w:ascii="Calibri" w:eastAsia="Times New Roman" w:hAnsi="Calibri" w:cs="Calibri"/>
                <w:szCs w:val="24"/>
                <w:lang w:eastAsia="en-GB"/>
              </w:rPr>
              <w:t>65% thought that senior leaders are visible and approachable, an increase from Sep 2022 (55%; ↑10%). Confidence in senior leaders has also increased to 63% from Sep 2022 (57%; ↑6%)).</w:t>
            </w:r>
          </w:p>
          <w:p w14:paraId="08D216E4" w14:textId="77777777" w:rsidR="005D1EE3" w:rsidRDefault="00022898" w:rsidP="00C1211D">
            <w:pPr>
              <w:pStyle w:val="ListParagraph"/>
              <w:numPr>
                <w:ilvl w:val="0"/>
                <w:numId w:val="16"/>
              </w:numPr>
              <w:textAlignment w:val="baseline"/>
              <w:rPr>
                <w:rFonts w:ascii="Calibri" w:eastAsia="Times New Roman" w:hAnsi="Calibri" w:cs="Calibri"/>
                <w:szCs w:val="24"/>
                <w:lang w:eastAsia="en-GB"/>
              </w:rPr>
            </w:pPr>
            <w:r w:rsidRPr="00022898">
              <w:rPr>
                <w:rFonts w:ascii="Calibri" w:eastAsia="Times New Roman" w:hAnsi="Calibri" w:cs="Calibri"/>
                <w:szCs w:val="24"/>
                <w:lang w:eastAsia="en-GB"/>
              </w:rPr>
              <w:t>52% thought decision-making was ‘open and transparent’, an increase from Sep 2022 (45%; ↑7%). Although, there was a reduction to 50% in those who thought that ‘they have an opportunity to affect decisions that impact on their role’, from September 2022 (58%; ↓8%).</w:t>
            </w:r>
          </w:p>
          <w:p w14:paraId="4F5C7DD3" w14:textId="77777777" w:rsidR="00C1211D" w:rsidRDefault="00C1211D" w:rsidP="00C1211D">
            <w:pPr>
              <w:textAlignment w:val="baseline"/>
              <w:rPr>
                <w:rFonts w:ascii="Calibri" w:eastAsia="Times New Roman" w:hAnsi="Calibri" w:cs="Calibri"/>
                <w:szCs w:val="24"/>
                <w:lang w:eastAsia="en-GB"/>
              </w:rPr>
            </w:pPr>
          </w:p>
          <w:p w14:paraId="713D5694" w14:textId="77777777" w:rsidR="00C1211D" w:rsidRDefault="00C1211D" w:rsidP="00C1211D">
            <w:pPr>
              <w:textAlignment w:val="baseline"/>
              <w:rPr>
                <w:rFonts w:ascii="Calibri" w:eastAsia="Times New Roman" w:hAnsi="Calibri" w:cs="Calibri"/>
                <w:szCs w:val="24"/>
                <w:lang w:eastAsia="en-GB"/>
              </w:rPr>
            </w:pPr>
          </w:p>
          <w:p w14:paraId="0873BBB1" w14:textId="77777777" w:rsidR="00C1211D" w:rsidRDefault="00C1211D" w:rsidP="00C1211D">
            <w:pPr>
              <w:textAlignment w:val="baseline"/>
              <w:rPr>
                <w:rFonts w:ascii="Calibri" w:eastAsia="Times New Roman" w:hAnsi="Calibri" w:cs="Calibri"/>
                <w:szCs w:val="24"/>
                <w:lang w:eastAsia="en-GB"/>
              </w:rPr>
            </w:pPr>
          </w:p>
          <w:p w14:paraId="666AEDD4" w14:textId="77777777" w:rsidR="00C1211D" w:rsidRDefault="00C1211D" w:rsidP="00C1211D">
            <w:pPr>
              <w:textAlignment w:val="baseline"/>
              <w:rPr>
                <w:rFonts w:ascii="Calibri" w:eastAsia="Times New Roman" w:hAnsi="Calibri" w:cs="Calibri"/>
                <w:szCs w:val="24"/>
                <w:lang w:eastAsia="en-GB"/>
              </w:rPr>
            </w:pPr>
          </w:p>
          <w:p w14:paraId="4D477EBB" w14:textId="77777777" w:rsidR="00C1211D" w:rsidRDefault="00C1211D" w:rsidP="00C1211D">
            <w:pPr>
              <w:textAlignment w:val="baseline"/>
              <w:rPr>
                <w:rFonts w:ascii="Calibri" w:eastAsia="Times New Roman" w:hAnsi="Calibri" w:cs="Calibri"/>
                <w:szCs w:val="24"/>
                <w:lang w:eastAsia="en-GB"/>
              </w:rPr>
            </w:pPr>
          </w:p>
          <w:p w14:paraId="42C22BF6" w14:textId="2F32DCA5" w:rsidR="00C1211D" w:rsidRPr="00C1211D" w:rsidRDefault="00C1211D" w:rsidP="00C1211D">
            <w:pPr>
              <w:textAlignment w:val="baseline"/>
              <w:rPr>
                <w:rFonts w:ascii="Calibri" w:eastAsia="Times New Roman" w:hAnsi="Calibri" w:cs="Calibri"/>
                <w:szCs w:val="24"/>
                <w:lang w:eastAsia="en-GB"/>
              </w:rPr>
            </w:pPr>
          </w:p>
        </w:tc>
        <w:tc>
          <w:tcPr>
            <w:tcW w:w="851" w:type="dxa"/>
          </w:tcPr>
          <w:p w14:paraId="2E1D4A25" w14:textId="3ED4889C" w:rsidR="005D1EE3" w:rsidRPr="00022898" w:rsidRDefault="005D1EE3" w:rsidP="005D1EE3">
            <w:pPr>
              <w:rPr>
                <w:szCs w:val="24"/>
              </w:rPr>
            </w:pPr>
          </w:p>
        </w:tc>
      </w:tr>
      <w:tr w:rsidR="00022898" w:rsidRPr="00022898" w14:paraId="41EF908F" w14:textId="77777777" w:rsidTr="00BC58D8">
        <w:tc>
          <w:tcPr>
            <w:tcW w:w="9498" w:type="dxa"/>
            <w:shd w:val="clear" w:color="auto" w:fill="00B050"/>
          </w:tcPr>
          <w:p w14:paraId="33C4C517" w14:textId="3E97AE33" w:rsidR="005D1EE3" w:rsidRPr="00022898" w:rsidRDefault="00022898" w:rsidP="00022898">
            <w:pPr>
              <w:textAlignment w:val="baseline"/>
              <w:rPr>
                <w:rFonts w:ascii="Calibri" w:eastAsia="Times New Roman" w:hAnsi="Calibri" w:cs="Calibri"/>
                <w:b/>
                <w:bCs/>
                <w:szCs w:val="24"/>
                <w:lang w:eastAsia="en-GB"/>
              </w:rPr>
            </w:pPr>
            <w:r w:rsidRPr="00022898">
              <w:rPr>
                <w:rFonts w:ascii="Calibri" w:eastAsia="Times New Roman" w:hAnsi="Calibri" w:cs="Calibri"/>
                <w:b/>
                <w:bCs/>
                <w:szCs w:val="24"/>
                <w:lang w:eastAsia="en-GB"/>
              </w:rPr>
              <w:lastRenderedPageBreak/>
              <w:t>Capacity </w:t>
            </w:r>
          </w:p>
        </w:tc>
        <w:tc>
          <w:tcPr>
            <w:tcW w:w="851" w:type="dxa"/>
            <w:shd w:val="clear" w:color="auto" w:fill="00B050"/>
          </w:tcPr>
          <w:p w14:paraId="1EC9E1FE" w14:textId="1741D6A3" w:rsidR="005D1EE3" w:rsidRPr="00022898" w:rsidRDefault="00022898" w:rsidP="005D1EE3">
            <w:pPr>
              <w:rPr>
                <w:b/>
                <w:bCs/>
                <w:szCs w:val="24"/>
              </w:rPr>
            </w:pPr>
            <w:r w:rsidRPr="00022898">
              <w:rPr>
                <w:b/>
                <w:bCs/>
                <w:szCs w:val="24"/>
              </w:rPr>
              <w:t>Green</w:t>
            </w:r>
          </w:p>
        </w:tc>
      </w:tr>
      <w:tr w:rsidR="00022898" w:rsidRPr="00022898" w14:paraId="1296DA23" w14:textId="77777777" w:rsidTr="00BC58D8">
        <w:tc>
          <w:tcPr>
            <w:tcW w:w="9498" w:type="dxa"/>
          </w:tcPr>
          <w:p w14:paraId="320BB248" w14:textId="77777777" w:rsidR="00022898" w:rsidRPr="00C1211D" w:rsidRDefault="00022898" w:rsidP="00C1211D">
            <w:pPr>
              <w:textAlignment w:val="baseline"/>
              <w:rPr>
                <w:rFonts w:ascii="Calibri" w:eastAsia="Times New Roman" w:hAnsi="Calibri" w:cs="Calibri"/>
                <w:b/>
                <w:bCs/>
                <w:szCs w:val="24"/>
                <w:lang w:eastAsia="en-GB"/>
              </w:rPr>
            </w:pPr>
          </w:p>
          <w:p w14:paraId="05C338B8" w14:textId="77777777" w:rsidR="00022898" w:rsidRPr="00022898" w:rsidRDefault="00022898" w:rsidP="00022898">
            <w:pPr>
              <w:textAlignment w:val="baseline"/>
              <w:rPr>
                <w:rFonts w:ascii="Times New Roman" w:eastAsia="Times New Roman" w:hAnsi="Times New Roman" w:cs="Times New Roman"/>
                <w:b/>
                <w:bCs/>
                <w:szCs w:val="24"/>
                <w:lang w:eastAsia="en-GB"/>
              </w:rPr>
            </w:pPr>
            <w:r w:rsidRPr="00022898">
              <w:rPr>
                <w:rFonts w:ascii="Calibri" w:eastAsia="Times New Roman" w:hAnsi="Calibri" w:cs="Calibri"/>
                <w:b/>
                <w:bCs/>
                <w:szCs w:val="24"/>
                <w:lang w:eastAsia="en-GB"/>
              </w:rPr>
              <w:t>Sickness – Target: less than 2 days per person per quarter</w:t>
            </w:r>
          </w:p>
          <w:p w14:paraId="62E59423" w14:textId="0785C2F8" w:rsidR="00022898" w:rsidRPr="007C3147" w:rsidRDefault="007C3147" w:rsidP="007C3147">
            <w:pPr>
              <w:pStyle w:val="ListParagraph"/>
              <w:numPr>
                <w:ilvl w:val="0"/>
                <w:numId w:val="28"/>
              </w:numPr>
              <w:textAlignment w:val="baseline"/>
              <w:rPr>
                <w:rFonts w:ascii="Calibri" w:eastAsia="Times New Roman" w:hAnsi="Calibri" w:cs="Calibri"/>
                <w:szCs w:val="24"/>
                <w:lang w:eastAsia="en-GB"/>
              </w:rPr>
            </w:pPr>
            <w:r w:rsidRPr="007C3147">
              <w:rPr>
                <w:rFonts w:ascii="Calibri" w:eastAsia="Times New Roman" w:hAnsi="Calibri" w:cs="Calibri"/>
                <w:szCs w:val="24"/>
                <w:lang w:eastAsia="en-GB"/>
              </w:rPr>
              <w:t>Q2: 1.60 days per person sickness (1.29 days in Q1; ↑0.31 days).  Although the number of days lost to sickness has increased, the rolling annual average is 6.4 days, which compares favourably with the annual UK average days lost to sick absence is 7.8 days</w:t>
            </w:r>
            <w:r w:rsidRPr="007C3147">
              <w:rPr>
                <w:szCs w:val="24"/>
                <w:vertAlign w:val="superscript"/>
              </w:rPr>
              <w:footnoteReference w:id="1"/>
            </w:r>
            <w:r w:rsidRPr="007C3147">
              <w:rPr>
                <w:rFonts w:ascii="Calibri" w:eastAsia="Times New Roman" w:hAnsi="Calibri" w:cs="Calibri"/>
                <w:szCs w:val="24"/>
                <w:lang w:eastAsia="en-GB"/>
              </w:rPr>
              <w:t>.</w:t>
            </w:r>
          </w:p>
          <w:p w14:paraId="1C70FFFF" w14:textId="5BC9173F" w:rsidR="00022898" w:rsidRPr="00022898" w:rsidRDefault="00022898" w:rsidP="007C3147">
            <w:pPr>
              <w:pStyle w:val="ListParagraph"/>
              <w:numPr>
                <w:ilvl w:val="0"/>
                <w:numId w:val="28"/>
              </w:numPr>
              <w:textAlignment w:val="baseline"/>
              <w:rPr>
                <w:rFonts w:ascii="Times New Roman" w:eastAsia="Times New Roman" w:hAnsi="Times New Roman" w:cs="Times New Roman"/>
                <w:b/>
                <w:bCs/>
                <w:szCs w:val="24"/>
                <w:lang w:eastAsia="en-GB"/>
              </w:rPr>
            </w:pPr>
            <w:r w:rsidRPr="00022898">
              <w:rPr>
                <w:rFonts w:ascii="Calibri" w:eastAsia="Times New Roman" w:hAnsi="Calibri" w:cs="Calibri"/>
                <w:szCs w:val="24"/>
                <w:lang w:eastAsia="en-GB"/>
              </w:rPr>
              <w:t xml:space="preserve">Short-term absences continue to be the bulk of working time lost in Q2; </w:t>
            </w:r>
            <w:r w:rsidR="00CD613D">
              <w:rPr>
                <w:rFonts w:ascii="Calibri" w:eastAsia="Times New Roman" w:hAnsi="Calibri" w:cs="Calibri"/>
                <w:szCs w:val="24"/>
                <w:lang w:eastAsia="en-GB"/>
              </w:rPr>
              <w:t xml:space="preserve">only </w:t>
            </w:r>
            <w:r w:rsidRPr="00022898">
              <w:rPr>
                <w:rFonts w:ascii="Calibri" w:eastAsia="Times New Roman" w:hAnsi="Calibri" w:cs="Calibri"/>
                <w:szCs w:val="24"/>
                <w:lang w:eastAsia="en-GB"/>
              </w:rPr>
              <w:t>2.5% of 237 sick absence occurrences in Q2 were long term.</w:t>
            </w:r>
          </w:p>
          <w:p w14:paraId="3619A816" w14:textId="1DF33E28" w:rsidR="00022898" w:rsidRPr="007C3147" w:rsidRDefault="00022898" w:rsidP="007C3147">
            <w:pPr>
              <w:pStyle w:val="ListParagraph"/>
              <w:numPr>
                <w:ilvl w:val="0"/>
                <w:numId w:val="28"/>
              </w:numPr>
              <w:textAlignment w:val="baseline"/>
              <w:rPr>
                <w:rFonts w:ascii="Times New Roman" w:eastAsia="Times New Roman" w:hAnsi="Times New Roman" w:cs="Times New Roman"/>
                <w:b/>
                <w:bCs/>
                <w:szCs w:val="24"/>
                <w:lang w:eastAsia="en-GB"/>
              </w:rPr>
            </w:pPr>
            <w:r w:rsidRPr="00022898">
              <w:rPr>
                <w:rFonts w:ascii="Calibri" w:eastAsia="Times New Roman" w:hAnsi="Calibri" w:cs="Calibri"/>
                <w:szCs w:val="24"/>
                <w:lang w:eastAsia="en-GB"/>
              </w:rPr>
              <w:t xml:space="preserve">The top reason for short-term sickness reason in Q2 was coronavirus, with 199 days lost. </w:t>
            </w:r>
          </w:p>
          <w:p w14:paraId="17A43E14" w14:textId="64EF4410" w:rsidR="007C3147" w:rsidRDefault="007C3147" w:rsidP="007C3147">
            <w:pPr>
              <w:pStyle w:val="ListParagraph"/>
              <w:textAlignment w:val="baseline"/>
              <w:rPr>
                <w:rFonts w:ascii="Times New Roman" w:eastAsia="Times New Roman" w:hAnsi="Times New Roman" w:cs="Times New Roman"/>
                <w:b/>
                <w:bCs/>
                <w:szCs w:val="24"/>
                <w:lang w:eastAsia="en-GB"/>
              </w:rPr>
            </w:pPr>
          </w:p>
          <w:p w14:paraId="765DEC7C" w14:textId="77777777" w:rsidR="007C3147" w:rsidRPr="006B15AA" w:rsidRDefault="007C3147" w:rsidP="007C3147">
            <w:pPr>
              <w:textAlignment w:val="baseline"/>
              <w:rPr>
                <w:rFonts w:ascii="Calibri" w:eastAsia="Times New Roman" w:hAnsi="Calibri" w:cs="Calibri"/>
                <w:b/>
                <w:bCs/>
                <w:sz w:val="22"/>
                <w:lang w:eastAsia="en-GB"/>
              </w:rPr>
            </w:pPr>
            <w:r w:rsidRPr="006B15AA">
              <w:rPr>
                <w:rFonts w:ascii="Calibri" w:eastAsia="Times New Roman" w:hAnsi="Calibri" w:cs="Calibri"/>
                <w:b/>
                <w:bCs/>
                <w:sz w:val="22"/>
                <w:lang w:eastAsia="en-GB"/>
              </w:rPr>
              <w:t>Annual Leave</w:t>
            </w:r>
          </w:p>
          <w:p w14:paraId="4A12FB38" w14:textId="295FE10C" w:rsidR="007C3147" w:rsidRPr="007C3147" w:rsidRDefault="007C3147" w:rsidP="007C3147">
            <w:pPr>
              <w:pStyle w:val="ListParagraph"/>
              <w:numPr>
                <w:ilvl w:val="0"/>
                <w:numId w:val="28"/>
              </w:numPr>
              <w:textAlignment w:val="baseline"/>
              <w:rPr>
                <w:rFonts w:ascii="Times New Roman" w:eastAsia="Times New Roman" w:hAnsi="Times New Roman" w:cs="Times New Roman"/>
                <w:b/>
                <w:bCs/>
                <w:sz w:val="22"/>
                <w:lang w:eastAsia="en-GB"/>
              </w:rPr>
            </w:pPr>
            <w:r w:rsidRPr="006B15AA">
              <w:rPr>
                <w:rFonts w:ascii="Calibri" w:eastAsia="Times New Roman" w:hAnsi="Calibri" w:cs="Calibri"/>
                <w:sz w:val="22"/>
                <w:lang w:eastAsia="en-GB"/>
              </w:rPr>
              <w:t xml:space="preserve">Q2: 57% of holiday leave booked or taken; this is </w:t>
            </w:r>
            <w:r>
              <w:rPr>
                <w:rFonts w:ascii="Calibri" w:eastAsia="Times New Roman" w:hAnsi="Calibri" w:cs="Calibri"/>
                <w:sz w:val="22"/>
                <w:lang w:eastAsia="en-GB"/>
              </w:rPr>
              <w:t xml:space="preserve">better than </w:t>
            </w:r>
            <w:r w:rsidRPr="006B15AA">
              <w:rPr>
                <w:rFonts w:ascii="Calibri" w:eastAsia="Times New Roman" w:hAnsi="Calibri" w:cs="Calibri"/>
                <w:sz w:val="22"/>
                <w:lang w:eastAsia="en-GB"/>
              </w:rPr>
              <w:t>target for Q2 in terms of accrued leave booked or taken i.e., 50%. </w:t>
            </w:r>
            <w:r w:rsidRPr="006B15AA">
              <w:rPr>
                <w:rFonts w:ascii="Calibri" w:eastAsia="Times New Roman" w:hAnsi="Calibri" w:cs="Calibri"/>
                <w:b/>
                <w:bCs/>
                <w:sz w:val="22"/>
                <w:lang w:eastAsia="en-GB"/>
              </w:rPr>
              <w:t> </w:t>
            </w:r>
          </w:p>
          <w:p w14:paraId="1E899C23" w14:textId="5E87E1EE" w:rsidR="005D1EE3" w:rsidRPr="00022898" w:rsidRDefault="005D1EE3" w:rsidP="007C3147">
            <w:pPr>
              <w:pStyle w:val="ListParagraph"/>
              <w:textAlignment w:val="baseline"/>
              <w:rPr>
                <w:rFonts w:ascii="Times New Roman" w:eastAsia="Times New Roman" w:hAnsi="Times New Roman" w:cs="Times New Roman"/>
                <w:b/>
                <w:bCs/>
                <w:szCs w:val="24"/>
                <w:lang w:eastAsia="en-GB"/>
              </w:rPr>
            </w:pPr>
          </w:p>
        </w:tc>
        <w:tc>
          <w:tcPr>
            <w:tcW w:w="851" w:type="dxa"/>
          </w:tcPr>
          <w:p w14:paraId="2037AA8E" w14:textId="7A89AA26" w:rsidR="005D1EE3" w:rsidRPr="00022898" w:rsidRDefault="005D1EE3" w:rsidP="005D1EE3">
            <w:pPr>
              <w:rPr>
                <w:szCs w:val="24"/>
              </w:rPr>
            </w:pPr>
          </w:p>
        </w:tc>
      </w:tr>
      <w:tr w:rsidR="00022898" w:rsidRPr="00022898" w14:paraId="0AACFB97" w14:textId="77777777" w:rsidTr="00BC58D8">
        <w:tc>
          <w:tcPr>
            <w:tcW w:w="9498" w:type="dxa"/>
            <w:shd w:val="clear" w:color="auto" w:fill="00B050"/>
          </w:tcPr>
          <w:p w14:paraId="3B8745B7" w14:textId="08E01AFE" w:rsidR="007C3147" w:rsidRDefault="00022898" w:rsidP="007C3147">
            <w:pPr>
              <w:textAlignment w:val="baseline"/>
              <w:rPr>
                <w:rFonts w:ascii="Calibri" w:eastAsia="Times New Roman" w:hAnsi="Calibri" w:cs="Calibri"/>
                <w:b/>
                <w:bCs/>
                <w:sz w:val="22"/>
                <w:lang w:eastAsia="en-GB"/>
              </w:rPr>
            </w:pPr>
            <w:r w:rsidRPr="00022898">
              <w:rPr>
                <w:rFonts w:ascii="Calibri" w:eastAsia="Times New Roman" w:hAnsi="Calibri" w:cs="Calibri"/>
                <w:b/>
                <w:bCs/>
                <w:szCs w:val="24"/>
                <w:lang w:eastAsia="en-GB"/>
              </w:rPr>
              <w:t>Development </w:t>
            </w:r>
            <w:r w:rsidR="007C3147">
              <w:rPr>
                <w:rFonts w:ascii="Calibri" w:eastAsia="Times New Roman" w:hAnsi="Calibri" w:cs="Calibri"/>
                <w:b/>
                <w:bCs/>
                <w:szCs w:val="24"/>
                <w:lang w:eastAsia="en-GB"/>
              </w:rPr>
              <w:t xml:space="preserve">- </w:t>
            </w:r>
            <w:r w:rsidR="007C3147" w:rsidRPr="00136AF2">
              <w:rPr>
                <w:rFonts w:ascii="Calibri" w:eastAsia="Times New Roman" w:hAnsi="Calibri" w:cs="Calibri"/>
                <w:b/>
                <w:bCs/>
                <w:sz w:val="22"/>
                <w:lang w:eastAsia="en-GB"/>
              </w:rPr>
              <w:t>Key areas of information casework are health &amp; wellbeing; short- and long-term absences; performance; reasonable adjustments and redeployment</w:t>
            </w:r>
          </w:p>
          <w:p w14:paraId="403B2E4E" w14:textId="4D6F3C68" w:rsidR="005D1EE3" w:rsidRPr="00022898" w:rsidRDefault="005D1EE3" w:rsidP="00022898">
            <w:pPr>
              <w:textAlignment w:val="baseline"/>
              <w:rPr>
                <w:rFonts w:ascii="Calibri" w:eastAsia="Times New Roman" w:hAnsi="Calibri" w:cs="Calibri"/>
                <w:b/>
                <w:bCs/>
                <w:szCs w:val="24"/>
                <w:lang w:eastAsia="en-GB"/>
              </w:rPr>
            </w:pPr>
          </w:p>
        </w:tc>
        <w:tc>
          <w:tcPr>
            <w:tcW w:w="851" w:type="dxa"/>
            <w:shd w:val="clear" w:color="auto" w:fill="00B050"/>
          </w:tcPr>
          <w:p w14:paraId="396C4C04" w14:textId="778D41C7" w:rsidR="005D1EE3" w:rsidRPr="00022898" w:rsidRDefault="00022898" w:rsidP="005D1EE3">
            <w:pPr>
              <w:rPr>
                <w:b/>
                <w:bCs/>
                <w:szCs w:val="24"/>
              </w:rPr>
            </w:pPr>
            <w:r w:rsidRPr="00022898">
              <w:rPr>
                <w:b/>
                <w:bCs/>
                <w:szCs w:val="24"/>
              </w:rPr>
              <w:t>Green</w:t>
            </w:r>
          </w:p>
        </w:tc>
      </w:tr>
      <w:tr w:rsidR="00022898" w:rsidRPr="00022898" w14:paraId="168F69AF" w14:textId="77777777" w:rsidTr="00BC58D8">
        <w:tc>
          <w:tcPr>
            <w:tcW w:w="9498" w:type="dxa"/>
          </w:tcPr>
          <w:p w14:paraId="1AAAA838" w14:textId="77777777" w:rsidR="00022898" w:rsidRPr="00022898" w:rsidRDefault="00022898" w:rsidP="00022898">
            <w:pPr>
              <w:pStyle w:val="ListParagraph"/>
              <w:textAlignment w:val="baseline"/>
              <w:rPr>
                <w:rFonts w:ascii="Calibri" w:eastAsia="Times New Roman" w:hAnsi="Calibri" w:cs="Calibri"/>
                <w:b/>
                <w:bCs/>
                <w:sz w:val="8"/>
                <w:szCs w:val="8"/>
                <w:lang w:eastAsia="en-GB"/>
              </w:rPr>
            </w:pPr>
          </w:p>
          <w:p w14:paraId="20041C00" w14:textId="77777777" w:rsidR="00022898" w:rsidRPr="00022898" w:rsidRDefault="00022898" w:rsidP="00022898">
            <w:pPr>
              <w:textAlignment w:val="baseline"/>
              <w:rPr>
                <w:rFonts w:ascii="Times New Roman" w:eastAsia="Times New Roman" w:hAnsi="Times New Roman" w:cs="Times New Roman"/>
                <w:b/>
                <w:bCs/>
                <w:szCs w:val="24"/>
                <w:lang w:eastAsia="en-GB"/>
              </w:rPr>
            </w:pPr>
            <w:r w:rsidRPr="00022898">
              <w:rPr>
                <w:rFonts w:ascii="Calibri" w:eastAsia="Times New Roman" w:hAnsi="Calibri" w:cs="Calibri"/>
                <w:b/>
                <w:bCs/>
                <w:szCs w:val="24"/>
                <w:lang w:eastAsia="en-GB"/>
              </w:rPr>
              <w:t xml:space="preserve">Formal Casework – Target &lt;=50% of informal casework  </w:t>
            </w:r>
          </w:p>
          <w:p w14:paraId="58B2F38E" w14:textId="77777777" w:rsidR="00022898" w:rsidRPr="00022898" w:rsidRDefault="00022898" w:rsidP="00022898">
            <w:pPr>
              <w:pStyle w:val="ListParagraph"/>
              <w:numPr>
                <w:ilvl w:val="0"/>
                <w:numId w:val="19"/>
              </w:numPr>
              <w:textAlignment w:val="baseline"/>
              <w:rPr>
                <w:rFonts w:ascii="Times New Roman" w:eastAsia="Times New Roman" w:hAnsi="Times New Roman" w:cs="Times New Roman"/>
                <w:bCs/>
                <w:szCs w:val="24"/>
                <w:lang w:eastAsia="en-GB"/>
              </w:rPr>
            </w:pPr>
            <w:r w:rsidRPr="00022898">
              <w:rPr>
                <w:rFonts w:ascii="Calibri" w:eastAsia="Times New Roman" w:hAnsi="Calibri" w:cs="Calibri"/>
                <w:bCs/>
                <w:szCs w:val="24"/>
                <w:lang w:eastAsia="en-GB"/>
              </w:rPr>
              <w:t>Q2: 13.8% (4 cases), with one case in each of the following categories: dignity at work, grievance, discipline hearing and employment tribunal </w:t>
            </w:r>
          </w:p>
          <w:p w14:paraId="4A871A22" w14:textId="77777777" w:rsidR="00BE4366" w:rsidRDefault="00BE4366" w:rsidP="00022898">
            <w:pPr>
              <w:textAlignment w:val="baseline"/>
              <w:rPr>
                <w:rFonts w:ascii="Calibri" w:eastAsia="Times New Roman" w:hAnsi="Calibri" w:cs="Calibri"/>
                <w:bCs/>
                <w:szCs w:val="24"/>
                <w:lang w:eastAsia="en-GB"/>
              </w:rPr>
            </w:pPr>
          </w:p>
          <w:p w14:paraId="05D97E04" w14:textId="18FFF05D" w:rsidR="00BE4366" w:rsidRPr="00022898" w:rsidRDefault="00BE4366" w:rsidP="00022898">
            <w:pPr>
              <w:textAlignment w:val="baseline"/>
              <w:rPr>
                <w:rFonts w:ascii="Calibri" w:eastAsia="Times New Roman" w:hAnsi="Calibri" w:cs="Calibri"/>
                <w:b/>
                <w:bCs/>
                <w:szCs w:val="24"/>
                <w:lang w:eastAsia="en-GB"/>
              </w:rPr>
            </w:pPr>
          </w:p>
        </w:tc>
        <w:tc>
          <w:tcPr>
            <w:tcW w:w="851" w:type="dxa"/>
          </w:tcPr>
          <w:p w14:paraId="03C4236B" w14:textId="0E518013" w:rsidR="00022898" w:rsidRPr="00022898" w:rsidRDefault="00022898" w:rsidP="00022898">
            <w:pPr>
              <w:rPr>
                <w:szCs w:val="24"/>
              </w:rPr>
            </w:pPr>
          </w:p>
        </w:tc>
      </w:tr>
      <w:tr w:rsidR="00022898" w:rsidRPr="00022898" w14:paraId="1DB5BEDF" w14:textId="77777777" w:rsidTr="00BC58D8">
        <w:tc>
          <w:tcPr>
            <w:tcW w:w="9498" w:type="dxa"/>
          </w:tcPr>
          <w:p w14:paraId="606838CB" w14:textId="77777777" w:rsidR="00022898" w:rsidRPr="00022898" w:rsidRDefault="00022898" w:rsidP="00022898">
            <w:pPr>
              <w:textAlignment w:val="baseline"/>
              <w:rPr>
                <w:rFonts w:ascii="Calibri" w:eastAsia="Times New Roman" w:hAnsi="Calibri" w:cs="Calibri"/>
                <w:b/>
                <w:bCs/>
                <w:szCs w:val="24"/>
                <w:lang w:eastAsia="en-GB"/>
              </w:rPr>
            </w:pPr>
            <w:r w:rsidRPr="00022898">
              <w:rPr>
                <w:rFonts w:ascii="Calibri" w:eastAsia="Times New Roman" w:hAnsi="Calibri" w:cs="Calibri"/>
                <w:b/>
                <w:bCs/>
                <w:szCs w:val="24"/>
                <w:lang w:eastAsia="en-GB"/>
              </w:rPr>
              <w:t>Informal Casework  </w:t>
            </w:r>
          </w:p>
          <w:p w14:paraId="19579E0A" w14:textId="1C69A3AF" w:rsidR="00022898" w:rsidRPr="00022898" w:rsidRDefault="00022898" w:rsidP="00022898">
            <w:pPr>
              <w:pStyle w:val="ListParagraph"/>
              <w:numPr>
                <w:ilvl w:val="0"/>
                <w:numId w:val="19"/>
              </w:numPr>
              <w:textAlignment w:val="baseline"/>
              <w:rPr>
                <w:rFonts w:ascii="Calibri" w:eastAsia="Times New Roman" w:hAnsi="Calibri" w:cs="Calibri"/>
                <w:bCs/>
                <w:szCs w:val="24"/>
                <w:lang w:eastAsia="en-GB"/>
              </w:rPr>
            </w:pPr>
            <w:r w:rsidRPr="00022898">
              <w:rPr>
                <w:rFonts w:ascii="Calibri" w:eastAsia="Times New Roman" w:hAnsi="Calibri" w:cs="Calibri"/>
                <w:bCs/>
                <w:szCs w:val="24"/>
                <w:lang w:eastAsia="en-GB"/>
              </w:rPr>
              <w:t xml:space="preserve">Q2: 29 cases. The key categories are health &amp; wellbeing; short- and long-term absences; performance; reasonable adjustments and </w:t>
            </w:r>
            <w:r w:rsidR="00CD613D" w:rsidRPr="00022898">
              <w:rPr>
                <w:rFonts w:ascii="Calibri" w:eastAsia="Times New Roman" w:hAnsi="Calibri" w:cs="Calibri"/>
                <w:bCs/>
                <w:szCs w:val="24"/>
                <w:lang w:eastAsia="en-GB"/>
              </w:rPr>
              <w:t>redeployment.</w:t>
            </w:r>
          </w:p>
          <w:p w14:paraId="35B4C219" w14:textId="0B7A71DE" w:rsidR="00A4300C" w:rsidRDefault="00022898" w:rsidP="00022898">
            <w:pPr>
              <w:pStyle w:val="ListParagraph"/>
              <w:numPr>
                <w:ilvl w:val="0"/>
                <w:numId w:val="19"/>
              </w:numPr>
              <w:textAlignment w:val="baseline"/>
              <w:rPr>
                <w:rFonts w:ascii="Calibri" w:eastAsia="Times New Roman" w:hAnsi="Calibri" w:cs="Calibri"/>
                <w:bCs/>
                <w:szCs w:val="24"/>
                <w:lang w:eastAsia="en-GB"/>
              </w:rPr>
            </w:pPr>
            <w:r w:rsidRPr="00022898">
              <w:rPr>
                <w:rFonts w:ascii="Calibri" w:eastAsia="Times New Roman" w:hAnsi="Calibri" w:cs="Calibri"/>
                <w:bCs/>
                <w:szCs w:val="24"/>
                <w:lang w:eastAsia="en-GB"/>
              </w:rPr>
              <w:t>The introduction of the Employee Passport, which allows colleagues to document reasonable adjustments and carry these with them from team to team and role to role will aid greater awareness around reasonable adjustments and facilitate clarity around individual needs.</w:t>
            </w:r>
          </w:p>
          <w:p w14:paraId="02ACBE71" w14:textId="77777777" w:rsidR="00022898" w:rsidRDefault="00022898" w:rsidP="00022898">
            <w:pPr>
              <w:pStyle w:val="ListParagraph"/>
              <w:numPr>
                <w:ilvl w:val="0"/>
                <w:numId w:val="19"/>
              </w:numPr>
              <w:textAlignment w:val="baseline"/>
              <w:rPr>
                <w:rFonts w:ascii="Calibri" w:eastAsia="Times New Roman" w:hAnsi="Calibri" w:cs="Calibri"/>
                <w:bCs/>
                <w:szCs w:val="24"/>
                <w:lang w:eastAsia="en-GB"/>
              </w:rPr>
            </w:pPr>
            <w:r w:rsidRPr="00A4300C">
              <w:rPr>
                <w:rFonts w:ascii="Calibri" w:eastAsia="Times New Roman" w:hAnsi="Calibri" w:cs="Calibri"/>
                <w:bCs/>
                <w:szCs w:val="24"/>
                <w:lang w:eastAsia="en-GB"/>
              </w:rPr>
              <w:t>The introduction of Read and Write Gold software, which will be open to all, should greatly improve how reasonable adjustments are facilitated.</w:t>
            </w:r>
          </w:p>
          <w:p w14:paraId="365B90F5" w14:textId="77777777" w:rsidR="00C1211D" w:rsidRDefault="00C1211D" w:rsidP="00C1211D">
            <w:pPr>
              <w:textAlignment w:val="baseline"/>
              <w:rPr>
                <w:rFonts w:ascii="Calibri" w:eastAsia="Times New Roman" w:hAnsi="Calibri" w:cs="Calibri"/>
                <w:bCs/>
                <w:szCs w:val="24"/>
                <w:lang w:eastAsia="en-GB"/>
              </w:rPr>
            </w:pPr>
          </w:p>
          <w:p w14:paraId="2EFC2FCF" w14:textId="1FCA7E4A" w:rsidR="00C1211D" w:rsidRPr="00C1211D" w:rsidRDefault="00C1211D" w:rsidP="00C1211D">
            <w:pPr>
              <w:textAlignment w:val="baseline"/>
              <w:rPr>
                <w:rFonts w:ascii="Calibri" w:eastAsia="Times New Roman" w:hAnsi="Calibri" w:cs="Calibri"/>
                <w:bCs/>
                <w:szCs w:val="24"/>
                <w:lang w:eastAsia="en-GB"/>
              </w:rPr>
            </w:pPr>
          </w:p>
        </w:tc>
        <w:tc>
          <w:tcPr>
            <w:tcW w:w="851" w:type="dxa"/>
          </w:tcPr>
          <w:p w14:paraId="1BC2DD6F" w14:textId="67AB0D93" w:rsidR="00022898" w:rsidRPr="00022898" w:rsidRDefault="00022898" w:rsidP="00022898">
            <w:pPr>
              <w:rPr>
                <w:szCs w:val="24"/>
              </w:rPr>
            </w:pPr>
          </w:p>
        </w:tc>
      </w:tr>
      <w:tr w:rsidR="00022898" w:rsidRPr="00022898" w14:paraId="3AD4EE9F" w14:textId="77777777" w:rsidTr="00BC58D8">
        <w:tc>
          <w:tcPr>
            <w:tcW w:w="9498" w:type="dxa"/>
            <w:shd w:val="clear" w:color="auto" w:fill="FFC000"/>
          </w:tcPr>
          <w:p w14:paraId="5E941253" w14:textId="7EAF9034" w:rsidR="00022898" w:rsidRPr="00022898" w:rsidRDefault="00022898" w:rsidP="00022898">
            <w:pPr>
              <w:textAlignment w:val="baseline"/>
              <w:rPr>
                <w:rFonts w:ascii="Calibri" w:eastAsia="Times New Roman" w:hAnsi="Calibri" w:cs="Calibri"/>
                <w:b/>
                <w:bCs/>
                <w:szCs w:val="24"/>
                <w:lang w:eastAsia="en-GB"/>
              </w:rPr>
            </w:pPr>
            <w:r w:rsidRPr="00022898">
              <w:rPr>
                <w:rFonts w:ascii="Calibri" w:eastAsia="Times New Roman" w:hAnsi="Calibri" w:cs="Calibri"/>
                <w:b/>
                <w:bCs/>
                <w:szCs w:val="24"/>
                <w:lang w:eastAsia="en-GB"/>
              </w:rPr>
              <w:t xml:space="preserve">Workforce profile </w:t>
            </w:r>
          </w:p>
        </w:tc>
        <w:tc>
          <w:tcPr>
            <w:tcW w:w="851" w:type="dxa"/>
            <w:shd w:val="clear" w:color="auto" w:fill="FFC000"/>
          </w:tcPr>
          <w:p w14:paraId="718FF5C8" w14:textId="086D9BC1" w:rsidR="00022898" w:rsidRPr="00022898" w:rsidRDefault="00022898" w:rsidP="00022898">
            <w:pPr>
              <w:rPr>
                <w:b/>
                <w:bCs/>
                <w:szCs w:val="24"/>
              </w:rPr>
            </w:pPr>
            <w:r w:rsidRPr="00022898">
              <w:rPr>
                <w:b/>
                <w:bCs/>
                <w:szCs w:val="24"/>
              </w:rPr>
              <w:t xml:space="preserve">Amber </w:t>
            </w:r>
          </w:p>
        </w:tc>
      </w:tr>
      <w:tr w:rsidR="00022898" w:rsidRPr="00022898" w14:paraId="725C7387" w14:textId="77777777" w:rsidTr="00BC58D8">
        <w:tc>
          <w:tcPr>
            <w:tcW w:w="9498" w:type="dxa"/>
            <w:shd w:val="clear" w:color="auto" w:fill="auto"/>
          </w:tcPr>
          <w:p w14:paraId="59F8818E" w14:textId="77777777" w:rsidR="00022898" w:rsidRPr="00022898" w:rsidRDefault="00022898" w:rsidP="00022898">
            <w:pPr>
              <w:textAlignment w:val="baseline"/>
              <w:rPr>
                <w:rFonts w:ascii="Calibri" w:eastAsia="Times New Roman" w:hAnsi="Calibri" w:cs="Calibri"/>
                <w:b/>
                <w:bCs/>
                <w:szCs w:val="24"/>
                <w:lang w:eastAsia="en-GB"/>
              </w:rPr>
            </w:pPr>
          </w:p>
          <w:p w14:paraId="2D8F06FD" w14:textId="77777777" w:rsidR="00022898" w:rsidRPr="00022898" w:rsidRDefault="00022898" w:rsidP="00022898">
            <w:pPr>
              <w:textAlignment w:val="baseline"/>
              <w:rPr>
                <w:rFonts w:ascii="Times New Roman" w:eastAsia="Times New Roman" w:hAnsi="Times New Roman" w:cs="Times New Roman"/>
                <w:b/>
                <w:bCs/>
                <w:szCs w:val="24"/>
                <w:lang w:eastAsia="en-GB"/>
              </w:rPr>
            </w:pPr>
            <w:r w:rsidRPr="00022898">
              <w:rPr>
                <w:rFonts w:ascii="Calibri" w:eastAsia="Times New Roman" w:hAnsi="Calibri" w:cs="Calibri"/>
                <w:b/>
                <w:bCs/>
                <w:szCs w:val="24"/>
                <w:lang w:eastAsia="en-GB"/>
              </w:rPr>
              <w:t>Turnover – target: increase maintain in the range of 8-10% </w:t>
            </w:r>
          </w:p>
          <w:p w14:paraId="630BD679" w14:textId="77777777" w:rsidR="00022898" w:rsidRPr="00022898" w:rsidRDefault="00022898" w:rsidP="00022898">
            <w:pPr>
              <w:pStyle w:val="ListParagraph"/>
              <w:numPr>
                <w:ilvl w:val="0"/>
                <w:numId w:val="20"/>
              </w:numPr>
              <w:textAlignment w:val="baseline"/>
              <w:rPr>
                <w:rFonts w:ascii="Times New Roman" w:eastAsia="Times New Roman" w:hAnsi="Times New Roman" w:cs="Times New Roman"/>
                <w:bCs/>
                <w:szCs w:val="24"/>
                <w:lang w:eastAsia="en-GB"/>
              </w:rPr>
            </w:pPr>
            <w:r w:rsidRPr="00022898">
              <w:rPr>
                <w:rFonts w:ascii="Calibri" w:eastAsia="Times New Roman" w:hAnsi="Calibri" w:cs="Calibri"/>
                <w:bCs/>
                <w:szCs w:val="24"/>
                <w:lang w:eastAsia="en-GB"/>
              </w:rPr>
              <w:t xml:space="preserve">Q2: average turnover is 11% (over last 12 months), with 22 leavers in Q2. The percentage stays the same due to an increase in average headcount. </w:t>
            </w:r>
          </w:p>
          <w:p w14:paraId="582FD37F" w14:textId="77777777" w:rsidR="00022898" w:rsidRPr="00022898" w:rsidRDefault="00022898" w:rsidP="00022898">
            <w:pPr>
              <w:pStyle w:val="ListParagraph"/>
              <w:numPr>
                <w:ilvl w:val="0"/>
                <w:numId w:val="20"/>
              </w:numPr>
              <w:textAlignment w:val="baseline"/>
              <w:rPr>
                <w:rFonts w:ascii="Times New Roman" w:eastAsia="Times New Roman" w:hAnsi="Times New Roman" w:cs="Times New Roman"/>
                <w:bCs/>
                <w:szCs w:val="24"/>
                <w:lang w:eastAsia="en-GB"/>
              </w:rPr>
            </w:pPr>
            <w:r w:rsidRPr="00022898">
              <w:rPr>
                <w:rFonts w:ascii="Calibri" w:eastAsia="Times New Roman" w:hAnsi="Calibri" w:cs="Calibri"/>
                <w:bCs/>
                <w:szCs w:val="24"/>
                <w:lang w:eastAsia="en-GB"/>
              </w:rPr>
              <w:t xml:space="preserve">38% left for personal reasons, 30% were colleagues leaving for alternative employment and 11% of these were retirements/early retirements. </w:t>
            </w:r>
          </w:p>
          <w:p w14:paraId="3DD18C6C" w14:textId="744BD55E" w:rsidR="00022898" w:rsidRPr="00300974" w:rsidRDefault="00022898" w:rsidP="00022898">
            <w:pPr>
              <w:pStyle w:val="ListParagraph"/>
              <w:numPr>
                <w:ilvl w:val="0"/>
                <w:numId w:val="20"/>
              </w:numPr>
              <w:textAlignment w:val="baseline"/>
              <w:rPr>
                <w:rFonts w:ascii="Times New Roman" w:eastAsia="Times New Roman" w:hAnsi="Times New Roman" w:cs="Times New Roman"/>
                <w:bCs/>
                <w:szCs w:val="24"/>
                <w:lang w:eastAsia="en-GB"/>
              </w:rPr>
            </w:pPr>
            <w:r w:rsidRPr="00022898">
              <w:rPr>
                <w:rFonts w:ascii="Calibri" w:eastAsia="Times New Roman" w:hAnsi="Calibri" w:cs="Calibri"/>
                <w:bCs/>
                <w:szCs w:val="24"/>
                <w:lang w:eastAsia="en-GB"/>
              </w:rPr>
              <w:t>The graph below shows that there has been a gradual, but steady increase in the turnover rate since the lockdown restrictions were lifted and the recruitment market became more competitive</w:t>
            </w:r>
            <w:r w:rsidR="00300974">
              <w:rPr>
                <w:rFonts w:ascii="Calibri" w:eastAsia="Times New Roman" w:hAnsi="Calibri" w:cs="Calibri"/>
                <w:bCs/>
                <w:szCs w:val="24"/>
                <w:lang w:eastAsia="en-GB"/>
              </w:rPr>
              <w:t>.</w:t>
            </w:r>
          </w:p>
          <w:p w14:paraId="3139DB46" w14:textId="77777777" w:rsidR="00300974" w:rsidRPr="00300974" w:rsidRDefault="00300974" w:rsidP="00300974">
            <w:pPr>
              <w:pStyle w:val="ListParagraph"/>
              <w:textAlignment w:val="baseline"/>
              <w:rPr>
                <w:rFonts w:ascii="Times New Roman" w:eastAsia="Times New Roman" w:hAnsi="Times New Roman" w:cs="Times New Roman"/>
                <w:bCs/>
                <w:szCs w:val="24"/>
                <w:lang w:eastAsia="en-GB"/>
              </w:rPr>
            </w:pPr>
          </w:p>
          <w:p w14:paraId="52732C14" w14:textId="48604352" w:rsidR="00300974" w:rsidRPr="00300974" w:rsidRDefault="00300974" w:rsidP="00300974">
            <w:pPr>
              <w:jc w:val="center"/>
              <w:textAlignment w:val="baseline"/>
              <w:rPr>
                <w:rFonts w:ascii="Times New Roman" w:eastAsia="Times New Roman" w:hAnsi="Times New Roman" w:cs="Times New Roman"/>
                <w:bCs/>
                <w:szCs w:val="24"/>
                <w:lang w:eastAsia="en-GB"/>
              </w:rPr>
            </w:pPr>
            <w:r>
              <w:rPr>
                <w:rFonts w:ascii="Times New Roman" w:eastAsia="Times New Roman" w:hAnsi="Times New Roman" w:cs="Times New Roman"/>
                <w:bCs/>
                <w:noProof/>
                <w:szCs w:val="24"/>
                <w:lang w:eastAsia="en-GB"/>
              </w:rPr>
              <w:lastRenderedPageBreak/>
              <w:drawing>
                <wp:inline distT="0" distB="0" distL="0" distR="0" wp14:anchorId="6ECE87C7" wp14:editId="6E5C6F96">
                  <wp:extent cx="4146698" cy="2268494"/>
                  <wp:effectExtent l="0" t="0" r="6350" b="0"/>
                  <wp:docPr id="1705111134" name="Picture 5" descr="Employee Turnover %&#10;&#10;XmR chart showing the % rates of employee turnover per quarter, as an average over the preceeding 12 months (otherwise known as a rolling annual turnover).  So Q1 21/22 represents the turnover for that quarter + the previous three quarters, divided by four.  Data shows seasonality in general, but with a recent down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11134" name="Picture 5" descr="Employee Turnover %&#10;&#10;XmR chart showing the % rates of employee turnover per quarter, as an average over the preceeding 12 months (otherwise known as a rolling annual turnover).  So Q1 21/22 represents the turnover for that quarter + the previous three quarters, divided by four.  Data shows seasonality in general, but with a recent downturn."/>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58572" cy="2274990"/>
                          </a:xfrm>
                          <a:prstGeom prst="rect">
                            <a:avLst/>
                          </a:prstGeom>
                          <a:noFill/>
                        </pic:spPr>
                      </pic:pic>
                    </a:graphicData>
                  </a:graphic>
                </wp:inline>
              </w:drawing>
            </w:r>
          </w:p>
          <w:p w14:paraId="2B04EA8B" w14:textId="68B9DE64" w:rsidR="00022898" w:rsidRPr="00022898" w:rsidRDefault="00022898" w:rsidP="00300974">
            <w:pPr>
              <w:textAlignment w:val="baseline"/>
              <w:rPr>
                <w:rFonts w:ascii="Calibri" w:eastAsia="Times New Roman" w:hAnsi="Calibri" w:cs="Calibri"/>
                <w:b/>
                <w:bCs/>
                <w:szCs w:val="24"/>
                <w:lang w:eastAsia="en-GB"/>
              </w:rPr>
            </w:pPr>
          </w:p>
          <w:p w14:paraId="76A6B221" w14:textId="77777777" w:rsidR="00022898" w:rsidRPr="00544B54" w:rsidRDefault="00022898" w:rsidP="00022898">
            <w:pPr>
              <w:textAlignment w:val="baseline"/>
              <w:rPr>
                <w:rFonts w:ascii="Calibri" w:eastAsia="Times New Roman" w:hAnsi="Calibri" w:cs="Calibri"/>
                <w:bCs/>
                <w:sz w:val="22"/>
                <w:lang w:eastAsia="en-GB"/>
              </w:rPr>
            </w:pPr>
            <w:r w:rsidRPr="00544B54">
              <w:rPr>
                <w:rFonts w:ascii="Calibri" w:eastAsia="Times New Roman" w:hAnsi="Calibri" w:cs="Calibri"/>
                <w:bCs/>
                <w:sz w:val="22"/>
                <w:lang w:eastAsia="en-GB"/>
              </w:rPr>
              <w:t>(This graph shows the employee turnover)</w:t>
            </w:r>
          </w:p>
          <w:p w14:paraId="740CA1CF" w14:textId="77777777" w:rsidR="00022898" w:rsidRPr="00022898" w:rsidRDefault="00022898" w:rsidP="00022898">
            <w:pPr>
              <w:textAlignment w:val="baseline"/>
              <w:rPr>
                <w:rFonts w:ascii="Calibri" w:eastAsia="Times New Roman" w:hAnsi="Calibri" w:cs="Calibri"/>
                <w:bCs/>
                <w:szCs w:val="24"/>
                <w:lang w:eastAsia="en-GB"/>
              </w:rPr>
            </w:pPr>
          </w:p>
          <w:p w14:paraId="17ECC1CD" w14:textId="1183498C" w:rsidR="00022898" w:rsidRPr="00D41023" w:rsidRDefault="00022898" w:rsidP="00022898">
            <w:pPr>
              <w:pStyle w:val="ListParagraph"/>
              <w:numPr>
                <w:ilvl w:val="0"/>
                <w:numId w:val="23"/>
              </w:numPr>
              <w:textAlignment w:val="baseline"/>
              <w:rPr>
                <w:rFonts w:ascii="Times New Roman" w:eastAsia="Times New Roman" w:hAnsi="Times New Roman" w:cs="Times New Roman"/>
                <w:bCs/>
                <w:szCs w:val="24"/>
                <w:lang w:eastAsia="en-GB"/>
              </w:rPr>
            </w:pPr>
            <w:r w:rsidRPr="00022898">
              <w:rPr>
                <w:rFonts w:ascii="Calibri" w:eastAsia="Times New Roman" w:hAnsi="Calibri" w:cs="Calibri"/>
                <w:bCs/>
                <w:szCs w:val="24"/>
                <w:lang w:eastAsia="en-GB"/>
              </w:rPr>
              <w:t>We have seen a significant increase in the return rate for exit questionnaires during Q2 (20 in total), with 91% of le</w:t>
            </w:r>
            <w:r w:rsidR="004B5010">
              <w:rPr>
                <w:rFonts w:ascii="Calibri" w:eastAsia="Times New Roman" w:hAnsi="Calibri" w:cs="Calibri"/>
                <w:bCs/>
                <w:szCs w:val="24"/>
                <w:lang w:eastAsia="en-GB"/>
              </w:rPr>
              <w:t>avers responding (Q1 43%; ↑48%)</w:t>
            </w:r>
            <w:r w:rsidRPr="00022898">
              <w:rPr>
                <w:rFonts w:ascii="Calibri" w:eastAsia="Times New Roman" w:hAnsi="Calibri" w:cs="Calibri"/>
                <w:bCs/>
                <w:szCs w:val="24"/>
                <w:lang w:eastAsia="en-GB"/>
              </w:rPr>
              <w:t>. There are no significant issues emerging from the feedback so far, however we plan to summarise the feedback bi-annually and share with the relevant stakeholders. </w:t>
            </w:r>
          </w:p>
          <w:p w14:paraId="159095BD" w14:textId="77777777" w:rsidR="00022898" w:rsidRPr="00544B54" w:rsidRDefault="00022898" w:rsidP="00544B54">
            <w:pPr>
              <w:textAlignment w:val="baseline"/>
              <w:rPr>
                <w:rFonts w:ascii="Calibri" w:eastAsia="Times New Roman" w:hAnsi="Calibri" w:cs="Calibri"/>
                <w:bCs/>
                <w:szCs w:val="24"/>
                <w:lang w:eastAsia="en-GB"/>
              </w:rPr>
            </w:pPr>
          </w:p>
          <w:p w14:paraId="077CE483" w14:textId="54F56F18" w:rsidR="00022898" w:rsidRPr="00BC58D8" w:rsidRDefault="00022898" w:rsidP="00022898">
            <w:pPr>
              <w:textAlignment w:val="baseline"/>
              <w:rPr>
                <w:rFonts w:ascii="Calibri" w:eastAsia="Times New Roman" w:hAnsi="Calibri" w:cs="Calibri"/>
                <w:bCs/>
                <w:sz w:val="22"/>
                <w:lang w:eastAsia="en-GB"/>
              </w:rPr>
            </w:pPr>
          </w:p>
        </w:tc>
        <w:tc>
          <w:tcPr>
            <w:tcW w:w="851" w:type="dxa"/>
            <w:shd w:val="clear" w:color="auto" w:fill="auto"/>
          </w:tcPr>
          <w:p w14:paraId="5D571F66" w14:textId="2834B4D8" w:rsidR="00022898" w:rsidRPr="00A4300C" w:rsidRDefault="00022898" w:rsidP="00022898">
            <w:pPr>
              <w:rPr>
                <w:szCs w:val="24"/>
              </w:rPr>
            </w:pPr>
          </w:p>
        </w:tc>
      </w:tr>
      <w:tr w:rsidR="00544B54" w:rsidRPr="00544B54" w14:paraId="68AA8C91" w14:textId="77777777" w:rsidTr="00BC58D8">
        <w:tc>
          <w:tcPr>
            <w:tcW w:w="9498" w:type="dxa"/>
            <w:shd w:val="clear" w:color="auto" w:fill="00B050"/>
          </w:tcPr>
          <w:p w14:paraId="35B90E0F" w14:textId="3223C171" w:rsidR="00022898" w:rsidRPr="00544B54" w:rsidRDefault="00544B54" w:rsidP="00022898">
            <w:pPr>
              <w:textAlignment w:val="baseline"/>
              <w:rPr>
                <w:rFonts w:ascii="Calibri" w:eastAsia="Times New Roman" w:hAnsi="Calibri" w:cs="Calibri"/>
                <w:b/>
                <w:bCs/>
                <w:szCs w:val="24"/>
                <w:lang w:eastAsia="en-GB"/>
              </w:rPr>
            </w:pPr>
            <w:r w:rsidRPr="00544B54">
              <w:rPr>
                <w:rFonts w:ascii="Calibri" w:eastAsia="Times New Roman" w:hAnsi="Calibri" w:cs="Calibri"/>
                <w:b/>
                <w:bCs/>
                <w:szCs w:val="24"/>
                <w:lang w:eastAsia="en-GB"/>
              </w:rPr>
              <w:t>Internal Movement</w:t>
            </w:r>
          </w:p>
        </w:tc>
        <w:tc>
          <w:tcPr>
            <w:tcW w:w="851" w:type="dxa"/>
            <w:shd w:val="clear" w:color="auto" w:fill="00B050"/>
          </w:tcPr>
          <w:p w14:paraId="175D12E5" w14:textId="5CB901EA" w:rsidR="00022898" w:rsidRPr="00544B54" w:rsidRDefault="00544B54" w:rsidP="00022898">
            <w:pPr>
              <w:rPr>
                <w:b/>
                <w:bCs/>
                <w:szCs w:val="24"/>
              </w:rPr>
            </w:pPr>
            <w:r>
              <w:rPr>
                <w:b/>
                <w:bCs/>
                <w:szCs w:val="24"/>
              </w:rPr>
              <w:t>Green</w:t>
            </w:r>
          </w:p>
        </w:tc>
      </w:tr>
      <w:tr w:rsidR="00BC58D8" w:rsidRPr="00022898" w14:paraId="6A58B5D2" w14:textId="77777777" w:rsidTr="00BC58D8">
        <w:tc>
          <w:tcPr>
            <w:tcW w:w="9498" w:type="dxa"/>
            <w:shd w:val="clear" w:color="auto" w:fill="auto"/>
          </w:tcPr>
          <w:p w14:paraId="498308FD" w14:textId="77777777" w:rsidR="00544B54" w:rsidRPr="00544B54" w:rsidRDefault="00544B54" w:rsidP="00544B54">
            <w:pPr>
              <w:textAlignment w:val="baseline"/>
              <w:rPr>
                <w:rFonts w:ascii="Calibri" w:eastAsia="Times New Roman" w:hAnsi="Calibri" w:cs="Calibri"/>
                <w:b/>
                <w:bCs/>
                <w:szCs w:val="24"/>
                <w:lang w:eastAsia="en-GB"/>
              </w:rPr>
            </w:pPr>
            <w:r w:rsidRPr="00544B54">
              <w:rPr>
                <w:rFonts w:ascii="Calibri" w:eastAsia="Times New Roman" w:hAnsi="Calibri" w:cs="Calibri"/>
                <w:b/>
                <w:bCs/>
                <w:szCs w:val="24"/>
                <w:lang w:eastAsia="en-GB"/>
              </w:rPr>
              <w:t xml:space="preserve">Target: increase internal moves </w:t>
            </w:r>
          </w:p>
          <w:p w14:paraId="206FE693" w14:textId="6B081169" w:rsidR="00544B54" w:rsidRPr="00D41023" w:rsidRDefault="00D41023" w:rsidP="00544B54">
            <w:pPr>
              <w:textAlignment w:val="baseline"/>
              <w:rPr>
                <w:rFonts w:ascii="Calibri" w:eastAsia="Times New Roman" w:hAnsi="Calibri" w:cs="Calibri"/>
                <w:b/>
                <w:bCs/>
                <w:sz w:val="28"/>
                <w:szCs w:val="28"/>
                <w:lang w:eastAsia="en-GB"/>
              </w:rPr>
            </w:pPr>
            <w:r w:rsidRPr="00D41023">
              <w:rPr>
                <w:rFonts w:ascii="Calibri" w:eastAsia="Times New Roman" w:hAnsi="Calibri" w:cs="Calibri"/>
                <w:b/>
                <w:bCs/>
                <w:sz w:val="28"/>
                <w:szCs w:val="28"/>
                <w:lang w:eastAsia="en-GB"/>
              </w:rPr>
              <w:t xml:space="preserve">          </w:t>
            </w:r>
            <w:r w:rsidR="00544B54" w:rsidRPr="00D41023">
              <w:rPr>
                <w:rFonts w:ascii="Calibri" w:eastAsia="Times New Roman" w:hAnsi="Calibri" w:cs="Calibri"/>
                <w:bCs/>
                <w:szCs w:val="24"/>
                <w:lang w:eastAsia="en-GB"/>
              </w:rPr>
              <w:t>•</w:t>
            </w:r>
            <w:r w:rsidR="00544B54" w:rsidRPr="00D41023">
              <w:rPr>
                <w:rFonts w:ascii="Calibri" w:eastAsia="Times New Roman" w:hAnsi="Calibri" w:cs="Calibri"/>
                <w:bCs/>
                <w:szCs w:val="24"/>
                <w:lang w:eastAsia="en-GB"/>
              </w:rPr>
              <w:tab/>
              <w:t xml:space="preserve">Q2:  Internal moves have reduced again this quarter, with 34 internal moves (37 </w:t>
            </w:r>
            <w:r>
              <w:rPr>
                <w:rFonts w:ascii="Calibri" w:eastAsia="Times New Roman" w:hAnsi="Calibri" w:cs="Calibri"/>
                <w:bCs/>
                <w:szCs w:val="24"/>
                <w:lang w:eastAsia="en-GB"/>
              </w:rPr>
              <w:t xml:space="preserve">   </w:t>
            </w:r>
            <w:r w:rsidR="00544B54" w:rsidRPr="00D41023">
              <w:rPr>
                <w:rFonts w:ascii="Calibri" w:eastAsia="Times New Roman" w:hAnsi="Calibri" w:cs="Calibri"/>
                <w:bCs/>
                <w:szCs w:val="24"/>
                <w:lang w:eastAsia="en-GB"/>
              </w:rPr>
              <w:t>in Q1). This is 4% of our headcount of employees moving into alternative roles through promotion or same grade reassignments. It includes those returning to their substantive post following a temporary reassignment.</w:t>
            </w:r>
          </w:p>
          <w:p w14:paraId="6C3F2570" w14:textId="77777777" w:rsidR="00544B54" w:rsidRPr="00544B54" w:rsidRDefault="00544B54" w:rsidP="00544B54">
            <w:pPr>
              <w:textAlignment w:val="baseline"/>
              <w:rPr>
                <w:rFonts w:ascii="Calibri" w:eastAsia="Times New Roman" w:hAnsi="Calibri" w:cs="Calibri"/>
                <w:b/>
                <w:bCs/>
                <w:sz w:val="28"/>
                <w:szCs w:val="28"/>
                <w:lang w:eastAsia="en-GB"/>
              </w:rPr>
            </w:pPr>
          </w:p>
          <w:p w14:paraId="5E6B93B6" w14:textId="0201D7D6" w:rsidR="00D41023" w:rsidRDefault="00544B54" w:rsidP="00544B54">
            <w:pPr>
              <w:pStyle w:val="ListParagraph"/>
              <w:numPr>
                <w:ilvl w:val="0"/>
                <w:numId w:val="21"/>
              </w:numPr>
              <w:textAlignment w:val="baseline"/>
              <w:rPr>
                <w:rFonts w:ascii="Calibri" w:eastAsia="Times New Roman" w:hAnsi="Calibri" w:cs="Calibri"/>
                <w:bCs/>
                <w:szCs w:val="24"/>
                <w:lang w:eastAsia="en-GB"/>
              </w:rPr>
            </w:pPr>
            <w:r w:rsidRPr="00544B54">
              <w:rPr>
                <w:rFonts w:ascii="Calibri" w:eastAsia="Times New Roman" w:hAnsi="Calibri" w:cs="Calibri"/>
                <w:bCs/>
                <w:szCs w:val="24"/>
                <w:lang w:eastAsia="en-GB"/>
              </w:rPr>
              <w:t>In Q2 there have been 42 recruitment campaigns; 3 (7%) have failed to attract a successful candidate. In comparison, there were 59 recruitment campaigns in Q2 of 2022/23, and 11 (19%) failed campaigns. Recruitment exercises in Q2 have reduced compared to previous months.</w:t>
            </w:r>
          </w:p>
          <w:p w14:paraId="326883D5" w14:textId="6E963E65" w:rsidR="00D41023" w:rsidRPr="00D41023" w:rsidRDefault="00D41023" w:rsidP="00D41023">
            <w:pPr>
              <w:textAlignment w:val="baseline"/>
              <w:rPr>
                <w:rFonts w:ascii="Calibri" w:eastAsia="Times New Roman" w:hAnsi="Calibri" w:cs="Calibri"/>
                <w:bCs/>
                <w:szCs w:val="24"/>
                <w:lang w:eastAsia="en-GB"/>
              </w:rPr>
            </w:pPr>
          </w:p>
          <w:p w14:paraId="29C11CFB" w14:textId="77777777" w:rsidR="00544B54" w:rsidRPr="00544B54" w:rsidRDefault="00544B54" w:rsidP="00544B54">
            <w:pPr>
              <w:textAlignment w:val="baseline"/>
              <w:rPr>
                <w:rFonts w:ascii="Calibri" w:eastAsia="Times New Roman" w:hAnsi="Calibri" w:cs="Calibri"/>
                <w:b/>
                <w:bCs/>
                <w:noProof/>
                <w:szCs w:val="24"/>
                <w:lang w:eastAsia="en-GB"/>
              </w:rPr>
            </w:pPr>
            <w:r w:rsidRPr="00544B54">
              <w:rPr>
                <w:rFonts w:ascii="Calibri" w:eastAsia="Times New Roman" w:hAnsi="Calibri" w:cs="Calibri"/>
                <w:b/>
                <w:bCs/>
                <w:noProof/>
                <w:szCs w:val="24"/>
                <w:lang w:eastAsia="en-GB"/>
              </w:rPr>
              <w:t>Headcount and FTE</w:t>
            </w:r>
          </w:p>
          <w:p w14:paraId="34FC7585" w14:textId="3D85994A" w:rsidR="00544B54" w:rsidRDefault="00544B54" w:rsidP="00544B54">
            <w:pPr>
              <w:jc w:val="center"/>
              <w:textAlignment w:val="baseline"/>
              <w:rPr>
                <w:rFonts w:ascii="Calibri" w:eastAsia="Times New Roman" w:hAnsi="Calibri" w:cs="Calibri"/>
                <w:b/>
                <w:bCs/>
                <w:sz w:val="22"/>
                <w:lang w:eastAsia="en-GB"/>
              </w:rPr>
            </w:pPr>
            <w:r>
              <w:rPr>
                <w:rFonts w:ascii="Calibri" w:eastAsia="Times New Roman" w:hAnsi="Calibri" w:cs="Calibri"/>
                <w:b/>
                <w:bCs/>
                <w:noProof/>
                <w:sz w:val="22"/>
                <w:lang w:eastAsia="en-GB"/>
              </w:rPr>
              <w:drawing>
                <wp:inline distT="0" distB="0" distL="0" distR="0" wp14:anchorId="50CEAFB7" wp14:editId="0AFC4E92">
                  <wp:extent cx="4919980" cy="2540000"/>
                  <wp:effectExtent l="0" t="0" r="0" b="0"/>
                  <wp:docPr id="394539063" name="Picture 9" descr="This graph shows the trend of the organisations headcount and FTE to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39063" name="Picture 9" descr="This graph shows the trend of the organisations headcount and FTE to dat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53016" cy="2557055"/>
                          </a:xfrm>
                          <a:prstGeom prst="rect">
                            <a:avLst/>
                          </a:prstGeom>
                          <a:noFill/>
                        </pic:spPr>
                      </pic:pic>
                    </a:graphicData>
                  </a:graphic>
                </wp:inline>
              </w:drawing>
            </w:r>
          </w:p>
          <w:p w14:paraId="54354D5A" w14:textId="77777777" w:rsidR="00544B54" w:rsidRDefault="00544B54" w:rsidP="00544B54">
            <w:pPr>
              <w:textAlignment w:val="baseline"/>
              <w:rPr>
                <w:rFonts w:ascii="Calibri" w:eastAsia="Times New Roman" w:hAnsi="Calibri" w:cs="Calibri"/>
                <w:bCs/>
                <w:sz w:val="22"/>
                <w:lang w:eastAsia="en-GB"/>
              </w:rPr>
            </w:pPr>
            <w:r w:rsidRPr="009D1F31">
              <w:rPr>
                <w:rFonts w:ascii="Calibri" w:eastAsia="Times New Roman" w:hAnsi="Calibri" w:cs="Calibri"/>
                <w:bCs/>
                <w:sz w:val="22"/>
                <w:lang w:eastAsia="en-GB"/>
              </w:rPr>
              <w:lastRenderedPageBreak/>
              <w:t xml:space="preserve">(This graph shows </w:t>
            </w:r>
            <w:r>
              <w:rPr>
                <w:rFonts w:ascii="Calibri" w:eastAsia="Times New Roman" w:hAnsi="Calibri" w:cs="Calibri"/>
                <w:bCs/>
                <w:sz w:val="22"/>
                <w:lang w:eastAsia="en-GB"/>
              </w:rPr>
              <w:t>the trend of the organisations headcount and FTE to date</w:t>
            </w:r>
            <w:r w:rsidRPr="009D1F31">
              <w:rPr>
                <w:rFonts w:ascii="Calibri" w:eastAsia="Times New Roman" w:hAnsi="Calibri" w:cs="Calibri"/>
                <w:bCs/>
                <w:sz w:val="22"/>
                <w:lang w:eastAsia="en-GB"/>
              </w:rPr>
              <w:t>)</w:t>
            </w:r>
          </w:p>
          <w:p w14:paraId="45FD8416" w14:textId="77777777" w:rsidR="00544B54" w:rsidRDefault="00544B54" w:rsidP="00544B54">
            <w:pPr>
              <w:textAlignment w:val="baseline"/>
              <w:rPr>
                <w:rFonts w:ascii="Calibri" w:eastAsia="Times New Roman" w:hAnsi="Calibri" w:cs="Calibri"/>
                <w:b/>
                <w:bCs/>
                <w:szCs w:val="24"/>
                <w:lang w:eastAsia="en-GB"/>
              </w:rPr>
            </w:pPr>
          </w:p>
          <w:p w14:paraId="581F88DA" w14:textId="77777777" w:rsidR="00544B54" w:rsidRPr="00544B54" w:rsidRDefault="00544B54" w:rsidP="00544B54">
            <w:pPr>
              <w:pStyle w:val="ListParagraph"/>
              <w:numPr>
                <w:ilvl w:val="0"/>
                <w:numId w:val="22"/>
              </w:numPr>
              <w:textAlignment w:val="baseline"/>
              <w:rPr>
                <w:rFonts w:ascii="Calibri" w:eastAsia="Times New Roman" w:hAnsi="Calibri" w:cs="Calibri"/>
                <w:szCs w:val="24"/>
                <w:lang w:eastAsia="en-GB"/>
              </w:rPr>
            </w:pPr>
            <w:r w:rsidRPr="00544B54">
              <w:rPr>
                <w:rFonts w:ascii="Calibri" w:eastAsia="Times New Roman" w:hAnsi="Calibri" w:cs="Calibri"/>
                <w:szCs w:val="24"/>
                <w:lang w:eastAsia="en-GB"/>
              </w:rPr>
              <w:t xml:space="preserve">In Q2 the headcount is 802 and FTE is 739.  Since Q1 of 2022/23 the headcount and FTE have been steadily increasing. This is due to the increase in project funded posts in Peatland Action, </w:t>
            </w:r>
            <w:proofErr w:type="spellStart"/>
            <w:r w:rsidRPr="00544B54">
              <w:rPr>
                <w:rFonts w:ascii="Calibri" w:eastAsia="Times New Roman" w:hAnsi="Calibri" w:cs="Calibri"/>
                <w:szCs w:val="24"/>
                <w:lang w:eastAsia="en-GB"/>
              </w:rPr>
              <w:t>Scotwind</w:t>
            </w:r>
            <w:proofErr w:type="spellEnd"/>
            <w:r w:rsidRPr="00544B54">
              <w:rPr>
                <w:rFonts w:ascii="Calibri" w:eastAsia="Times New Roman" w:hAnsi="Calibri" w:cs="Calibri"/>
                <w:szCs w:val="24"/>
                <w:lang w:eastAsia="en-GB"/>
              </w:rPr>
              <w:t xml:space="preserve"> and Transformative Land Use. The peak in Q2 of 2021/22 was due to the Programme for Youth Employment. </w:t>
            </w:r>
          </w:p>
          <w:p w14:paraId="5F8FD756" w14:textId="14E4957E" w:rsidR="00BC58D8" w:rsidRPr="00D41023" w:rsidRDefault="00BC58D8" w:rsidP="00D41023">
            <w:pPr>
              <w:ind w:left="360"/>
              <w:textAlignment w:val="baseline"/>
              <w:rPr>
                <w:rFonts w:ascii="Calibri" w:eastAsia="Times New Roman" w:hAnsi="Calibri" w:cs="Calibri"/>
                <w:szCs w:val="24"/>
                <w:lang w:eastAsia="en-GB"/>
              </w:rPr>
            </w:pPr>
          </w:p>
        </w:tc>
        <w:tc>
          <w:tcPr>
            <w:tcW w:w="851" w:type="dxa"/>
            <w:shd w:val="clear" w:color="auto" w:fill="auto"/>
          </w:tcPr>
          <w:p w14:paraId="2C44E6D8" w14:textId="090A804A" w:rsidR="00022898" w:rsidRPr="00A4300C" w:rsidRDefault="00022898" w:rsidP="00022898">
            <w:pPr>
              <w:rPr>
                <w:szCs w:val="24"/>
              </w:rPr>
            </w:pPr>
          </w:p>
        </w:tc>
      </w:tr>
      <w:tr w:rsidR="00544B54" w:rsidRPr="00544B54" w14:paraId="23FE10BA" w14:textId="77777777" w:rsidTr="00BC58D8">
        <w:tc>
          <w:tcPr>
            <w:tcW w:w="9498" w:type="dxa"/>
            <w:shd w:val="clear" w:color="auto" w:fill="FFC000"/>
          </w:tcPr>
          <w:p w14:paraId="165EE68A" w14:textId="43996A39" w:rsidR="00022898" w:rsidRPr="00544B54" w:rsidRDefault="00544B54" w:rsidP="00022898">
            <w:pPr>
              <w:textAlignment w:val="baseline"/>
              <w:rPr>
                <w:rFonts w:ascii="Calibri" w:eastAsia="Times New Roman" w:hAnsi="Calibri" w:cs="Calibri"/>
                <w:b/>
                <w:bCs/>
                <w:szCs w:val="24"/>
                <w:lang w:eastAsia="en-GB"/>
              </w:rPr>
            </w:pPr>
            <w:r w:rsidRPr="00544B54">
              <w:rPr>
                <w:rFonts w:ascii="Calibri" w:eastAsia="Times New Roman" w:hAnsi="Calibri" w:cs="Calibri"/>
                <w:b/>
                <w:bCs/>
                <w:szCs w:val="24"/>
                <w:lang w:eastAsia="en-GB"/>
              </w:rPr>
              <w:t>Retirement Profile</w:t>
            </w:r>
          </w:p>
        </w:tc>
        <w:tc>
          <w:tcPr>
            <w:tcW w:w="851" w:type="dxa"/>
            <w:shd w:val="clear" w:color="auto" w:fill="FFC000"/>
          </w:tcPr>
          <w:p w14:paraId="51BEE904" w14:textId="4F466B80" w:rsidR="00022898" w:rsidRPr="00544B54" w:rsidRDefault="00544B54" w:rsidP="00022898">
            <w:pPr>
              <w:rPr>
                <w:b/>
                <w:bCs/>
                <w:szCs w:val="24"/>
              </w:rPr>
            </w:pPr>
            <w:r>
              <w:rPr>
                <w:b/>
                <w:bCs/>
                <w:szCs w:val="24"/>
              </w:rPr>
              <w:t>Amber</w:t>
            </w:r>
          </w:p>
        </w:tc>
      </w:tr>
      <w:tr w:rsidR="00544B54" w:rsidRPr="00BC58D8" w14:paraId="500BE131" w14:textId="77777777" w:rsidTr="00BC58D8">
        <w:tc>
          <w:tcPr>
            <w:tcW w:w="9498" w:type="dxa"/>
            <w:shd w:val="clear" w:color="auto" w:fill="auto"/>
          </w:tcPr>
          <w:p w14:paraId="589FAA97" w14:textId="77777777" w:rsidR="00D41023" w:rsidRPr="00D41023" w:rsidRDefault="00D41023" w:rsidP="00D41023">
            <w:pPr>
              <w:pStyle w:val="ListParagraph"/>
              <w:numPr>
                <w:ilvl w:val="0"/>
                <w:numId w:val="22"/>
              </w:numPr>
              <w:textAlignment w:val="baseline"/>
              <w:rPr>
                <w:rFonts w:ascii="Calibri" w:eastAsia="Times New Roman" w:hAnsi="Calibri" w:cs="Calibri"/>
                <w:szCs w:val="24"/>
                <w:lang w:eastAsia="en-GB"/>
              </w:rPr>
            </w:pPr>
            <w:r w:rsidRPr="00D41023">
              <w:rPr>
                <w:rFonts w:ascii="Calibri" w:eastAsia="Times New Roman" w:hAnsi="Calibri" w:cs="Calibri"/>
                <w:szCs w:val="24"/>
                <w:lang w:eastAsia="en-GB"/>
              </w:rPr>
              <w:t xml:space="preserve">Q2: 178 employees are aged 57+. This is predicted to rise to 228 in 2025/26 (28.46% of current headcount). </w:t>
            </w:r>
          </w:p>
          <w:p w14:paraId="006048E9" w14:textId="77777777" w:rsidR="00D41023" w:rsidRPr="00D41023" w:rsidRDefault="00D41023" w:rsidP="00D41023">
            <w:pPr>
              <w:pStyle w:val="ListParagraph"/>
              <w:numPr>
                <w:ilvl w:val="0"/>
                <w:numId w:val="22"/>
              </w:numPr>
              <w:textAlignment w:val="baseline"/>
              <w:rPr>
                <w:rFonts w:ascii="Calibri" w:eastAsia="Times New Roman" w:hAnsi="Calibri" w:cs="Calibri"/>
                <w:szCs w:val="24"/>
                <w:lang w:eastAsia="en-GB"/>
              </w:rPr>
            </w:pPr>
            <w:r w:rsidRPr="00D41023">
              <w:rPr>
                <w:rFonts w:ascii="Calibri" w:eastAsia="Times New Roman" w:hAnsi="Calibri" w:cs="Calibri"/>
                <w:szCs w:val="24"/>
                <w:lang w:eastAsia="en-GB"/>
              </w:rPr>
              <w:t>In Q2, 3 employees retired (16% of leavers in Q2). The average retirement age for Q2 is 61.5, which is a reduction from Q1.</w:t>
            </w:r>
          </w:p>
          <w:p w14:paraId="7F32FE56" w14:textId="77777777" w:rsidR="00BC58D8" w:rsidRDefault="00BC58D8" w:rsidP="00BC58D8">
            <w:pPr>
              <w:textAlignment w:val="baseline"/>
              <w:rPr>
                <w:rFonts w:ascii="Calibri" w:eastAsia="Times New Roman" w:hAnsi="Calibri" w:cs="Calibri"/>
                <w:szCs w:val="24"/>
                <w:lang w:eastAsia="en-GB"/>
              </w:rPr>
            </w:pPr>
          </w:p>
          <w:p w14:paraId="78F0577E" w14:textId="77777777" w:rsidR="00BC58D8" w:rsidRDefault="00BC58D8" w:rsidP="00BC58D8">
            <w:pPr>
              <w:jc w:val="center"/>
              <w:textAlignment w:val="baseline"/>
              <w:rPr>
                <w:rFonts w:ascii="Calibri" w:eastAsia="Times New Roman" w:hAnsi="Calibri" w:cs="Calibri"/>
                <w:szCs w:val="24"/>
                <w:lang w:eastAsia="en-GB"/>
              </w:rPr>
            </w:pPr>
            <w:r>
              <w:rPr>
                <w:rFonts w:ascii="Times New Roman" w:eastAsia="Times New Roman" w:hAnsi="Times New Roman" w:cs="Times New Roman"/>
                <w:bCs/>
                <w:noProof/>
                <w:sz w:val="22"/>
                <w:lang w:eastAsia="en-GB"/>
              </w:rPr>
              <w:drawing>
                <wp:inline distT="0" distB="0" distL="0" distR="0" wp14:anchorId="31ED8F16" wp14:editId="7CE46685">
                  <wp:extent cx="5337175" cy="2884600"/>
                  <wp:effectExtent l="0" t="0" r="0" b="0"/>
                  <wp:docPr id="3" name="Picture 3" descr="This graph shows average of employees ret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graph shows average of employees retiri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44442" cy="2888528"/>
                          </a:xfrm>
                          <a:prstGeom prst="rect">
                            <a:avLst/>
                          </a:prstGeom>
                          <a:noFill/>
                        </pic:spPr>
                      </pic:pic>
                    </a:graphicData>
                  </a:graphic>
                </wp:inline>
              </w:drawing>
            </w:r>
          </w:p>
          <w:p w14:paraId="0C539061" w14:textId="2CBD1581" w:rsidR="00BC58D8" w:rsidRPr="00BC58D8" w:rsidRDefault="00BC58D8" w:rsidP="00BC58D8">
            <w:pPr>
              <w:textAlignment w:val="baseline"/>
              <w:rPr>
                <w:rFonts w:ascii="Calibri" w:eastAsia="Times New Roman" w:hAnsi="Calibri" w:cs="Calibri"/>
                <w:sz w:val="22"/>
                <w:lang w:eastAsia="en-GB"/>
              </w:rPr>
            </w:pPr>
            <w:r>
              <w:rPr>
                <w:rFonts w:ascii="Calibri" w:eastAsia="Times New Roman" w:hAnsi="Calibri" w:cs="Calibri"/>
                <w:bCs/>
                <w:sz w:val="22"/>
                <w:lang w:eastAsia="en-GB"/>
              </w:rPr>
              <w:t>(</w:t>
            </w:r>
            <w:r w:rsidRPr="000B1E0F">
              <w:rPr>
                <w:rFonts w:ascii="Calibri" w:eastAsia="Times New Roman" w:hAnsi="Calibri" w:cs="Calibri"/>
                <w:bCs/>
                <w:sz w:val="22"/>
                <w:lang w:eastAsia="en-GB"/>
              </w:rPr>
              <w:t>This graph shows average of employees retiring</w:t>
            </w:r>
            <w:r>
              <w:rPr>
                <w:rFonts w:ascii="Calibri" w:eastAsia="Times New Roman" w:hAnsi="Calibri" w:cs="Calibri"/>
                <w:bCs/>
                <w:sz w:val="22"/>
                <w:lang w:eastAsia="en-GB"/>
              </w:rPr>
              <w:t>)</w:t>
            </w:r>
          </w:p>
        </w:tc>
        <w:tc>
          <w:tcPr>
            <w:tcW w:w="851" w:type="dxa"/>
            <w:shd w:val="clear" w:color="auto" w:fill="auto"/>
          </w:tcPr>
          <w:p w14:paraId="7CD69B2C" w14:textId="77777777" w:rsidR="00544B54" w:rsidRPr="00BC58D8" w:rsidRDefault="00544B54" w:rsidP="00022898">
            <w:pPr>
              <w:rPr>
                <w:szCs w:val="24"/>
              </w:rPr>
            </w:pPr>
          </w:p>
        </w:tc>
      </w:tr>
    </w:tbl>
    <w:p w14:paraId="2B06D613" w14:textId="0DBA9051" w:rsidR="00554D77" w:rsidRDefault="00554D77" w:rsidP="00554D77"/>
    <w:p w14:paraId="48AF41D5" w14:textId="77777777" w:rsidR="00554D77" w:rsidRDefault="00554D77" w:rsidP="00554D77">
      <w:pPr>
        <w:sectPr w:rsidR="00554D77" w:rsidSect="00604DB9">
          <w:footerReference w:type="default" r:id="rId54"/>
          <w:pgSz w:w="11906" w:h="16838"/>
          <w:pgMar w:top="993" w:right="1440" w:bottom="1440" w:left="1440" w:header="567" w:footer="708" w:gutter="0"/>
          <w:cols w:space="708"/>
          <w:docGrid w:linePitch="360"/>
        </w:sectPr>
      </w:pPr>
    </w:p>
    <w:p w14:paraId="57E8F4DB" w14:textId="70AAE7A9" w:rsidR="00FA0E12" w:rsidRPr="00FE7AD5" w:rsidRDefault="00FE7AD5" w:rsidP="00FE7AD5">
      <w:pPr>
        <w:keepNext/>
        <w:keepLines/>
        <w:spacing w:before="40" w:after="0" w:line="259" w:lineRule="auto"/>
        <w:outlineLvl w:val="1"/>
        <w:rPr>
          <w:rFonts w:ascii="Calibri" w:eastAsiaTheme="majorEastAsia" w:hAnsi="Calibri" w:cs="Calibri"/>
          <w:b/>
          <w:color w:val="4F81BD" w:themeColor="accent1"/>
          <w:sz w:val="28"/>
          <w:szCs w:val="28"/>
        </w:rPr>
      </w:pPr>
      <w:bookmarkStart w:id="2" w:name="AnnexA"/>
      <w:bookmarkStart w:id="3" w:name="AnnexB"/>
      <w:r>
        <w:rPr>
          <w:rFonts w:ascii="Calibri" w:eastAsia="Times New Roman" w:hAnsi="Calibri" w:cs="Calibri"/>
          <w:b/>
          <w:color w:val="4F81BD" w:themeColor="accent1"/>
          <w:sz w:val="28"/>
          <w:szCs w:val="28"/>
        </w:rPr>
        <w:lastRenderedPageBreak/>
        <w:t>Annex A</w:t>
      </w:r>
      <w:r w:rsidRPr="00665954">
        <w:rPr>
          <w:rFonts w:ascii="Calibri" w:eastAsia="Times New Roman" w:hAnsi="Calibri" w:cs="Calibri"/>
          <w:b/>
          <w:color w:val="4F81BD" w:themeColor="accent1"/>
          <w:sz w:val="28"/>
          <w:szCs w:val="28"/>
        </w:rPr>
        <w:t xml:space="preserve"> – Corporate Risk Register (High Risks</w:t>
      </w:r>
      <w:bookmarkEnd w:id="2"/>
      <w:bookmarkEnd w:id="3"/>
      <w:r>
        <w:rPr>
          <w:rFonts w:ascii="Calibri" w:eastAsiaTheme="majorEastAsia" w:hAnsi="Calibri" w:cs="Calibri"/>
          <w:b/>
          <w:color w:val="4F81BD" w:themeColor="accent1"/>
          <w:sz w:val="28"/>
          <w:szCs w:val="28"/>
        </w:rPr>
        <w:t>)</w:t>
      </w:r>
    </w:p>
    <w:tbl>
      <w:tblPr>
        <w:tblStyle w:val="TableGrid5"/>
        <w:tblpPr w:leftFromText="180" w:rightFromText="180" w:vertAnchor="page" w:horzAnchor="margin" w:tblpXSpec="center" w:tblpY="2094"/>
        <w:tblW w:w="22113" w:type="dxa"/>
        <w:tblLayout w:type="fixed"/>
        <w:tblLook w:val="04A0" w:firstRow="1" w:lastRow="0" w:firstColumn="1" w:lastColumn="0" w:noHBand="0" w:noVBand="1"/>
        <w:tblCaption w:val="Risks"/>
      </w:tblPr>
      <w:tblGrid>
        <w:gridCol w:w="2494"/>
        <w:gridCol w:w="3035"/>
        <w:gridCol w:w="6520"/>
        <w:gridCol w:w="851"/>
        <w:gridCol w:w="850"/>
        <w:gridCol w:w="851"/>
        <w:gridCol w:w="7512"/>
      </w:tblGrid>
      <w:tr w:rsidR="00FE7AD5" w:rsidRPr="00665954" w14:paraId="69B1A4F1" w14:textId="77777777" w:rsidTr="00FE7AD5">
        <w:trPr>
          <w:trHeight w:val="442"/>
          <w:tblHeader/>
        </w:trPr>
        <w:tc>
          <w:tcPr>
            <w:tcW w:w="2494" w:type="dxa"/>
            <w:shd w:val="clear" w:color="auto" w:fill="244061" w:themeFill="accent1" w:themeFillShade="80"/>
            <w:hideMark/>
          </w:tcPr>
          <w:p w14:paraId="7D3282D7" w14:textId="77777777" w:rsidR="00FE7AD5" w:rsidRPr="00665954" w:rsidRDefault="00FE7AD5" w:rsidP="00FE7AD5">
            <w:pPr>
              <w:jc w:val="both"/>
              <w:rPr>
                <w:rFonts w:ascii="Calibri" w:hAnsi="Calibri" w:cs="Calibri"/>
                <w:b/>
                <w:bCs/>
                <w:szCs w:val="24"/>
              </w:rPr>
            </w:pPr>
            <w:r w:rsidRPr="00665954">
              <w:rPr>
                <w:b/>
              </w:rPr>
              <w:t>RISK TITLE</w:t>
            </w:r>
          </w:p>
        </w:tc>
        <w:tc>
          <w:tcPr>
            <w:tcW w:w="3035" w:type="dxa"/>
            <w:shd w:val="clear" w:color="auto" w:fill="244061" w:themeFill="accent1" w:themeFillShade="80"/>
            <w:hideMark/>
          </w:tcPr>
          <w:p w14:paraId="15D27250" w14:textId="77777777" w:rsidR="00FE7AD5" w:rsidRPr="00665954" w:rsidRDefault="00FE7AD5" w:rsidP="00FE7AD5">
            <w:pPr>
              <w:ind w:left="360" w:hanging="360"/>
              <w:contextualSpacing/>
              <w:jc w:val="both"/>
              <w:rPr>
                <w:rFonts w:ascii="Calibri" w:hAnsi="Calibri" w:cs="Calibri"/>
                <w:b/>
                <w:bCs/>
                <w:szCs w:val="24"/>
              </w:rPr>
            </w:pPr>
            <w:r w:rsidRPr="00665954">
              <w:rPr>
                <w:rFonts w:ascii="Calibri" w:hAnsi="Calibri" w:cs="Calibri"/>
                <w:b/>
                <w:bCs/>
                <w:szCs w:val="24"/>
              </w:rPr>
              <w:t>DESCRIPTION</w:t>
            </w:r>
          </w:p>
        </w:tc>
        <w:tc>
          <w:tcPr>
            <w:tcW w:w="6520" w:type="dxa"/>
            <w:shd w:val="clear" w:color="auto" w:fill="244061" w:themeFill="accent1" w:themeFillShade="80"/>
            <w:hideMark/>
          </w:tcPr>
          <w:p w14:paraId="45781272" w14:textId="77777777" w:rsidR="00FE7AD5" w:rsidRPr="00665954" w:rsidRDefault="00FE7AD5" w:rsidP="00FE7AD5">
            <w:pPr>
              <w:ind w:left="-113" w:firstLine="113"/>
              <w:contextualSpacing/>
              <w:jc w:val="both"/>
              <w:rPr>
                <w:rFonts w:ascii="Calibri" w:hAnsi="Calibri" w:cs="Calibri"/>
                <w:b/>
                <w:bCs/>
                <w:szCs w:val="24"/>
              </w:rPr>
            </w:pPr>
            <w:r w:rsidRPr="00665954">
              <w:rPr>
                <w:rFonts w:ascii="Calibri" w:hAnsi="Calibri" w:cs="Calibri"/>
                <w:b/>
                <w:bCs/>
                <w:szCs w:val="24"/>
              </w:rPr>
              <w:t>CONTROLS</w:t>
            </w:r>
          </w:p>
        </w:tc>
        <w:tc>
          <w:tcPr>
            <w:tcW w:w="851" w:type="dxa"/>
            <w:shd w:val="clear" w:color="auto" w:fill="244061" w:themeFill="accent1" w:themeFillShade="80"/>
            <w:hideMark/>
          </w:tcPr>
          <w:p w14:paraId="2A687FC6" w14:textId="77777777" w:rsidR="00FE7AD5" w:rsidRPr="00665954" w:rsidRDefault="00FE7AD5" w:rsidP="00FE7AD5">
            <w:pPr>
              <w:ind w:left="315" w:right="-102" w:hanging="371"/>
              <w:contextualSpacing/>
              <w:jc w:val="both"/>
              <w:rPr>
                <w:rFonts w:ascii="Calibri" w:hAnsi="Calibri" w:cs="Calibri"/>
                <w:b/>
                <w:bCs/>
                <w:szCs w:val="24"/>
              </w:rPr>
            </w:pPr>
            <w:r w:rsidRPr="00665954">
              <w:rPr>
                <w:rFonts w:ascii="Calibri" w:hAnsi="Calibri" w:cs="Calibri"/>
                <w:b/>
                <w:bCs/>
                <w:szCs w:val="24"/>
              </w:rPr>
              <w:t>IMPACT</w:t>
            </w:r>
          </w:p>
        </w:tc>
        <w:tc>
          <w:tcPr>
            <w:tcW w:w="850" w:type="dxa"/>
            <w:shd w:val="clear" w:color="auto" w:fill="244061" w:themeFill="accent1" w:themeFillShade="80"/>
            <w:hideMark/>
          </w:tcPr>
          <w:p w14:paraId="05FA990A" w14:textId="77777777" w:rsidR="00FE7AD5" w:rsidRPr="00665954" w:rsidRDefault="00FE7AD5" w:rsidP="00FE7AD5">
            <w:pPr>
              <w:contextualSpacing/>
              <w:jc w:val="both"/>
              <w:rPr>
                <w:rFonts w:ascii="Calibri" w:hAnsi="Calibri" w:cs="Calibri"/>
                <w:b/>
                <w:bCs/>
                <w:szCs w:val="24"/>
              </w:rPr>
            </w:pPr>
            <w:r w:rsidRPr="00665954">
              <w:rPr>
                <w:rFonts w:ascii="Calibri" w:hAnsi="Calibri" w:cs="Calibri"/>
                <w:b/>
                <w:bCs/>
                <w:szCs w:val="24"/>
              </w:rPr>
              <w:t>LIKLE-HOOD</w:t>
            </w:r>
          </w:p>
        </w:tc>
        <w:tc>
          <w:tcPr>
            <w:tcW w:w="851" w:type="dxa"/>
            <w:shd w:val="clear" w:color="auto" w:fill="244061" w:themeFill="accent1" w:themeFillShade="80"/>
            <w:hideMark/>
          </w:tcPr>
          <w:p w14:paraId="79CDBA65" w14:textId="77777777" w:rsidR="00FE7AD5" w:rsidRPr="00665954" w:rsidRDefault="00FE7AD5" w:rsidP="00FE7AD5">
            <w:pPr>
              <w:ind w:right="-13" w:hanging="20"/>
              <w:contextualSpacing/>
              <w:jc w:val="both"/>
              <w:rPr>
                <w:rFonts w:ascii="Calibri" w:hAnsi="Calibri" w:cs="Calibri"/>
                <w:b/>
                <w:bCs/>
                <w:szCs w:val="24"/>
              </w:rPr>
            </w:pPr>
            <w:r w:rsidRPr="00665954">
              <w:rPr>
                <w:rFonts w:ascii="Calibri" w:hAnsi="Calibri" w:cs="Calibri"/>
                <w:b/>
                <w:bCs/>
                <w:szCs w:val="24"/>
              </w:rPr>
              <w:t>RISK LEVEL</w:t>
            </w:r>
          </w:p>
        </w:tc>
        <w:tc>
          <w:tcPr>
            <w:tcW w:w="7512" w:type="dxa"/>
            <w:shd w:val="clear" w:color="auto" w:fill="244061" w:themeFill="accent1" w:themeFillShade="80"/>
            <w:hideMark/>
          </w:tcPr>
          <w:p w14:paraId="6474A382" w14:textId="77777777" w:rsidR="00FE7AD5" w:rsidRPr="00665954" w:rsidRDefault="00FE7AD5" w:rsidP="00FE7AD5">
            <w:pPr>
              <w:ind w:left="360" w:hanging="360"/>
              <w:contextualSpacing/>
              <w:jc w:val="both"/>
              <w:rPr>
                <w:rFonts w:ascii="Calibri" w:hAnsi="Calibri" w:cs="Calibri"/>
                <w:b/>
                <w:bCs/>
                <w:szCs w:val="24"/>
              </w:rPr>
            </w:pPr>
            <w:r w:rsidRPr="00665954">
              <w:rPr>
                <w:rFonts w:ascii="Calibri" w:hAnsi="Calibri" w:cs="Calibri"/>
                <w:b/>
                <w:bCs/>
                <w:szCs w:val="24"/>
              </w:rPr>
              <w:t>COMMENTS</w:t>
            </w:r>
          </w:p>
        </w:tc>
      </w:tr>
      <w:tr w:rsidR="00FE7AD5" w:rsidRPr="00665954" w14:paraId="13F4771D" w14:textId="77777777" w:rsidTr="00FE7AD5">
        <w:trPr>
          <w:trHeight w:val="1857"/>
        </w:trPr>
        <w:tc>
          <w:tcPr>
            <w:tcW w:w="2494" w:type="dxa"/>
            <w:hideMark/>
          </w:tcPr>
          <w:p w14:paraId="5F118EE9" w14:textId="77777777" w:rsidR="00FE7AD5" w:rsidRPr="00665954" w:rsidRDefault="00FE7AD5" w:rsidP="00FE7AD5">
            <w:pPr>
              <w:ind w:left="-19" w:right="12" w:firstLine="19"/>
              <w:contextualSpacing/>
              <w:rPr>
                <w:rFonts w:ascii="Calibri" w:hAnsi="Calibri" w:cs="Calibri"/>
                <w:sz w:val="22"/>
              </w:rPr>
            </w:pPr>
            <w:r w:rsidRPr="00665954">
              <w:rPr>
                <w:rFonts w:ascii="Calibri" w:hAnsi="Calibri" w:cs="Calibri"/>
                <w:sz w:val="22"/>
              </w:rPr>
              <w:t xml:space="preserve">47 - Computer Virus/Malware </w:t>
            </w:r>
          </w:p>
        </w:tc>
        <w:tc>
          <w:tcPr>
            <w:tcW w:w="3035" w:type="dxa"/>
            <w:hideMark/>
          </w:tcPr>
          <w:p w14:paraId="3FA466EC" w14:textId="77777777" w:rsidR="00FE7AD5" w:rsidRPr="00665954" w:rsidRDefault="00FE7AD5" w:rsidP="00FE7AD5">
            <w:pPr>
              <w:ind w:left="-19" w:right="12" w:firstLine="19"/>
              <w:contextualSpacing/>
              <w:rPr>
                <w:rFonts w:ascii="Calibri" w:hAnsi="Calibri" w:cs="Calibri"/>
                <w:sz w:val="22"/>
              </w:rPr>
            </w:pPr>
            <w:r w:rsidRPr="00665954">
              <w:rPr>
                <w:rFonts w:ascii="Calibri" w:hAnsi="Calibri" w:cs="Calibri"/>
                <w:sz w:val="22"/>
              </w:rPr>
              <w:t>As a result of inadequate protection, or inappropriate system use, including accidental activation of email links by that lead to malware downloads, there is a risk that NatureScot systems becoming infected  with a malware or virus agent, resulting in NatureScot systems and data become unavailable, encrypted or corrupted, significant system downtime and huge operational impacts</w:t>
            </w:r>
          </w:p>
        </w:tc>
        <w:tc>
          <w:tcPr>
            <w:tcW w:w="6520" w:type="dxa"/>
            <w:hideMark/>
          </w:tcPr>
          <w:p w14:paraId="210D4341" w14:textId="77777777" w:rsidR="00FE7AD5" w:rsidRPr="00665954" w:rsidRDefault="00FE7AD5" w:rsidP="00FE7AD5">
            <w:pPr>
              <w:ind w:left="-19" w:right="12" w:firstLine="19"/>
              <w:contextualSpacing/>
              <w:rPr>
                <w:rFonts w:ascii="Calibri" w:hAnsi="Calibri" w:cs="Calibri"/>
                <w:sz w:val="22"/>
              </w:rPr>
            </w:pPr>
            <w:r w:rsidRPr="00665954">
              <w:rPr>
                <w:rFonts w:ascii="Calibri" w:hAnsi="Calibri" w:cs="Calibri"/>
                <w:sz w:val="22"/>
              </w:rPr>
              <w:t>*All file servers are protected by Sophos antivirus protection. Upgrades are performed automatically and can also be applied in an ad-hoc manner</w:t>
            </w:r>
            <w:r w:rsidRPr="00665954">
              <w:rPr>
                <w:rFonts w:ascii="Calibri" w:hAnsi="Calibri" w:cs="Calibri"/>
                <w:sz w:val="22"/>
              </w:rPr>
              <w:br/>
              <w:t>*All PCs are protected by Sophos antivirus protection. Upgrades are received on a daily basis but can be applied ad-hoc</w:t>
            </w:r>
            <w:r w:rsidRPr="00665954">
              <w:rPr>
                <w:rFonts w:ascii="Calibri" w:hAnsi="Calibri" w:cs="Calibri"/>
                <w:sz w:val="22"/>
              </w:rPr>
              <w:br/>
              <w:t xml:space="preserve">*All incoming emails are scanned for viruses. </w:t>
            </w:r>
            <w:r w:rsidRPr="00665954">
              <w:rPr>
                <w:rFonts w:ascii="Calibri" w:hAnsi="Calibri" w:cs="Calibri"/>
                <w:sz w:val="22"/>
              </w:rPr>
              <w:br/>
              <w:t>*All internet access, are scanned for viruses via Zscaler service.</w:t>
            </w:r>
            <w:r w:rsidRPr="00665954">
              <w:rPr>
                <w:rFonts w:ascii="Calibri" w:hAnsi="Calibri" w:cs="Calibri"/>
                <w:sz w:val="22"/>
              </w:rPr>
              <w:br/>
              <w:t>*Raise staff awareness of potential risks relating to email links and infected documents through regular communications.</w:t>
            </w:r>
            <w:r w:rsidRPr="00665954">
              <w:rPr>
                <w:rFonts w:ascii="Calibri" w:hAnsi="Calibri" w:cs="Calibri"/>
                <w:sz w:val="22"/>
              </w:rPr>
              <w:br/>
              <w:t>*Sandbox controls/ environment implemented</w:t>
            </w:r>
            <w:r w:rsidRPr="00665954">
              <w:rPr>
                <w:rFonts w:ascii="Calibri" w:hAnsi="Calibri" w:cs="Calibri"/>
                <w:sz w:val="22"/>
              </w:rPr>
              <w:br/>
              <w:t xml:space="preserve">*Control of USB devices </w:t>
            </w:r>
            <w:r w:rsidRPr="00665954">
              <w:rPr>
                <w:rFonts w:ascii="Calibri" w:hAnsi="Calibri" w:cs="Calibri"/>
                <w:sz w:val="22"/>
              </w:rPr>
              <w:br/>
              <w:t>*Awareness raising with staff via Blogs and update articles</w:t>
            </w:r>
            <w:r w:rsidRPr="00665954">
              <w:rPr>
                <w:rFonts w:ascii="Calibri" w:hAnsi="Calibri" w:cs="Calibri"/>
                <w:sz w:val="22"/>
              </w:rPr>
              <w:br/>
              <w:t>*Incident Management Group in place</w:t>
            </w:r>
            <w:r w:rsidRPr="00665954">
              <w:rPr>
                <w:rFonts w:ascii="Calibri" w:hAnsi="Calibri" w:cs="Calibri"/>
                <w:sz w:val="22"/>
              </w:rPr>
              <w:br/>
              <w:t xml:space="preserve">*Corporate data backed up to cloud </w:t>
            </w:r>
          </w:p>
        </w:tc>
        <w:tc>
          <w:tcPr>
            <w:tcW w:w="851" w:type="dxa"/>
            <w:hideMark/>
          </w:tcPr>
          <w:p w14:paraId="14D9CE16" w14:textId="77777777" w:rsidR="00FE7AD5" w:rsidRPr="00665954" w:rsidRDefault="00FE7AD5" w:rsidP="00FE7AD5">
            <w:pPr>
              <w:ind w:left="-19" w:right="12" w:firstLine="19"/>
              <w:contextualSpacing/>
              <w:rPr>
                <w:rFonts w:ascii="Calibri" w:hAnsi="Calibri" w:cs="Calibri"/>
                <w:sz w:val="22"/>
              </w:rPr>
            </w:pPr>
            <w:r w:rsidRPr="00665954">
              <w:rPr>
                <w:rFonts w:ascii="Calibri" w:hAnsi="Calibri" w:cs="Calibri"/>
                <w:sz w:val="22"/>
              </w:rPr>
              <w:t>4</w:t>
            </w:r>
          </w:p>
        </w:tc>
        <w:tc>
          <w:tcPr>
            <w:tcW w:w="850" w:type="dxa"/>
            <w:hideMark/>
          </w:tcPr>
          <w:p w14:paraId="02C3E1AF" w14:textId="77777777" w:rsidR="00FE7AD5" w:rsidRPr="00665954" w:rsidRDefault="00FE7AD5" w:rsidP="00FE7AD5">
            <w:pPr>
              <w:ind w:left="-19" w:right="12" w:firstLine="19"/>
              <w:contextualSpacing/>
              <w:rPr>
                <w:rFonts w:ascii="Calibri" w:hAnsi="Calibri" w:cs="Calibri"/>
                <w:sz w:val="22"/>
              </w:rPr>
            </w:pPr>
            <w:r w:rsidRPr="00665954">
              <w:rPr>
                <w:rFonts w:ascii="Calibri" w:hAnsi="Calibri" w:cs="Calibri"/>
                <w:sz w:val="22"/>
              </w:rPr>
              <w:t>3</w:t>
            </w:r>
          </w:p>
        </w:tc>
        <w:tc>
          <w:tcPr>
            <w:tcW w:w="851" w:type="dxa"/>
            <w:hideMark/>
          </w:tcPr>
          <w:p w14:paraId="2FB5B930" w14:textId="77777777" w:rsidR="00FE7AD5" w:rsidRPr="00665954" w:rsidRDefault="00FE7AD5" w:rsidP="00FE7AD5">
            <w:pPr>
              <w:ind w:left="-19" w:right="12" w:firstLine="19"/>
              <w:contextualSpacing/>
              <w:rPr>
                <w:rFonts w:ascii="Calibri" w:hAnsi="Calibri" w:cs="Calibri"/>
                <w:sz w:val="22"/>
              </w:rPr>
            </w:pPr>
            <w:r w:rsidRPr="00665954">
              <w:rPr>
                <w:rFonts w:ascii="Calibri" w:hAnsi="Calibri" w:cs="Calibri"/>
                <w:sz w:val="22"/>
              </w:rPr>
              <w:t>High</w:t>
            </w:r>
          </w:p>
        </w:tc>
        <w:tc>
          <w:tcPr>
            <w:tcW w:w="7512" w:type="dxa"/>
            <w:hideMark/>
          </w:tcPr>
          <w:p w14:paraId="698E2C45" w14:textId="77777777" w:rsidR="00FE7AD5" w:rsidRDefault="00FE7AD5" w:rsidP="00FE7AD5">
            <w:pPr>
              <w:rPr>
                <w:rFonts w:ascii="Calibri" w:hAnsi="Calibri" w:cs="Calibri"/>
                <w:sz w:val="22"/>
              </w:rPr>
            </w:pPr>
            <w:r>
              <w:rPr>
                <w:rFonts w:ascii="Calibri" w:hAnsi="Calibri" w:cs="Calibri"/>
                <w:sz w:val="22"/>
              </w:rPr>
              <w:t xml:space="preserve">At present we see no </w:t>
            </w:r>
            <w:proofErr w:type="spellStart"/>
            <w:r>
              <w:rPr>
                <w:rFonts w:ascii="Calibri" w:hAnsi="Calibri" w:cs="Calibri"/>
                <w:sz w:val="22"/>
              </w:rPr>
              <w:t>let up</w:t>
            </w:r>
            <w:proofErr w:type="spellEnd"/>
            <w:r>
              <w:rPr>
                <w:rFonts w:ascii="Calibri" w:hAnsi="Calibri" w:cs="Calibri"/>
                <w:sz w:val="22"/>
              </w:rPr>
              <w:t xml:space="preserve"> in the "high" risk status for the organisation, if anything, the risk is increasing as state actors look for alternative ways to attack Government agencies (so perhaps there's a route to Scottish Government infrastructure through our environment for example). There has been an increase in very sophisticated phishing attacks (hand crafted) recently, combined with social engineering. We must ensure staff at all levels of the organisation are aware or the risk</w:t>
            </w:r>
          </w:p>
          <w:p w14:paraId="0E454F00" w14:textId="77777777" w:rsidR="00FE7AD5" w:rsidRPr="00665954" w:rsidRDefault="00FE7AD5" w:rsidP="00FE7AD5">
            <w:pPr>
              <w:rPr>
                <w:rFonts w:ascii="Calibri" w:hAnsi="Calibri" w:cs="Calibri"/>
                <w:sz w:val="22"/>
              </w:rPr>
            </w:pPr>
          </w:p>
        </w:tc>
      </w:tr>
      <w:tr w:rsidR="00FE7AD5" w:rsidRPr="00665954" w14:paraId="0AF17E0E" w14:textId="77777777" w:rsidTr="00FE7AD5">
        <w:trPr>
          <w:trHeight w:val="1857"/>
        </w:trPr>
        <w:tc>
          <w:tcPr>
            <w:tcW w:w="2494" w:type="dxa"/>
            <w:shd w:val="clear" w:color="auto" w:fill="auto"/>
          </w:tcPr>
          <w:p w14:paraId="248A4B49" w14:textId="77777777" w:rsidR="00FE7AD5" w:rsidRPr="00665954" w:rsidRDefault="00FE7AD5" w:rsidP="00FE7AD5">
            <w:pPr>
              <w:ind w:left="-19" w:right="12" w:firstLine="19"/>
              <w:contextualSpacing/>
              <w:rPr>
                <w:rFonts w:ascii="Calibri" w:hAnsi="Calibri" w:cs="Calibri"/>
                <w:sz w:val="22"/>
              </w:rPr>
            </w:pPr>
            <w:r w:rsidRPr="00665954">
              <w:rPr>
                <w:sz w:val="22"/>
              </w:rPr>
              <w:t>253 - Peatland restoration target and budget.</w:t>
            </w:r>
          </w:p>
        </w:tc>
        <w:tc>
          <w:tcPr>
            <w:tcW w:w="3035" w:type="dxa"/>
            <w:shd w:val="clear" w:color="auto" w:fill="auto"/>
          </w:tcPr>
          <w:p w14:paraId="6876E863" w14:textId="77777777" w:rsidR="00FE7AD5" w:rsidRPr="00665954" w:rsidRDefault="00FE7AD5" w:rsidP="00FE7AD5">
            <w:pPr>
              <w:ind w:left="-19" w:right="12" w:firstLine="19"/>
              <w:contextualSpacing/>
              <w:rPr>
                <w:rFonts w:ascii="Calibri" w:hAnsi="Calibri" w:cs="Calibri"/>
                <w:sz w:val="22"/>
              </w:rPr>
            </w:pPr>
            <w:r w:rsidRPr="00665954">
              <w:rPr>
                <w:sz w:val="22"/>
              </w:rPr>
              <w:t>As a result of the immature and complex operating environment, there is a risk to: meeting the annual Peatland ACTION restoration hectare target; and spending the annual budget.</w:t>
            </w:r>
          </w:p>
        </w:tc>
        <w:tc>
          <w:tcPr>
            <w:tcW w:w="6520" w:type="dxa"/>
            <w:shd w:val="clear" w:color="auto" w:fill="auto"/>
          </w:tcPr>
          <w:p w14:paraId="34BE1900" w14:textId="77777777" w:rsidR="00FE7AD5" w:rsidRPr="00665954" w:rsidRDefault="00FE7AD5" w:rsidP="00FE7AD5">
            <w:pPr>
              <w:rPr>
                <w:sz w:val="22"/>
              </w:rPr>
            </w:pPr>
            <w:r w:rsidRPr="00665954">
              <w:rPr>
                <w:sz w:val="22"/>
              </w:rPr>
              <w:t>• Realistic planning</w:t>
            </w:r>
          </w:p>
          <w:p w14:paraId="7BD1D237" w14:textId="77777777" w:rsidR="00FE7AD5" w:rsidRPr="00665954" w:rsidRDefault="00FE7AD5" w:rsidP="00FE7AD5">
            <w:pPr>
              <w:rPr>
                <w:sz w:val="22"/>
              </w:rPr>
            </w:pPr>
            <w:r w:rsidRPr="00665954">
              <w:rPr>
                <w:sz w:val="22"/>
              </w:rPr>
              <w:t>• Invigorating demand</w:t>
            </w:r>
          </w:p>
          <w:p w14:paraId="3B7A712E" w14:textId="77777777" w:rsidR="00FE7AD5" w:rsidRPr="00665954" w:rsidRDefault="00FE7AD5" w:rsidP="00FE7AD5">
            <w:pPr>
              <w:rPr>
                <w:sz w:val="22"/>
              </w:rPr>
            </w:pPr>
            <w:r w:rsidRPr="00665954">
              <w:rPr>
                <w:sz w:val="22"/>
              </w:rPr>
              <w:t>• Real-time monitoring</w:t>
            </w:r>
          </w:p>
          <w:p w14:paraId="6354CC73" w14:textId="77777777" w:rsidR="00FE7AD5" w:rsidRPr="00665954" w:rsidRDefault="00FE7AD5" w:rsidP="00FE7AD5">
            <w:pPr>
              <w:rPr>
                <w:sz w:val="22"/>
              </w:rPr>
            </w:pPr>
            <w:r w:rsidRPr="00665954">
              <w:rPr>
                <w:sz w:val="22"/>
              </w:rPr>
              <w:t>• Increasing resilience to change in projections</w:t>
            </w:r>
          </w:p>
          <w:p w14:paraId="47343058" w14:textId="77777777" w:rsidR="00FE7AD5" w:rsidRPr="00665954" w:rsidRDefault="00FE7AD5" w:rsidP="00FE7AD5">
            <w:pPr>
              <w:rPr>
                <w:sz w:val="22"/>
              </w:rPr>
            </w:pPr>
            <w:r w:rsidRPr="00665954">
              <w:rPr>
                <w:sz w:val="22"/>
              </w:rPr>
              <w:t>• Regular and robust review and control</w:t>
            </w:r>
          </w:p>
          <w:p w14:paraId="382F6E45" w14:textId="77777777" w:rsidR="00FE7AD5" w:rsidRPr="00665954" w:rsidRDefault="00FE7AD5" w:rsidP="00FE7AD5">
            <w:pPr>
              <w:ind w:left="-19" w:right="12" w:firstLine="19"/>
              <w:contextualSpacing/>
              <w:rPr>
                <w:rFonts w:ascii="Calibri" w:hAnsi="Calibri" w:cs="Calibri"/>
                <w:sz w:val="22"/>
              </w:rPr>
            </w:pPr>
            <w:r w:rsidRPr="00665954">
              <w:rPr>
                <w:sz w:val="22"/>
              </w:rPr>
              <w:t>• New Guidance on operating during nesting season being update to allow risk based approach to operations during that period.</w:t>
            </w:r>
          </w:p>
        </w:tc>
        <w:tc>
          <w:tcPr>
            <w:tcW w:w="851" w:type="dxa"/>
            <w:shd w:val="clear" w:color="auto" w:fill="auto"/>
          </w:tcPr>
          <w:p w14:paraId="0EA61FCA" w14:textId="77777777" w:rsidR="00FE7AD5" w:rsidRPr="00665954" w:rsidRDefault="00FE7AD5" w:rsidP="00FE7AD5">
            <w:pPr>
              <w:ind w:left="-19" w:right="12" w:firstLine="19"/>
              <w:contextualSpacing/>
              <w:rPr>
                <w:rFonts w:ascii="Calibri" w:hAnsi="Calibri" w:cs="Calibri"/>
                <w:sz w:val="22"/>
              </w:rPr>
            </w:pPr>
            <w:r w:rsidRPr="00665954">
              <w:rPr>
                <w:sz w:val="22"/>
              </w:rPr>
              <w:t>4</w:t>
            </w:r>
          </w:p>
        </w:tc>
        <w:tc>
          <w:tcPr>
            <w:tcW w:w="850" w:type="dxa"/>
            <w:shd w:val="clear" w:color="auto" w:fill="auto"/>
          </w:tcPr>
          <w:p w14:paraId="161E503E" w14:textId="77777777" w:rsidR="00FE7AD5" w:rsidRPr="00665954" w:rsidRDefault="00FE7AD5" w:rsidP="00FE7AD5">
            <w:pPr>
              <w:ind w:left="-19" w:right="12" w:firstLine="19"/>
              <w:contextualSpacing/>
              <w:rPr>
                <w:rFonts w:ascii="Calibri" w:hAnsi="Calibri" w:cs="Calibri"/>
                <w:sz w:val="22"/>
              </w:rPr>
            </w:pPr>
            <w:r>
              <w:rPr>
                <w:sz w:val="22"/>
              </w:rPr>
              <w:t>3</w:t>
            </w:r>
          </w:p>
        </w:tc>
        <w:tc>
          <w:tcPr>
            <w:tcW w:w="851" w:type="dxa"/>
            <w:shd w:val="clear" w:color="auto" w:fill="auto"/>
          </w:tcPr>
          <w:p w14:paraId="23F9156B" w14:textId="77777777" w:rsidR="00FE7AD5" w:rsidRPr="00665954" w:rsidRDefault="00FE7AD5" w:rsidP="00FE7AD5">
            <w:pPr>
              <w:ind w:left="-19" w:right="12" w:firstLine="19"/>
              <w:contextualSpacing/>
              <w:rPr>
                <w:rFonts w:ascii="Calibri" w:hAnsi="Calibri" w:cs="Calibri"/>
                <w:sz w:val="22"/>
              </w:rPr>
            </w:pPr>
            <w:r w:rsidRPr="00665954">
              <w:rPr>
                <w:sz w:val="22"/>
              </w:rPr>
              <w:t>High</w:t>
            </w:r>
          </w:p>
        </w:tc>
        <w:tc>
          <w:tcPr>
            <w:tcW w:w="7512" w:type="dxa"/>
            <w:shd w:val="clear" w:color="auto" w:fill="auto"/>
          </w:tcPr>
          <w:p w14:paraId="25B77ADF" w14:textId="77777777" w:rsidR="00FE7AD5" w:rsidRPr="00665954" w:rsidRDefault="00FE7AD5" w:rsidP="00FE7AD5">
            <w:pPr>
              <w:rPr>
                <w:rFonts w:ascii="Calibri" w:hAnsi="Calibri" w:cs="Calibri"/>
                <w:sz w:val="22"/>
              </w:rPr>
            </w:pPr>
            <w:r>
              <w:rPr>
                <w:rFonts w:ascii="Calibri" w:hAnsi="Calibri" w:cs="Calibri"/>
                <w:sz w:val="22"/>
              </w:rPr>
              <w:t>The likelihood of the risk remains 3 (high) because: - We currently have limited projects to have confidence against our 6100 ha. target. The uncertainties around peatland code, green finance and wider land management consideration are the key reasons for a limited pipeline. - If we do make this target, there is a risk of overspend given that the cost/ha is much higher that the budget - we have confidence in spending our £4.3m resource budget because of the demand for the Project Development Support Scheme (PDSS) This is despite success if controls - more stringent/robust programme planning - stimulating demand through various communications - progress on the speed of Permitted Development Rights (PDR) prior-notification process - operating in the bird breeding season, - expanding our PO network/capacity - expanded contractor capacity - comfort with technical guidance - supported the Peatland Code process There is less risk on the resource budget due to overcommitment. Thus, the focus of our controls are on: - POs focused converting demand into projects. - accelerating PDSS to bring forward projects into 2023/24 - use of standard costs to bring cost/ha under control. - exploring use of EU Shared Islands Fund to bring in resources for capital projects - if needed.</w:t>
            </w:r>
          </w:p>
        </w:tc>
      </w:tr>
      <w:tr w:rsidR="00FE7AD5" w:rsidRPr="00665954" w14:paraId="28AFEEBD" w14:textId="77777777" w:rsidTr="00FE7AD5">
        <w:trPr>
          <w:trHeight w:val="1857"/>
        </w:trPr>
        <w:tc>
          <w:tcPr>
            <w:tcW w:w="2494" w:type="dxa"/>
            <w:shd w:val="clear" w:color="auto" w:fill="auto"/>
          </w:tcPr>
          <w:p w14:paraId="6D7D85AC" w14:textId="77777777" w:rsidR="00FE7AD5" w:rsidRPr="00665954" w:rsidRDefault="00FE7AD5" w:rsidP="00FE7AD5">
            <w:pPr>
              <w:ind w:left="-19" w:right="12" w:firstLine="19"/>
              <w:contextualSpacing/>
              <w:rPr>
                <w:sz w:val="22"/>
              </w:rPr>
            </w:pPr>
            <w:r w:rsidRPr="00665954">
              <w:rPr>
                <w:sz w:val="22"/>
              </w:rPr>
              <w:t>393 - Future Funding of NatureScot</w:t>
            </w:r>
          </w:p>
        </w:tc>
        <w:tc>
          <w:tcPr>
            <w:tcW w:w="3035" w:type="dxa"/>
            <w:shd w:val="clear" w:color="auto" w:fill="auto"/>
          </w:tcPr>
          <w:p w14:paraId="037E063C" w14:textId="77777777" w:rsidR="00FE7AD5" w:rsidRPr="00665954" w:rsidRDefault="00FE7AD5" w:rsidP="00FE7AD5">
            <w:pPr>
              <w:ind w:left="-19" w:right="12" w:firstLine="19"/>
              <w:contextualSpacing/>
              <w:rPr>
                <w:sz w:val="22"/>
              </w:rPr>
            </w:pPr>
            <w:r w:rsidRPr="00665954">
              <w:rPr>
                <w:rFonts w:ascii="Calibri" w:hAnsi="Calibri" w:cs="Calibri"/>
                <w:bCs/>
                <w:sz w:val="22"/>
              </w:rPr>
              <w:t>As a result of on-going reductions in public expenditure or new cost pressures there is a risk our grant-in-aid settlement may not match statutory and fixed costs as well as corporate plan priorities.  Unless other funding sources are secured this could result in an inability to adequately resource delivery of agreed priorities, leading to failed outcomes and reputational damage.</w:t>
            </w:r>
          </w:p>
        </w:tc>
        <w:tc>
          <w:tcPr>
            <w:tcW w:w="6520" w:type="dxa"/>
            <w:shd w:val="clear" w:color="auto" w:fill="auto"/>
          </w:tcPr>
          <w:p w14:paraId="14C1CAE5" w14:textId="77777777" w:rsidR="00FE7AD5" w:rsidRPr="00665954" w:rsidRDefault="00FE7AD5" w:rsidP="00FE7AD5">
            <w:pPr>
              <w:contextualSpacing/>
              <w:rPr>
                <w:rFonts w:ascii="Calibri" w:hAnsi="Calibri" w:cs="Calibri"/>
                <w:bCs/>
                <w:sz w:val="22"/>
              </w:rPr>
            </w:pPr>
            <w:r w:rsidRPr="00665954">
              <w:rPr>
                <w:rFonts w:ascii="Calibri" w:hAnsi="Calibri" w:cs="Calibri"/>
                <w:bCs/>
                <w:sz w:val="22"/>
              </w:rPr>
              <w:t>* Ensure that our priorities are aligned with published Programmes for Government and ministerial portfolio priorities, specifically those aligned to the Programme for Government and Bute House Agreement</w:t>
            </w:r>
          </w:p>
          <w:p w14:paraId="69917547" w14:textId="77777777" w:rsidR="00FE7AD5" w:rsidRPr="00665954" w:rsidRDefault="00FE7AD5" w:rsidP="00FE7AD5">
            <w:pPr>
              <w:contextualSpacing/>
              <w:rPr>
                <w:rFonts w:ascii="Calibri" w:hAnsi="Calibri" w:cs="Calibri"/>
                <w:bCs/>
                <w:sz w:val="22"/>
              </w:rPr>
            </w:pPr>
            <w:r w:rsidRPr="00665954">
              <w:rPr>
                <w:rFonts w:ascii="Calibri" w:hAnsi="Calibri" w:cs="Calibri"/>
                <w:bCs/>
                <w:sz w:val="22"/>
              </w:rPr>
              <w:t>* Provide realistic and evidenced assessment of the impact of possible cuts in our grant-in-aid budget through the annual Spending Review process.</w:t>
            </w:r>
          </w:p>
          <w:p w14:paraId="0C4D0694" w14:textId="77777777" w:rsidR="00FE7AD5" w:rsidRPr="00665954" w:rsidRDefault="00FE7AD5" w:rsidP="00FE7AD5">
            <w:pPr>
              <w:contextualSpacing/>
              <w:rPr>
                <w:rFonts w:ascii="Calibri" w:hAnsi="Calibri" w:cs="Calibri"/>
                <w:bCs/>
                <w:sz w:val="22"/>
              </w:rPr>
            </w:pPr>
            <w:r w:rsidRPr="00665954">
              <w:rPr>
                <w:rFonts w:ascii="Calibri" w:hAnsi="Calibri" w:cs="Calibri"/>
                <w:bCs/>
                <w:sz w:val="22"/>
              </w:rPr>
              <w:t xml:space="preserve">* Develop and put forward proposals, through the annual Spending Review process and other avenues with Scottish Government, for delivering more and better outcomes for nature and people through wider Scottish Government funding. </w:t>
            </w:r>
          </w:p>
          <w:p w14:paraId="020210D2" w14:textId="77777777" w:rsidR="00FE7AD5" w:rsidRPr="00665954" w:rsidRDefault="00FE7AD5" w:rsidP="00FE7AD5">
            <w:pPr>
              <w:contextualSpacing/>
              <w:rPr>
                <w:rFonts w:ascii="Calibri" w:hAnsi="Calibri" w:cs="Calibri"/>
                <w:bCs/>
                <w:sz w:val="22"/>
              </w:rPr>
            </w:pPr>
            <w:r w:rsidRPr="00665954">
              <w:rPr>
                <w:rFonts w:ascii="Calibri" w:hAnsi="Calibri" w:cs="Calibri"/>
                <w:bCs/>
                <w:sz w:val="22"/>
              </w:rPr>
              <w:t>* Reduce expenditure in some business areas through budget setting processes aligned to business planning cycle.</w:t>
            </w:r>
          </w:p>
          <w:p w14:paraId="244BEC7B" w14:textId="77777777" w:rsidR="00FE7AD5" w:rsidRPr="00665954" w:rsidRDefault="00FE7AD5" w:rsidP="00FE7AD5">
            <w:pPr>
              <w:contextualSpacing/>
              <w:rPr>
                <w:rFonts w:ascii="Calibri" w:hAnsi="Calibri" w:cs="Calibri"/>
                <w:bCs/>
                <w:sz w:val="22"/>
              </w:rPr>
            </w:pPr>
            <w:r w:rsidRPr="00665954">
              <w:rPr>
                <w:rFonts w:ascii="Calibri" w:hAnsi="Calibri" w:cs="Calibri"/>
                <w:bCs/>
                <w:sz w:val="22"/>
              </w:rPr>
              <w:t>* Identify efficiencies and savings in our current spending and ways of working to maximise the resources available for front line delivery.</w:t>
            </w:r>
          </w:p>
          <w:p w14:paraId="0FBBFA43" w14:textId="77777777" w:rsidR="00FE7AD5" w:rsidRPr="00665954" w:rsidRDefault="00FE7AD5" w:rsidP="00FE7AD5">
            <w:pPr>
              <w:contextualSpacing/>
              <w:rPr>
                <w:rFonts w:ascii="Calibri" w:hAnsi="Calibri" w:cs="Calibri"/>
                <w:bCs/>
                <w:sz w:val="22"/>
              </w:rPr>
            </w:pPr>
            <w:r w:rsidRPr="00665954">
              <w:rPr>
                <w:rFonts w:ascii="Calibri" w:hAnsi="Calibri" w:cs="Calibri"/>
                <w:bCs/>
                <w:sz w:val="22"/>
              </w:rPr>
              <w:lastRenderedPageBreak/>
              <w:t>* Have an effective communications strategy in place which promotes the added value of our work.</w:t>
            </w:r>
          </w:p>
          <w:p w14:paraId="397CA313" w14:textId="77777777" w:rsidR="00FE7AD5" w:rsidRPr="00665954" w:rsidRDefault="00FE7AD5" w:rsidP="00FE7AD5">
            <w:pPr>
              <w:contextualSpacing/>
              <w:rPr>
                <w:rFonts w:ascii="Calibri" w:hAnsi="Calibri" w:cs="Calibri"/>
                <w:bCs/>
                <w:sz w:val="22"/>
              </w:rPr>
            </w:pPr>
            <w:r w:rsidRPr="00665954">
              <w:rPr>
                <w:rFonts w:ascii="Calibri" w:hAnsi="Calibri" w:cs="Calibri"/>
                <w:bCs/>
                <w:sz w:val="22"/>
              </w:rPr>
              <w:t>* Identify and implement opportunities to generate income from the services we provide.</w:t>
            </w:r>
          </w:p>
          <w:p w14:paraId="7D88D55C" w14:textId="77777777" w:rsidR="00FE7AD5" w:rsidRPr="00665954" w:rsidRDefault="00FE7AD5" w:rsidP="00FE7AD5">
            <w:pPr>
              <w:contextualSpacing/>
              <w:rPr>
                <w:rFonts w:ascii="Calibri" w:hAnsi="Calibri" w:cs="Calibri"/>
                <w:bCs/>
                <w:sz w:val="22"/>
              </w:rPr>
            </w:pPr>
            <w:r w:rsidRPr="00665954">
              <w:rPr>
                <w:rFonts w:ascii="Calibri" w:hAnsi="Calibri" w:cs="Calibri"/>
                <w:bCs/>
                <w:sz w:val="22"/>
              </w:rPr>
              <w:t>* Identify and implement opportunities for external funding of NatureScot-led work through the business planning process (including at Outcome and Activity levels) and at the project development stage for significant scale projects.</w:t>
            </w:r>
          </w:p>
          <w:p w14:paraId="056E12E0" w14:textId="77777777" w:rsidR="00FE7AD5" w:rsidRPr="00665954" w:rsidRDefault="00FE7AD5" w:rsidP="00FE7AD5">
            <w:pPr>
              <w:contextualSpacing/>
              <w:rPr>
                <w:rFonts w:ascii="Calibri" w:hAnsi="Calibri" w:cs="Calibri"/>
                <w:bCs/>
                <w:sz w:val="22"/>
              </w:rPr>
            </w:pPr>
            <w:r w:rsidRPr="00665954">
              <w:rPr>
                <w:rFonts w:ascii="Calibri" w:hAnsi="Calibri" w:cs="Calibri"/>
                <w:bCs/>
                <w:sz w:val="22"/>
              </w:rPr>
              <w:t>* Develop proposals for new, preventative projects that can help deliver a wider set of SG priorities, and build awareness and support of these.</w:t>
            </w:r>
          </w:p>
          <w:p w14:paraId="6AD6D6F1" w14:textId="77777777" w:rsidR="00FE7AD5" w:rsidRPr="00665954" w:rsidRDefault="00FE7AD5" w:rsidP="00FE7AD5">
            <w:pPr>
              <w:rPr>
                <w:sz w:val="22"/>
              </w:rPr>
            </w:pPr>
            <w:r w:rsidRPr="00665954">
              <w:rPr>
                <w:rFonts w:ascii="Calibri" w:hAnsi="Calibri" w:cs="Calibri"/>
                <w:bCs/>
                <w:sz w:val="22"/>
              </w:rPr>
              <w:t>* Develop and refresh a short, medium and longer term financial plan based on potential financial scenarios.</w:t>
            </w:r>
          </w:p>
        </w:tc>
        <w:tc>
          <w:tcPr>
            <w:tcW w:w="851" w:type="dxa"/>
            <w:shd w:val="clear" w:color="auto" w:fill="auto"/>
          </w:tcPr>
          <w:p w14:paraId="4F00C4E6" w14:textId="77777777" w:rsidR="00FE7AD5" w:rsidRPr="00665954" w:rsidRDefault="00FE7AD5" w:rsidP="00FE7AD5">
            <w:pPr>
              <w:ind w:left="-19" w:right="12" w:firstLine="19"/>
              <w:contextualSpacing/>
              <w:rPr>
                <w:sz w:val="22"/>
              </w:rPr>
            </w:pPr>
            <w:r w:rsidRPr="00665954">
              <w:rPr>
                <w:rFonts w:ascii="Calibri" w:hAnsi="Calibri" w:cs="Calibri"/>
                <w:bCs/>
                <w:sz w:val="22"/>
              </w:rPr>
              <w:lastRenderedPageBreak/>
              <w:t>4</w:t>
            </w:r>
          </w:p>
        </w:tc>
        <w:tc>
          <w:tcPr>
            <w:tcW w:w="850" w:type="dxa"/>
            <w:shd w:val="clear" w:color="auto" w:fill="auto"/>
          </w:tcPr>
          <w:p w14:paraId="6B8E9461" w14:textId="77777777" w:rsidR="00FE7AD5" w:rsidRPr="00665954" w:rsidRDefault="00FE7AD5" w:rsidP="00FE7AD5">
            <w:pPr>
              <w:ind w:left="-19" w:right="12" w:firstLine="19"/>
              <w:contextualSpacing/>
              <w:rPr>
                <w:sz w:val="22"/>
              </w:rPr>
            </w:pPr>
            <w:r w:rsidRPr="00665954">
              <w:rPr>
                <w:rFonts w:ascii="Calibri" w:hAnsi="Calibri" w:cs="Calibri"/>
                <w:bCs/>
                <w:sz w:val="22"/>
              </w:rPr>
              <w:t>3</w:t>
            </w:r>
          </w:p>
        </w:tc>
        <w:tc>
          <w:tcPr>
            <w:tcW w:w="851" w:type="dxa"/>
            <w:shd w:val="clear" w:color="auto" w:fill="auto"/>
          </w:tcPr>
          <w:p w14:paraId="57DF2B7F" w14:textId="77777777" w:rsidR="00FE7AD5" w:rsidRPr="00665954" w:rsidRDefault="00FE7AD5" w:rsidP="00FE7AD5">
            <w:pPr>
              <w:ind w:left="-19" w:right="12" w:firstLine="19"/>
              <w:contextualSpacing/>
              <w:rPr>
                <w:sz w:val="22"/>
              </w:rPr>
            </w:pPr>
            <w:r w:rsidRPr="00665954">
              <w:rPr>
                <w:rFonts w:ascii="Calibri" w:hAnsi="Calibri" w:cs="Calibri"/>
                <w:bCs/>
                <w:sz w:val="22"/>
              </w:rPr>
              <w:t>High</w:t>
            </w:r>
          </w:p>
        </w:tc>
        <w:tc>
          <w:tcPr>
            <w:tcW w:w="7512" w:type="dxa"/>
            <w:shd w:val="clear" w:color="auto" w:fill="auto"/>
          </w:tcPr>
          <w:p w14:paraId="27949475" w14:textId="77777777" w:rsidR="00FE7AD5" w:rsidRDefault="00FE7AD5" w:rsidP="00FE7AD5">
            <w:pPr>
              <w:rPr>
                <w:rFonts w:ascii="Calibri" w:hAnsi="Calibri" w:cs="Calibri"/>
                <w:sz w:val="22"/>
              </w:rPr>
            </w:pPr>
            <w:r>
              <w:rPr>
                <w:rFonts w:ascii="Calibri" w:hAnsi="Calibri" w:cs="Calibri"/>
                <w:sz w:val="22"/>
              </w:rPr>
              <w:t>Risk continues to be High for NatureScot. Prioritisation and budget scenarios work complete and will be covered at SLT on 19 September. Separately, discussions underway with The Environment and Forestry Directorate (ENFOR) on agreeing a path to a balanced budget. Pay remit discussions indicate new additional pressures emerging that will also need to be taken into account.</w:t>
            </w:r>
          </w:p>
          <w:p w14:paraId="0A1026DF" w14:textId="77777777" w:rsidR="00FE7AD5" w:rsidRPr="00665954" w:rsidRDefault="00FE7AD5" w:rsidP="00FE7AD5">
            <w:pPr>
              <w:rPr>
                <w:sz w:val="22"/>
              </w:rPr>
            </w:pPr>
          </w:p>
        </w:tc>
      </w:tr>
    </w:tbl>
    <w:p w14:paraId="6C12186A" w14:textId="487F5C94" w:rsidR="00554D77" w:rsidRDefault="00554D77" w:rsidP="00554D77"/>
    <w:p w14:paraId="590F85A9" w14:textId="401FFF6E" w:rsidR="00FE7AD5" w:rsidRDefault="00FE7AD5" w:rsidP="00554D77"/>
    <w:p w14:paraId="2696E612" w14:textId="0605027B" w:rsidR="00FE7AD5" w:rsidRDefault="00FE7AD5" w:rsidP="00554D77"/>
    <w:p w14:paraId="093CD62B" w14:textId="7DF0ECE9" w:rsidR="00FE7AD5" w:rsidRDefault="00FE7AD5" w:rsidP="00554D77"/>
    <w:p w14:paraId="1EBD96D1" w14:textId="6A4F8041" w:rsidR="00FE7AD5" w:rsidRDefault="00FE7AD5" w:rsidP="00554D77"/>
    <w:p w14:paraId="06F81D86" w14:textId="77916456" w:rsidR="00FE7AD5" w:rsidRDefault="00FE7AD5" w:rsidP="00554D77"/>
    <w:p w14:paraId="1FC31C19" w14:textId="1B19B171" w:rsidR="00FE7AD5" w:rsidRDefault="00FE7AD5" w:rsidP="00554D77"/>
    <w:p w14:paraId="43B90508" w14:textId="2C02DA9A" w:rsidR="00FE7AD5" w:rsidRDefault="00FE7AD5" w:rsidP="00554D77"/>
    <w:p w14:paraId="0488FF7F" w14:textId="16BE4B6F" w:rsidR="00FE7AD5" w:rsidRDefault="00FE7AD5" w:rsidP="00554D77"/>
    <w:p w14:paraId="1D609FD1" w14:textId="1EDFDB23" w:rsidR="00FE7AD5" w:rsidRDefault="00FE7AD5" w:rsidP="00554D77"/>
    <w:p w14:paraId="0CE688C3" w14:textId="0319596A" w:rsidR="00FE7AD5" w:rsidRDefault="00FE7AD5" w:rsidP="00554D77"/>
    <w:p w14:paraId="7E87F04D" w14:textId="401AAE0A" w:rsidR="00FE7AD5" w:rsidRDefault="00FE7AD5" w:rsidP="00554D77"/>
    <w:p w14:paraId="5A938DF9" w14:textId="69BA6937" w:rsidR="00FE7AD5" w:rsidRDefault="00FE7AD5" w:rsidP="00554D77"/>
    <w:p w14:paraId="2F634211" w14:textId="0DEA4CE9" w:rsidR="00FE7AD5" w:rsidRDefault="00FE7AD5" w:rsidP="00554D77"/>
    <w:p w14:paraId="70954C1A" w14:textId="2A9569E6" w:rsidR="00FE7AD5" w:rsidRDefault="00FE7AD5" w:rsidP="00554D77"/>
    <w:p w14:paraId="410C581F" w14:textId="119D869D" w:rsidR="00FE7AD5" w:rsidRDefault="00FE7AD5" w:rsidP="00554D77"/>
    <w:p w14:paraId="6341F758" w14:textId="74BAE1A7" w:rsidR="00FE7AD5" w:rsidRDefault="00FE7AD5" w:rsidP="00554D77"/>
    <w:p w14:paraId="6D13F734" w14:textId="1C9CAEBD" w:rsidR="00FE7AD5" w:rsidRDefault="00FE7AD5"/>
    <w:sectPr w:rsidR="00FE7AD5" w:rsidSect="00554D77">
      <w:pgSz w:w="23811" w:h="16838" w:orient="landscape" w:code="8"/>
      <w:pgMar w:top="1440" w:right="993"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78CB" w14:textId="77777777" w:rsidR="003E3D2F" w:rsidRDefault="003E3D2F" w:rsidP="00204D20">
      <w:pPr>
        <w:spacing w:after="0" w:line="240" w:lineRule="auto"/>
      </w:pPr>
      <w:r>
        <w:separator/>
      </w:r>
    </w:p>
  </w:endnote>
  <w:endnote w:type="continuationSeparator" w:id="0">
    <w:p w14:paraId="6CAD7128" w14:textId="77777777" w:rsidR="003E3D2F" w:rsidRDefault="003E3D2F"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6976" w14:textId="77777777" w:rsidR="000965F5" w:rsidRDefault="000965F5">
    <w:pPr>
      <w:pStyle w:val="Footer"/>
      <w:jc w:val="center"/>
    </w:pPr>
  </w:p>
  <w:p w14:paraId="15BE90C9" w14:textId="77777777" w:rsidR="000965F5" w:rsidRDefault="00096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4F92" w14:textId="77777777" w:rsidR="000965F5" w:rsidRDefault="000965F5">
    <w:pPr>
      <w:pStyle w:val="Footer"/>
      <w:jc w:val="center"/>
    </w:pPr>
  </w:p>
  <w:p w14:paraId="20364FD6" w14:textId="77777777" w:rsidR="000965F5" w:rsidRDefault="00096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10CB" w14:textId="77777777" w:rsidR="003E3D2F" w:rsidRDefault="003E3D2F" w:rsidP="00204D20">
      <w:pPr>
        <w:spacing w:after="0" w:line="240" w:lineRule="auto"/>
      </w:pPr>
      <w:r>
        <w:separator/>
      </w:r>
    </w:p>
  </w:footnote>
  <w:footnote w:type="continuationSeparator" w:id="0">
    <w:p w14:paraId="76432131" w14:textId="77777777" w:rsidR="003E3D2F" w:rsidRDefault="003E3D2F" w:rsidP="00204D20">
      <w:pPr>
        <w:spacing w:after="0" w:line="240" w:lineRule="auto"/>
      </w:pPr>
      <w:r>
        <w:continuationSeparator/>
      </w:r>
    </w:p>
  </w:footnote>
  <w:footnote w:id="1">
    <w:p w14:paraId="54035D52" w14:textId="77777777" w:rsidR="000965F5" w:rsidRDefault="000965F5" w:rsidP="007C3147">
      <w:pPr>
        <w:pStyle w:val="FootnoteText"/>
      </w:pPr>
      <w:r>
        <w:rPr>
          <w:rStyle w:val="FootnoteReference"/>
        </w:rPr>
        <w:footnoteRef/>
      </w:r>
      <w:r>
        <w:t xml:space="preserve"> CIPD Health and Wellbeing Report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225D" w14:textId="374F86DE" w:rsidR="000965F5" w:rsidRPr="00A22E32" w:rsidRDefault="00A22E32" w:rsidP="00A22E32">
    <w:pPr>
      <w:pStyle w:val="Header"/>
      <w:jc w:val="right"/>
      <w:rPr>
        <w:b/>
        <w:bCs/>
      </w:rPr>
    </w:pPr>
    <w:r w:rsidRPr="00A22E32">
      <w:rPr>
        <w:b/>
        <w:bCs/>
      </w:rPr>
      <w:t>BOARD/209/11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7F9"/>
    <w:multiLevelType w:val="hybridMultilevel"/>
    <w:tmpl w:val="824C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60F5E"/>
    <w:multiLevelType w:val="hybridMultilevel"/>
    <w:tmpl w:val="62AA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013D3"/>
    <w:multiLevelType w:val="hybridMultilevel"/>
    <w:tmpl w:val="3A764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4600BB"/>
    <w:multiLevelType w:val="hybridMultilevel"/>
    <w:tmpl w:val="8B70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B543A"/>
    <w:multiLevelType w:val="hybridMultilevel"/>
    <w:tmpl w:val="F054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237CD"/>
    <w:multiLevelType w:val="hybridMultilevel"/>
    <w:tmpl w:val="C1A6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2353DD"/>
    <w:multiLevelType w:val="hybridMultilevel"/>
    <w:tmpl w:val="D2C6A2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3057E"/>
    <w:multiLevelType w:val="hybridMultilevel"/>
    <w:tmpl w:val="BF38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DD7B05"/>
    <w:multiLevelType w:val="hybridMultilevel"/>
    <w:tmpl w:val="9752A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1B04AF"/>
    <w:multiLevelType w:val="hybridMultilevel"/>
    <w:tmpl w:val="B108F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8687B"/>
    <w:multiLevelType w:val="hybridMultilevel"/>
    <w:tmpl w:val="77A69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C273E6"/>
    <w:multiLevelType w:val="hybridMultilevel"/>
    <w:tmpl w:val="1AD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A344A"/>
    <w:multiLevelType w:val="hybridMultilevel"/>
    <w:tmpl w:val="72A4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F5064"/>
    <w:multiLevelType w:val="hybridMultilevel"/>
    <w:tmpl w:val="77125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C3D3E"/>
    <w:multiLevelType w:val="hybridMultilevel"/>
    <w:tmpl w:val="C61A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2211E"/>
    <w:multiLevelType w:val="hybridMultilevel"/>
    <w:tmpl w:val="D660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B4D33"/>
    <w:multiLevelType w:val="hybridMultilevel"/>
    <w:tmpl w:val="883E2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170081"/>
    <w:multiLevelType w:val="hybridMultilevel"/>
    <w:tmpl w:val="F360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E63C1C"/>
    <w:multiLevelType w:val="hybridMultilevel"/>
    <w:tmpl w:val="D436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54958"/>
    <w:multiLevelType w:val="hybridMultilevel"/>
    <w:tmpl w:val="2214B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F820AF"/>
    <w:multiLevelType w:val="hybridMultilevel"/>
    <w:tmpl w:val="C916DA72"/>
    <w:lvl w:ilvl="0" w:tplc="08090001">
      <w:start w:val="1"/>
      <w:numFmt w:val="bullet"/>
      <w:lvlText w:val=""/>
      <w:lvlJc w:val="left"/>
      <w:pPr>
        <w:ind w:left="643" w:hanging="360"/>
      </w:pPr>
      <w:rPr>
        <w:rFonts w:ascii="Symbol" w:hAnsi="Symbol" w:hint="default"/>
      </w:rPr>
    </w:lvl>
    <w:lvl w:ilvl="1" w:tplc="A30EECB6">
      <w:start w:val="4"/>
      <w:numFmt w:val="bullet"/>
      <w:lvlText w:val="-"/>
      <w:lvlJc w:val="left"/>
      <w:pPr>
        <w:ind w:left="1363" w:hanging="360"/>
      </w:pPr>
      <w:rPr>
        <w:rFonts w:ascii="Calibri" w:eastAsiaTheme="minorHAnsi" w:hAnsi="Calibri" w:cs="Calibri" w:hint="default"/>
        <w:color w:val="auto"/>
        <w:sz w:val="24"/>
      </w:r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1" w15:restartNumberingAfterBreak="0">
    <w:nsid w:val="65856631"/>
    <w:multiLevelType w:val="hybridMultilevel"/>
    <w:tmpl w:val="2800CA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93706C"/>
    <w:multiLevelType w:val="hybridMultilevel"/>
    <w:tmpl w:val="4A145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824180"/>
    <w:multiLevelType w:val="hybridMultilevel"/>
    <w:tmpl w:val="163A02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AA2601"/>
    <w:multiLevelType w:val="hybridMultilevel"/>
    <w:tmpl w:val="4EFA5850"/>
    <w:lvl w:ilvl="0" w:tplc="8CF4F212">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7BE7D84"/>
    <w:multiLevelType w:val="hybridMultilevel"/>
    <w:tmpl w:val="EB5CD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9E103B"/>
    <w:multiLevelType w:val="hybridMultilevel"/>
    <w:tmpl w:val="AA0A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195F46"/>
    <w:multiLevelType w:val="hybridMultilevel"/>
    <w:tmpl w:val="BB322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4493378">
    <w:abstractNumId w:val="24"/>
  </w:num>
  <w:num w:numId="2" w16cid:durableId="194582545">
    <w:abstractNumId w:val="6"/>
  </w:num>
  <w:num w:numId="3" w16cid:durableId="897127740">
    <w:abstractNumId w:val="20"/>
  </w:num>
  <w:num w:numId="4" w16cid:durableId="1554733401">
    <w:abstractNumId w:val="11"/>
  </w:num>
  <w:num w:numId="5" w16cid:durableId="894506470">
    <w:abstractNumId w:val="23"/>
  </w:num>
  <w:num w:numId="6" w16cid:durableId="1691447221">
    <w:abstractNumId w:val="8"/>
  </w:num>
  <w:num w:numId="7" w16cid:durableId="1688945187">
    <w:abstractNumId w:val="21"/>
  </w:num>
  <w:num w:numId="8" w16cid:durableId="1532065819">
    <w:abstractNumId w:val="16"/>
  </w:num>
  <w:num w:numId="9" w16cid:durableId="1553224256">
    <w:abstractNumId w:val="19"/>
  </w:num>
  <w:num w:numId="10" w16cid:durableId="1193222897">
    <w:abstractNumId w:val="10"/>
  </w:num>
  <w:num w:numId="11" w16cid:durableId="511455780">
    <w:abstractNumId w:val="25"/>
  </w:num>
  <w:num w:numId="12" w16cid:durableId="74016433">
    <w:abstractNumId w:val="2"/>
  </w:num>
  <w:num w:numId="13" w16cid:durableId="1747649601">
    <w:abstractNumId w:val="5"/>
  </w:num>
  <w:num w:numId="14" w16cid:durableId="1469781770">
    <w:abstractNumId w:val="7"/>
  </w:num>
  <w:num w:numId="15" w16cid:durableId="1809660328">
    <w:abstractNumId w:val="27"/>
  </w:num>
  <w:num w:numId="16" w16cid:durableId="120347474">
    <w:abstractNumId w:val="0"/>
  </w:num>
  <w:num w:numId="17" w16cid:durableId="750468731">
    <w:abstractNumId w:val="18"/>
  </w:num>
  <w:num w:numId="18" w16cid:durableId="1859538624">
    <w:abstractNumId w:val="17"/>
  </w:num>
  <w:num w:numId="19" w16cid:durableId="1329595431">
    <w:abstractNumId w:val="15"/>
  </w:num>
  <w:num w:numId="20" w16cid:durableId="1857377602">
    <w:abstractNumId w:val="1"/>
  </w:num>
  <w:num w:numId="21" w16cid:durableId="1566066686">
    <w:abstractNumId w:val="14"/>
  </w:num>
  <w:num w:numId="22" w16cid:durableId="107621772">
    <w:abstractNumId w:val="26"/>
  </w:num>
  <w:num w:numId="23" w16cid:durableId="105738334">
    <w:abstractNumId w:val="22"/>
  </w:num>
  <w:num w:numId="24" w16cid:durableId="883178813">
    <w:abstractNumId w:val="13"/>
  </w:num>
  <w:num w:numId="25" w16cid:durableId="760028362">
    <w:abstractNumId w:val="12"/>
  </w:num>
  <w:num w:numId="26" w16cid:durableId="2100172126">
    <w:abstractNumId w:val="4"/>
  </w:num>
  <w:num w:numId="27" w16cid:durableId="294802577">
    <w:abstractNumId w:val="9"/>
  </w:num>
  <w:num w:numId="28" w16cid:durableId="60916338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20"/>
    <w:rsid w:val="000048EA"/>
    <w:rsid w:val="00014497"/>
    <w:rsid w:val="00022898"/>
    <w:rsid w:val="00025C49"/>
    <w:rsid w:val="00030D53"/>
    <w:rsid w:val="0005056A"/>
    <w:rsid w:val="00051324"/>
    <w:rsid w:val="00055E59"/>
    <w:rsid w:val="00056670"/>
    <w:rsid w:val="0005795C"/>
    <w:rsid w:val="00070284"/>
    <w:rsid w:val="000837C9"/>
    <w:rsid w:val="000936B1"/>
    <w:rsid w:val="000965F5"/>
    <w:rsid w:val="000A64A8"/>
    <w:rsid w:val="000B2C17"/>
    <w:rsid w:val="000B4710"/>
    <w:rsid w:val="000C0C63"/>
    <w:rsid w:val="000C3022"/>
    <w:rsid w:val="000E47B7"/>
    <w:rsid w:val="001033FB"/>
    <w:rsid w:val="00106424"/>
    <w:rsid w:val="00111B84"/>
    <w:rsid w:val="001126C6"/>
    <w:rsid w:val="00114E45"/>
    <w:rsid w:val="001160F9"/>
    <w:rsid w:val="00120B7F"/>
    <w:rsid w:val="00124639"/>
    <w:rsid w:val="00141C4D"/>
    <w:rsid w:val="001428C1"/>
    <w:rsid w:val="00146276"/>
    <w:rsid w:val="00160596"/>
    <w:rsid w:val="00162DE7"/>
    <w:rsid w:val="00174E38"/>
    <w:rsid w:val="001753AB"/>
    <w:rsid w:val="00183C38"/>
    <w:rsid w:val="001960D7"/>
    <w:rsid w:val="001B6867"/>
    <w:rsid w:val="001C009C"/>
    <w:rsid w:val="001D08B3"/>
    <w:rsid w:val="001D5309"/>
    <w:rsid w:val="001E0B42"/>
    <w:rsid w:val="001E2683"/>
    <w:rsid w:val="001F6ABE"/>
    <w:rsid w:val="001F7397"/>
    <w:rsid w:val="00202841"/>
    <w:rsid w:val="00204D20"/>
    <w:rsid w:val="0020596F"/>
    <w:rsid w:val="002069F8"/>
    <w:rsid w:val="00210B4A"/>
    <w:rsid w:val="00215EA3"/>
    <w:rsid w:val="00217883"/>
    <w:rsid w:val="00217896"/>
    <w:rsid w:val="0023014F"/>
    <w:rsid w:val="002343E9"/>
    <w:rsid w:val="00236700"/>
    <w:rsid w:val="00252A73"/>
    <w:rsid w:val="00257A02"/>
    <w:rsid w:val="002628E0"/>
    <w:rsid w:val="00264512"/>
    <w:rsid w:val="00265931"/>
    <w:rsid w:val="002704C0"/>
    <w:rsid w:val="00271AB3"/>
    <w:rsid w:val="002833D9"/>
    <w:rsid w:val="00286B98"/>
    <w:rsid w:val="002929E5"/>
    <w:rsid w:val="00297FE0"/>
    <w:rsid w:val="002A3F0E"/>
    <w:rsid w:val="002A5DDE"/>
    <w:rsid w:val="002A7A0F"/>
    <w:rsid w:val="002C17F9"/>
    <w:rsid w:val="002C4E9F"/>
    <w:rsid w:val="002D0A7D"/>
    <w:rsid w:val="002D1F9B"/>
    <w:rsid w:val="002E3CEA"/>
    <w:rsid w:val="002E6B3A"/>
    <w:rsid w:val="002F06D7"/>
    <w:rsid w:val="002F786B"/>
    <w:rsid w:val="00300974"/>
    <w:rsid w:val="003011F1"/>
    <w:rsid w:val="00304855"/>
    <w:rsid w:val="00306458"/>
    <w:rsid w:val="00313599"/>
    <w:rsid w:val="00314E25"/>
    <w:rsid w:val="0031622C"/>
    <w:rsid w:val="003173A9"/>
    <w:rsid w:val="00322D98"/>
    <w:rsid w:val="0032429D"/>
    <w:rsid w:val="003252B4"/>
    <w:rsid w:val="003254E8"/>
    <w:rsid w:val="00330547"/>
    <w:rsid w:val="003318DF"/>
    <w:rsid w:val="003328AC"/>
    <w:rsid w:val="0033297B"/>
    <w:rsid w:val="003344F1"/>
    <w:rsid w:val="003566CB"/>
    <w:rsid w:val="00357FB8"/>
    <w:rsid w:val="00361A92"/>
    <w:rsid w:val="00366E4B"/>
    <w:rsid w:val="0036767C"/>
    <w:rsid w:val="0037041C"/>
    <w:rsid w:val="003753A7"/>
    <w:rsid w:val="0038413A"/>
    <w:rsid w:val="00387703"/>
    <w:rsid w:val="00397DEC"/>
    <w:rsid w:val="003A0BAA"/>
    <w:rsid w:val="003A1445"/>
    <w:rsid w:val="003B170D"/>
    <w:rsid w:val="003B1A4C"/>
    <w:rsid w:val="003C0B5D"/>
    <w:rsid w:val="003C3F48"/>
    <w:rsid w:val="003E0AFA"/>
    <w:rsid w:val="003E22BB"/>
    <w:rsid w:val="003E3D2F"/>
    <w:rsid w:val="003E509E"/>
    <w:rsid w:val="004007E4"/>
    <w:rsid w:val="00420BCA"/>
    <w:rsid w:val="004256C5"/>
    <w:rsid w:val="00441B5A"/>
    <w:rsid w:val="00442043"/>
    <w:rsid w:val="00460391"/>
    <w:rsid w:val="004610B2"/>
    <w:rsid w:val="004665ED"/>
    <w:rsid w:val="00467896"/>
    <w:rsid w:val="00474D07"/>
    <w:rsid w:val="004872D7"/>
    <w:rsid w:val="004914EA"/>
    <w:rsid w:val="0049213E"/>
    <w:rsid w:val="004A66C2"/>
    <w:rsid w:val="004A7104"/>
    <w:rsid w:val="004B5010"/>
    <w:rsid w:val="004C035F"/>
    <w:rsid w:val="004C1FC7"/>
    <w:rsid w:val="004D3D42"/>
    <w:rsid w:val="004E3E96"/>
    <w:rsid w:val="004F1BBD"/>
    <w:rsid w:val="004F3330"/>
    <w:rsid w:val="004F3D8D"/>
    <w:rsid w:val="00501026"/>
    <w:rsid w:val="00505836"/>
    <w:rsid w:val="00506E5C"/>
    <w:rsid w:val="00512D3E"/>
    <w:rsid w:val="00513659"/>
    <w:rsid w:val="00517412"/>
    <w:rsid w:val="00521801"/>
    <w:rsid w:val="005261AF"/>
    <w:rsid w:val="00530421"/>
    <w:rsid w:val="00544B54"/>
    <w:rsid w:val="00545A1C"/>
    <w:rsid w:val="00546D2A"/>
    <w:rsid w:val="00554D77"/>
    <w:rsid w:val="00566916"/>
    <w:rsid w:val="00567227"/>
    <w:rsid w:val="005724EC"/>
    <w:rsid w:val="005926A8"/>
    <w:rsid w:val="0059527D"/>
    <w:rsid w:val="005C6F3F"/>
    <w:rsid w:val="005D0E4E"/>
    <w:rsid w:val="005D1EE3"/>
    <w:rsid w:val="005D3653"/>
    <w:rsid w:val="005D6C8D"/>
    <w:rsid w:val="005D7C88"/>
    <w:rsid w:val="005F2537"/>
    <w:rsid w:val="005F53C1"/>
    <w:rsid w:val="00600E8F"/>
    <w:rsid w:val="00604DB9"/>
    <w:rsid w:val="00611CD6"/>
    <w:rsid w:val="0061200E"/>
    <w:rsid w:val="00617BA8"/>
    <w:rsid w:val="00633F28"/>
    <w:rsid w:val="0064058F"/>
    <w:rsid w:val="006433B8"/>
    <w:rsid w:val="00650F9D"/>
    <w:rsid w:val="00663359"/>
    <w:rsid w:val="006671CD"/>
    <w:rsid w:val="00683DAA"/>
    <w:rsid w:val="00690252"/>
    <w:rsid w:val="006A0541"/>
    <w:rsid w:val="006B521F"/>
    <w:rsid w:val="006D3FA5"/>
    <w:rsid w:val="006E075C"/>
    <w:rsid w:val="006E336B"/>
    <w:rsid w:val="006F2B19"/>
    <w:rsid w:val="00701143"/>
    <w:rsid w:val="00701FAD"/>
    <w:rsid w:val="0070585B"/>
    <w:rsid w:val="0070632F"/>
    <w:rsid w:val="00717EC9"/>
    <w:rsid w:val="0072052F"/>
    <w:rsid w:val="0072304F"/>
    <w:rsid w:val="00724E48"/>
    <w:rsid w:val="00724FBF"/>
    <w:rsid w:val="00734EB1"/>
    <w:rsid w:val="00751947"/>
    <w:rsid w:val="00756BCF"/>
    <w:rsid w:val="00760F0F"/>
    <w:rsid w:val="00763688"/>
    <w:rsid w:val="007712ED"/>
    <w:rsid w:val="007807A0"/>
    <w:rsid w:val="00787269"/>
    <w:rsid w:val="00794997"/>
    <w:rsid w:val="007B190E"/>
    <w:rsid w:val="007C290D"/>
    <w:rsid w:val="007C3147"/>
    <w:rsid w:val="007C5167"/>
    <w:rsid w:val="007D33E1"/>
    <w:rsid w:val="007D4236"/>
    <w:rsid w:val="007D5F0B"/>
    <w:rsid w:val="007F04DD"/>
    <w:rsid w:val="00802211"/>
    <w:rsid w:val="00803E97"/>
    <w:rsid w:val="00804D5C"/>
    <w:rsid w:val="0081699B"/>
    <w:rsid w:val="00826C82"/>
    <w:rsid w:val="00834565"/>
    <w:rsid w:val="00836C51"/>
    <w:rsid w:val="00844CBE"/>
    <w:rsid w:val="008558A8"/>
    <w:rsid w:val="00860A66"/>
    <w:rsid w:val="0086120C"/>
    <w:rsid w:val="00866908"/>
    <w:rsid w:val="00871EC6"/>
    <w:rsid w:val="00887D1D"/>
    <w:rsid w:val="00897B62"/>
    <w:rsid w:val="008A5585"/>
    <w:rsid w:val="008B6E5C"/>
    <w:rsid w:val="008D20BE"/>
    <w:rsid w:val="008D323E"/>
    <w:rsid w:val="008E250C"/>
    <w:rsid w:val="008F329B"/>
    <w:rsid w:val="008F3AA0"/>
    <w:rsid w:val="008F6296"/>
    <w:rsid w:val="00901043"/>
    <w:rsid w:val="0090357D"/>
    <w:rsid w:val="00912C08"/>
    <w:rsid w:val="00930721"/>
    <w:rsid w:val="0093190C"/>
    <w:rsid w:val="00946309"/>
    <w:rsid w:val="00950626"/>
    <w:rsid w:val="00951E50"/>
    <w:rsid w:val="00952709"/>
    <w:rsid w:val="009617CA"/>
    <w:rsid w:val="00971091"/>
    <w:rsid w:val="00976B38"/>
    <w:rsid w:val="00985ED0"/>
    <w:rsid w:val="00987414"/>
    <w:rsid w:val="009A0129"/>
    <w:rsid w:val="009A549A"/>
    <w:rsid w:val="009B1972"/>
    <w:rsid w:val="009B467A"/>
    <w:rsid w:val="009B4828"/>
    <w:rsid w:val="009B4A5C"/>
    <w:rsid w:val="009B6B14"/>
    <w:rsid w:val="009B7BA2"/>
    <w:rsid w:val="009E599C"/>
    <w:rsid w:val="009E619F"/>
    <w:rsid w:val="009F23AE"/>
    <w:rsid w:val="009F63AF"/>
    <w:rsid w:val="00A04497"/>
    <w:rsid w:val="00A15D6F"/>
    <w:rsid w:val="00A22254"/>
    <w:rsid w:val="00A22E32"/>
    <w:rsid w:val="00A30604"/>
    <w:rsid w:val="00A33EEE"/>
    <w:rsid w:val="00A350FF"/>
    <w:rsid w:val="00A4300C"/>
    <w:rsid w:val="00A45D71"/>
    <w:rsid w:val="00A50E1A"/>
    <w:rsid w:val="00A7484C"/>
    <w:rsid w:val="00A80762"/>
    <w:rsid w:val="00A81585"/>
    <w:rsid w:val="00A907C9"/>
    <w:rsid w:val="00A92711"/>
    <w:rsid w:val="00A932B9"/>
    <w:rsid w:val="00AA6419"/>
    <w:rsid w:val="00AC4A70"/>
    <w:rsid w:val="00AE1100"/>
    <w:rsid w:val="00AE216C"/>
    <w:rsid w:val="00AF02F6"/>
    <w:rsid w:val="00AF0F13"/>
    <w:rsid w:val="00B01A3B"/>
    <w:rsid w:val="00B12352"/>
    <w:rsid w:val="00B175FD"/>
    <w:rsid w:val="00B17F58"/>
    <w:rsid w:val="00B20645"/>
    <w:rsid w:val="00B22AC9"/>
    <w:rsid w:val="00B2331C"/>
    <w:rsid w:val="00B24CA5"/>
    <w:rsid w:val="00B44C93"/>
    <w:rsid w:val="00B45716"/>
    <w:rsid w:val="00B50354"/>
    <w:rsid w:val="00B63545"/>
    <w:rsid w:val="00B63F5B"/>
    <w:rsid w:val="00B65223"/>
    <w:rsid w:val="00B6537E"/>
    <w:rsid w:val="00B71A8F"/>
    <w:rsid w:val="00B7631C"/>
    <w:rsid w:val="00B80F36"/>
    <w:rsid w:val="00B847C5"/>
    <w:rsid w:val="00B94786"/>
    <w:rsid w:val="00B95587"/>
    <w:rsid w:val="00BB2AFD"/>
    <w:rsid w:val="00BC2772"/>
    <w:rsid w:val="00BC58D8"/>
    <w:rsid w:val="00BD5E53"/>
    <w:rsid w:val="00BE0D91"/>
    <w:rsid w:val="00BE4366"/>
    <w:rsid w:val="00BF5C04"/>
    <w:rsid w:val="00C02B9D"/>
    <w:rsid w:val="00C04412"/>
    <w:rsid w:val="00C05B81"/>
    <w:rsid w:val="00C0781B"/>
    <w:rsid w:val="00C1211D"/>
    <w:rsid w:val="00C23A43"/>
    <w:rsid w:val="00C25C54"/>
    <w:rsid w:val="00C34985"/>
    <w:rsid w:val="00C3696B"/>
    <w:rsid w:val="00C36F76"/>
    <w:rsid w:val="00C41796"/>
    <w:rsid w:val="00C54AF8"/>
    <w:rsid w:val="00C57899"/>
    <w:rsid w:val="00C57AF3"/>
    <w:rsid w:val="00C70AC5"/>
    <w:rsid w:val="00C90221"/>
    <w:rsid w:val="00C93E1E"/>
    <w:rsid w:val="00C97C1C"/>
    <w:rsid w:val="00CA47FF"/>
    <w:rsid w:val="00CA6CA5"/>
    <w:rsid w:val="00CC23E9"/>
    <w:rsid w:val="00CC4495"/>
    <w:rsid w:val="00CD613D"/>
    <w:rsid w:val="00CE1B3F"/>
    <w:rsid w:val="00CE5BE1"/>
    <w:rsid w:val="00CF5775"/>
    <w:rsid w:val="00D01C85"/>
    <w:rsid w:val="00D05C40"/>
    <w:rsid w:val="00D067E9"/>
    <w:rsid w:val="00D35778"/>
    <w:rsid w:val="00D41023"/>
    <w:rsid w:val="00D44333"/>
    <w:rsid w:val="00D453EF"/>
    <w:rsid w:val="00D52184"/>
    <w:rsid w:val="00D52B21"/>
    <w:rsid w:val="00D56D87"/>
    <w:rsid w:val="00D63C79"/>
    <w:rsid w:val="00D71742"/>
    <w:rsid w:val="00D723DF"/>
    <w:rsid w:val="00D771D0"/>
    <w:rsid w:val="00D824A2"/>
    <w:rsid w:val="00D85A63"/>
    <w:rsid w:val="00D928BC"/>
    <w:rsid w:val="00D9473C"/>
    <w:rsid w:val="00DA6B4D"/>
    <w:rsid w:val="00DC17EB"/>
    <w:rsid w:val="00DC1933"/>
    <w:rsid w:val="00DC3685"/>
    <w:rsid w:val="00DC3DFD"/>
    <w:rsid w:val="00DD1243"/>
    <w:rsid w:val="00DD7D36"/>
    <w:rsid w:val="00DE3F09"/>
    <w:rsid w:val="00DE6935"/>
    <w:rsid w:val="00DF0FA7"/>
    <w:rsid w:val="00E04F18"/>
    <w:rsid w:val="00E1294D"/>
    <w:rsid w:val="00E13C13"/>
    <w:rsid w:val="00E22A05"/>
    <w:rsid w:val="00E241B1"/>
    <w:rsid w:val="00E31FF8"/>
    <w:rsid w:val="00E32417"/>
    <w:rsid w:val="00E34596"/>
    <w:rsid w:val="00E34DD3"/>
    <w:rsid w:val="00E37F70"/>
    <w:rsid w:val="00E403E3"/>
    <w:rsid w:val="00E4247E"/>
    <w:rsid w:val="00E54CA4"/>
    <w:rsid w:val="00E66D39"/>
    <w:rsid w:val="00E728B0"/>
    <w:rsid w:val="00E75BB0"/>
    <w:rsid w:val="00E800B3"/>
    <w:rsid w:val="00E80188"/>
    <w:rsid w:val="00E80519"/>
    <w:rsid w:val="00E83BDD"/>
    <w:rsid w:val="00E85199"/>
    <w:rsid w:val="00EA1751"/>
    <w:rsid w:val="00EA266B"/>
    <w:rsid w:val="00EB11EE"/>
    <w:rsid w:val="00EB29A2"/>
    <w:rsid w:val="00EB7DD9"/>
    <w:rsid w:val="00EC1C3C"/>
    <w:rsid w:val="00EC6878"/>
    <w:rsid w:val="00ED602F"/>
    <w:rsid w:val="00ED7021"/>
    <w:rsid w:val="00EE21BE"/>
    <w:rsid w:val="00EE480A"/>
    <w:rsid w:val="00EE4A2E"/>
    <w:rsid w:val="00EE6C3D"/>
    <w:rsid w:val="00EF1487"/>
    <w:rsid w:val="00EF7B7F"/>
    <w:rsid w:val="00F15554"/>
    <w:rsid w:val="00F24063"/>
    <w:rsid w:val="00F251D5"/>
    <w:rsid w:val="00F2676C"/>
    <w:rsid w:val="00F35A8A"/>
    <w:rsid w:val="00F37072"/>
    <w:rsid w:val="00F42D68"/>
    <w:rsid w:val="00F50CA3"/>
    <w:rsid w:val="00F544EB"/>
    <w:rsid w:val="00F657C5"/>
    <w:rsid w:val="00F660FF"/>
    <w:rsid w:val="00F66BD0"/>
    <w:rsid w:val="00F754D9"/>
    <w:rsid w:val="00F75FDF"/>
    <w:rsid w:val="00F9474F"/>
    <w:rsid w:val="00F9525D"/>
    <w:rsid w:val="00F976E6"/>
    <w:rsid w:val="00FA0E12"/>
    <w:rsid w:val="00FA1AA0"/>
    <w:rsid w:val="00FA77ED"/>
    <w:rsid w:val="00FA7CF2"/>
    <w:rsid w:val="00FB279C"/>
    <w:rsid w:val="00FC32ED"/>
    <w:rsid w:val="00FC461B"/>
    <w:rsid w:val="00FC4847"/>
    <w:rsid w:val="00FD1525"/>
    <w:rsid w:val="00FE5082"/>
    <w:rsid w:val="00FE6EF2"/>
    <w:rsid w:val="00FE7AD5"/>
    <w:rsid w:val="00FF0414"/>
    <w:rsid w:val="00FF5834"/>
    <w:rsid w:val="00FF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2F7F"/>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111B84"/>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locked/>
    <w:rsid w:val="008D20BE"/>
    <w:rPr>
      <w:sz w:val="24"/>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table" w:styleId="GridTable4-Accent1">
    <w:name w:val="Grid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13">
    <w:name w:val="Plain Table 13"/>
    <w:basedOn w:val="TableNormal"/>
    <w:next w:val="PlainTable1"/>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8D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8D20BE"/>
  </w:style>
  <w:style w:type="table" w:styleId="ListTable4-Accent1">
    <w:name w:val="List Table 4 Accent 1"/>
    <w:basedOn w:val="TableNormal"/>
    <w:uiPriority w:val="49"/>
    <w:rsid w:val="008D20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
    <w:name w:val="List Table 4"/>
    <w:basedOn w:val="TableNormal"/>
    <w:uiPriority w:val="49"/>
    <w:rsid w:val="001428C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C03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C05B81"/>
    <w:pPr>
      <w:spacing w:before="100" w:beforeAutospacing="1" w:after="100" w:afterAutospacing="1" w:line="240" w:lineRule="auto"/>
    </w:pPr>
    <w:rPr>
      <w:rFonts w:ascii="Times New Roman" w:hAnsi="Times New Roman" w:cs="Times New Roman"/>
      <w:szCs w:val="24"/>
      <w:lang w:eastAsia="en-GB"/>
    </w:rPr>
  </w:style>
  <w:style w:type="character" w:customStyle="1" w:styleId="eop">
    <w:name w:val="eop"/>
    <w:basedOn w:val="DefaultParagraphFont"/>
    <w:rsid w:val="00C05B81"/>
  </w:style>
  <w:style w:type="character" w:customStyle="1" w:styleId="normaltextrun">
    <w:name w:val="normaltextrun"/>
    <w:basedOn w:val="DefaultParagraphFont"/>
    <w:rsid w:val="00C05B81"/>
  </w:style>
  <w:style w:type="character" w:customStyle="1" w:styleId="UnresolvedMention1">
    <w:name w:val="Unresolved Mention1"/>
    <w:basedOn w:val="DefaultParagraphFont"/>
    <w:uiPriority w:val="99"/>
    <w:semiHidden/>
    <w:unhideWhenUsed/>
    <w:rsid w:val="00CA47FF"/>
    <w:rPr>
      <w:color w:val="605E5C"/>
      <w:shd w:val="clear" w:color="auto" w:fill="E1DFDD"/>
    </w:rPr>
  </w:style>
  <w:style w:type="paragraph" w:styleId="NormalWeb">
    <w:name w:val="Normal (Web)"/>
    <w:basedOn w:val="Normal"/>
    <w:uiPriority w:val="99"/>
    <w:semiHidden/>
    <w:unhideWhenUsed/>
    <w:rsid w:val="00912C08"/>
    <w:rPr>
      <w:rFonts w:ascii="Times New Roman" w:hAnsi="Times New Roman" w:cs="Times New Roman"/>
      <w:szCs w:val="24"/>
    </w:rPr>
  </w:style>
  <w:style w:type="paragraph" w:styleId="FootnoteText">
    <w:name w:val="footnote text"/>
    <w:basedOn w:val="Normal"/>
    <w:link w:val="FootnoteTextChar"/>
    <w:uiPriority w:val="99"/>
    <w:semiHidden/>
    <w:unhideWhenUsed/>
    <w:rsid w:val="005D1E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EE3"/>
    <w:rPr>
      <w:sz w:val="20"/>
      <w:szCs w:val="20"/>
    </w:rPr>
  </w:style>
  <w:style w:type="character" w:styleId="FootnoteReference">
    <w:name w:val="footnote reference"/>
    <w:basedOn w:val="DefaultParagraphFont"/>
    <w:uiPriority w:val="99"/>
    <w:semiHidden/>
    <w:unhideWhenUsed/>
    <w:rsid w:val="005D1EE3"/>
    <w:rPr>
      <w:vertAlign w:val="superscript"/>
    </w:rPr>
  </w:style>
  <w:style w:type="character" w:customStyle="1" w:styleId="UnresolvedMention2">
    <w:name w:val="Unresolved Mention2"/>
    <w:basedOn w:val="DefaultParagraphFont"/>
    <w:uiPriority w:val="99"/>
    <w:semiHidden/>
    <w:unhideWhenUsed/>
    <w:rsid w:val="005D1EE3"/>
    <w:rPr>
      <w:color w:val="605E5C"/>
      <w:shd w:val="clear" w:color="auto" w:fill="E1DFDD"/>
    </w:rPr>
  </w:style>
  <w:style w:type="table" w:customStyle="1" w:styleId="TableGrid5">
    <w:name w:val="Table Grid5"/>
    <w:basedOn w:val="TableNormal"/>
    <w:next w:val="TableGrid"/>
    <w:uiPriority w:val="39"/>
    <w:rsid w:val="0055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4751">
      <w:bodyDiv w:val="1"/>
      <w:marLeft w:val="0"/>
      <w:marRight w:val="0"/>
      <w:marTop w:val="0"/>
      <w:marBottom w:val="0"/>
      <w:divBdr>
        <w:top w:val="none" w:sz="0" w:space="0" w:color="auto"/>
        <w:left w:val="none" w:sz="0" w:space="0" w:color="auto"/>
        <w:bottom w:val="none" w:sz="0" w:space="0" w:color="auto"/>
        <w:right w:val="none" w:sz="0" w:space="0" w:color="auto"/>
      </w:divBdr>
    </w:div>
    <w:div w:id="157695011">
      <w:bodyDiv w:val="1"/>
      <w:marLeft w:val="0"/>
      <w:marRight w:val="0"/>
      <w:marTop w:val="0"/>
      <w:marBottom w:val="0"/>
      <w:divBdr>
        <w:top w:val="none" w:sz="0" w:space="0" w:color="auto"/>
        <w:left w:val="none" w:sz="0" w:space="0" w:color="auto"/>
        <w:bottom w:val="none" w:sz="0" w:space="0" w:color="auto"/>
        <w:right w:val="none" w:sz="0" w:space="0" w:color="auto"/>
      </w:divBdr>
    </w:div>
    <w:div w:id="561675862">
      <w:bodyDiv w:val="1"/>
      <w:marLeft w:val="0"/>
      <w:marRight w:val="0"/>
      <w:marTop w:val="0"/>
      <w:marBottom w:val="0"/>
      <w:divBdr>
        <w:top w:val="none" w:sz="0" w:space="0" w:color="auto"/>
        <w:left w:val="none" w:sz="0" w:space="0" w:color="auto"/>
        <w:bottom w:val="none" w:sz="0" w:space="0" w:color="auto"/>
        <w:right w:val="none" w:sz="0" w:space="0" w:color="auto"/>
      </w:divBdr>
    </w:div>
    <w:div w:id="589509344">
      <w:bodyDiv w:val="1"/>
      <w:marLeft w:val="0"/>
      <w:marRight w:val="0"/>
      <w:marTop w:val="0"/>
      <w:marBottom w:val="0"/>
      <w:divBdr>
        <w:top w:val="none" w:sz="0" w:space="0" w:color="auto"/>
        <w:left w:val="none" w:sz="0" w:space="0" w:color="auto"/>
        <w:bottom w:val="none" w:sz="0" w:space="0" w:color="auto"/>
        <w:right w:val="none" w:sz="0" w:space="0" w:color="auto"/>
      </w:divBdr>
    </w:div>
    <w:div w:id="865173475">
      <w:bodyDiv w:val="1"/>
      <w:marLeft w:val="0"/>
      <w:marRight w:val="0"/>
      <w:marTop w:val="0"/>
      <w:marBottom w:val="0"/>
      <w:divBdr>
        <w:top w:val="none" w:sz="0" w:space="0" w:color="auto"/>
        <w:left w:val="none" w:sz="0" w:space="0" w:color="auto"/>
        <w:bottom w:val="none" w:sz="0" w:space="0" w:color="auto"/>
        <w:right w:val="none" w:sz="0" w:space="0" w:color="auto"/>
      </w:divBdr>
    </w:div>
    <w:div w:id="922300714">
      <w:bodyDiv w:val="1"/>
      <w:marLeft w:val="0"/>
      <w:marRight w:val="0"/>
      <w:marTop w:val="0"/>
      <w:marBottom w:val="0"/>
      <w:divBdr>
        <w:top w:val="none" w:sz="0" w:space="0" w:color="auto"/>
        <w:left w:val="none" w:sz="0" w:space="0" w:color="auto"/>
        <w:bottom w:val="none" w:sz="0" w:space="0" w:color="auto"/>
        <w:right w:val="none" w:sz="0" w:space="0" w:color="auto"/>
      </w:divBdr>
    </w:div>
    <w:div w:id="960303600">
      <w:bodyDiv w:val="1"/>
      <w:marLeft w:val="0"/>
      <w:marRight w:val="0"/>
      <w:marTop w:val="0"/>
      <w:marBottom w:val="0"/>
      <w:divBdr>
        <w:top w:val="none" w:sz="0" w:space="0" w:color="auto"/>
        <w:left w:val="none" w:sz="0" w:space="0" w:color="auto"/>
        <w:bottom w:val="none" w:sz="0" w:space="0" w:color="auto"/>
        <w:right w:val="none" w:sz="0" w:space="0" w:color="auto"/>
      </w:divBdr>
    </w:div>
    <w:div w:id="1011949561">
      <w:bodyDiv w:val="1"/>
      <w:marLeft w:val="0"/>
      <w:marRight w:val="0"/>
      <w:marTop w:val="0"/>
      <w:marBottom w:val="0"/>
      <w:divBdr>
        <w:top w:val="none" w:sz="0" w:space="0" w:color="auto"/>
        <w:left w:val="none" w:sz="0" w:space="0" w:color="auto"/>
        <w:bottom w:val="none" w:sz="0" w:space="0" w:color="auto"/>
        <w:right w:val="none" w:sz="0" w:space="0" w:color="auto"/>
      </w:divBdr>
    </w:div>
    <w:div w:id="1057824241">
      <w:bodyDiv w:val="1"/>
      <w:marLeft w:val="0"/>
      <w:marRight w:val="0"/>
      <w:marTop w:val="0"/>
      <w:marBottom w:val="0"/>
      <w:divBdr>
        <w:top w:val="none" w:sz="0" w:space="0" w:color="auto"/>
        <w:left w:val="none" w:sz="0" w:space="0" w:color="auto"/>
        <w:bottom w:val="none" w:sz="0" w:space="0" w:color="auto"/>
        <w:right w:val="none" w:sz="0" w:space="0" w:color="auto"/>
      </w:divBdr>
    </w:div>
    <w:div w:id="1140616604">
      <w:bodyDiv w:val="1"/>
      <w:marLeft w:val="0"/>
      <w:marRight w:val="0"/>
      <w:marTop w:val="0"/>
      <w:marBottom w:val="0"/>
      <w:divBdr>
        <w:top w:val="none" w:sz="0" w:space="0" w:color="auto"/>
        <w:left w:val="none" w:sz="0" w:space="0" w:color="auto"/>
        <w:bottom w:val="none" w:sz="0" w:space="0" w:color="auto"/>
        <w:right w:val="none" w:sz="0" w:space="0" w:color="auto"/>
      </w:divBdr>
    </w:div>
    <w:div w:id="1353872181">
      <w:bodyDiv w:val="1"/>
      <w:marLeft w:val="0"/>
      <w:marRight w:val="0"/>
      <w:marTop w:val="0"/>
      <w:marBottom w:val="0"/>
      <w:divBdr>
        <w:top w:val="none" w:sz="0" w:space="0" w:color="auto"/>
        <w:left w:val="none" w:sz="0" w:space="0" w:color="auto"/>
        <w:bottom w:val="none" w:sz="0" w:space="0" w:color="auto"/>
        <w:right w:val="none" w:sz="0" w:space="0" w:color="auto"/>
      </w:divBdr>
    </w:div>
    <w:div w:id="1495992109">
      <w:bodyDiv w:val="1"/>
      <w:marLeft w:val="0"/>
      <w:marRight w:val="0"/>
      <w:marTop w:val="0"/>
      <w:marBottom w:val="0"/>
      <w:divBdr>
        <w:top w:val="none" w:sz="0" w:space="0" w:color="auto"/>
        <w:left w:val="none" w:sz="0" w:space="0" w:color="auto"/>
        <w:bottom w:val="none" w:sz="0" w:space="0" w:color="auto"/>
        <w:right w:val="none" w:sz="0" w:space="0" w:color="auto"/>
      </w:divBdr>
    </w:div>
    <w:div w:id="1848322652">
      <w:bodyDiv w:val="1"/>
      <w:marLeft w:val="0"/>
      <w:marRight w:val="0"/>
      <w:marTop w:val="0"/>
      <w:marBottom w:val="0"/>
      <w:divBdr>
        <w:top w:val="none" w:sz="0" w:space="0" w:color="auto"/>
        <w:left w:val="none" w:sz="0" w:space="0" w:color="auto"/>
        <w:bottom w:val="none" w:sz="0" w:space="0" w:color="auto"/>
        <w:right w:val="none" w:sz="0" w:space="0" w:color="auto"/>
      </w:divBdr>
    </w:div>
    <w:div w:id="1875146262">
      <w:bodyDiv w:val="1"/>
      <w:marLeft w:val="0"/>
      <w:marRight w:val="0"/>
      <w:marTop w:val="0"/>
      <w:marBottom w:val="0"/>
      <w:divBdr>
        <w:top w:val="none" w:sz="0" w:space="0" w:color="auto"/>
        <w:left w:val="none" w:sz="0" w:space="0" w:color="auto"/>
        <w:bottom w:val="none" w:sz="0" w:space="0" w:color="auto"/>
        <w:right w:val="none" w:sz="0" w:space="0" w:color="auto"/>
      </w:divBdr>
    </w:div>
    <w:div w:id="1882327536">
      <w:bodyDiv w:val="1"/>
      <w:marLeft w:val="0"/>
      <w:marRight w:val="0"/>
      <w:marTop w:val="0"/>
      <w:marBottom w:val="0"/>
      <w:divBdr>
        <w:top w:val="none" w:sz="0" w:space="0" w:color="auto"/>
        <w:left w:val="none" w:sz="0" w:space="0" w:color="auto"/>
        <w:bottom w:val="none" w:sz="0" w:space="0" w:color="auto"/>
        <w:right w:val="none" w:sz="0" w:space="0" w:color="auto"/>
      </w:divBdr>
      <w:divsChild>
        <w:div w:id="2073459970">
          <w:marLeft w:val="0"/>
          <w:marRight w:val="0"/>
          <w:marTop w:val="0"/>
          <w:marBottom w:val="75"/>
          <w:divBdr>
            <w:top w:val="none" w:sz="0" w:space="0" w:color="auto"/>
            <w:left w:val="none" w:sz="0" w:space="0" w:color="auto"/>
            <w:bottom w:val="none" w:sz="0" w:space="0" w:color="auto"/>
            <w:right w:val="none" w:sz="0" w:space="0" w:color="auto"/>
          </w:divBdr>
        </w:div>
      </w:divsChild>
    </w:div>
    <w:div w:id="1951155865">
      <w:bodyDiv w:val="1"/>
      <w:marLeft w:val="0"/>
      <w:marRight w:val="0"/>
      <w:marTop w:val="0"/>
      <w:marBottom w:val="0"/>
      <w:divBdr>
        <w:top w:val="none" w:sz="0" w:space="0" w:color="auto"/>
        <w:left w:val="none" w:sz="0" w:space="0" w:color="auto"/>
        <w:bottom w:val="none" w:sz="0" w:space="0" w:color="auto"/>
        <w:right w:val="none" w:sz="0" w:space="0" w:color="auto"/>
      </w:divBdr>
      <w:divsChild>
        <w:div w:id="399405080">
          <w:marLeft w:val="0"/>
          <w:marRight w:val="0"/>
          <w:marTop w:val="0"/>
          <w:marBottom w:val="75"/>
          <w:divBdr>
            <w:top w:val="none" w:sz="0" w:space="0" w:color="auto"/>
            <w:left w:val="none" w:sz="0" w:space="0" w:color="auto"/>
            <w:bottom w:val="none" w:sz="0" w:space="0" w:color="auto"/>
            <w:right w:val="none" w:sz="0" w:space="0" w:color="auto"/>
          </w:divBdr>
        </w:div>
      </w:divsChild>
    </w:div>
    <w:div w:id="197991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naturescot.nexus.objective.co.uk/documents/A3938660/details" TargetMode="External" Id="rId13" /><Relationship Type="http://schemas.openxmlformats.org/officeDocument/2006/relationships/hyperlink" Target="https://naturescot.nexus.objective.co.uk/documents/A3920275/details" TargetMode="External" Id="rId18" /><Relationship Type="http://schemas.openxmlformats.org/officeDocument/2006/relationships/hyperlink" Target="https://naturescot.nexus.objective.co.uk/documents/A4124199/details" TargetMode="External" Id="rId26" /><Relationship Type="http://schemas.openxmlformats.org/officeDocument/2006/relationships/hyperlink" Target="https://naturescot.nexus.objective.co.uk/documents/A3955829/details" TargetMode="External" Id="rId39" /><Relationship Type="http://schemas.openxmlformats.org/officeDocument/2006/relationships/hyperlink" Target="https://naturescot.nexus.objective.co.uk/documents/A3918504/details" TargetMode="External" Id="rId21" /><Relationship Type="http://schemas.openxmlformats.org/officeDocument/2006/relationships/hyperlink" Target="https://naturescot.nexus.objective.co.uk/documents/A3919298/details" TargetMode="External" Id="rId34" /><Relationship Type="http://schemas.openxmlformats.org/officeDocument/2006/relationships/hyperlink" Target="https://naturescot.nexus.objective.co.uk/documents/A3724366/details" TargetMode="External" Id="rId42" /><Relationship Type="http://schemas.openxmlformats.org/officeDocument/2006/relationships/image" Target="media/image17.png" Id="rId47" /><Relationship Type="http://schemas.openxmlformats.org/officeDocument/2006/relationships/image" Target="media/image19.png" Id="rId50" /><Relationship Type="http://schemas.openxmlformats.org/officeDocument/2006/relationships/fontTable" Target="fontTable.xml" Id="rId55"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yperlink" Target="https://naturescot.nexus.objective.co.uk/documents/A3920276/details" TargetMode="External" Id="rId16" /><Relationship Type="http://schemas.openxmlformats.org/officeDocument/2006/relationships/image" Target="media/image7.png" Id="rId29" /><Relationship Type="http://schemas.openxmlformats.org/officeDocument/2006/relationships/footer" Target="footer1.xml" Id="rId11" /><Relationship Type="http://schemas.openxmlformats.org/officeDocument/2006/relationships/hyperlink" Target="https://naturescot.nexus.objective.co.uk/documents/A3920434/details" TargetMode="External" Id="rId24" /><Relationship Type="http://schemas.openxmlformats.org/officeDocument/2006/relationships/hyperlink" Target="https://naturescot.nexus.objective.co.uk/documents/A3920259/details" TargetMode="External" Id="rId32" /><Relationship Type="http://schemas.openxmlformats.org/officeDocument/2006/relationships/hyperlink" Target="https://naturescot.nexus.objective.co.uk/documents/A3736345/details" TargetMode="External" Id="rId37" /><Relationship Type="http://schemas.openxmlformats.org/officeDocument/2006/relationships/hyperlink" Target="https://naturescot.nexus.objective.co.uk/documents/A3736962/details" TargetMode="External" Id="rId40" /><Relationship Type="http://schemas.openxmlformats.org/officeDocument/2006/relationships/image" Target="media/image15.png" Id="rId45" /><Relationship Type="http://schemas.openxmlformats.org/officeDocument/2006/relationships/image" Target="media/image22.png" Id="rId53"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image" Target="media/image4.png" Id="rId19" /><Relationship Type="http://schemas.openxmlformats.org/officeDocument/2006/relationships/image" Target="media/image8.png" Id="rId31" /><Relationship Type="http://schemas.openxmlformats.org/officeDocument/2006/relationships/image" Target="media/image14.png" Id="rId44" /><Relationship Type="http://schemas.openxmlformats.org/officeDocument/2006/relationships/image" Target="media/image21.png" Id="rId52"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2.png" Id="rId14" /><Relationship Type="http://schemas.openxmlformats.org/officeDocument/2006/relationships/image" Target="media/image5.png" Id="rId22" /><Relationship Type="http://schemas.openxmlformats.org/officeDocument/2006/relationships/hyperlink" Target="https://naturescot.nexus.objective.co.uk/documents/A3919222/details" TargetMode="External" Id="rId27" /><Relationship Type="http://schemas.openxmlformats.org/officeDocument/2006/relationships/hyperlink" Target="https://naturescot.nexus.objective.co.uk/documents/A3736343/details" TargetMode="External" Id="rId30" /><Relationship Type="http://schemas.openxmlformats.org/officeDocument/2006/relationships/hyperlink" Target="https://naturescot.nexus.objective.co.uk/documents/A3736341/details" TargetMode="External" Id="rId35" /><Relationship Type="http://schemas.openxmlformats.org/officeDocument/2006/relationships/image" Target="media/image13.png" Id="rId43" /><Relationship Type="http://schemas.openxmlformats.org/officeDocument/2006/relationships/image" Target="cid:image001.png@01DA1965.BFB36F90" TargetMode="External" Id="rId48" /><Relationship Type="http://schemas.openxmlformats.org/officeDocument/2006/relationships/theme" Target="theme/theme1.xml" Id="rId56" /><Relationship Type="http://schemas.openxmlformats.org/officeDocument/2006/relationships/endnotes" Target="endnotes.xml" Id="rId8" /><Relationship Type="http://schemas.openxmlformats.org/officeDocument/2006/relationships/image" Target="media/image20.png" Id="rId51" /><Relationship Type="http://schemas.openxmlformats.org/officeDocument/2006/relationships/numbering" Target="numbering.xml" Id="rId3" /><Relationship Type="http://schemas.openxmlformats.org/officeDocument/2006/relationships/hyperlink" Target="https://naturescot.nexus.objective.co.uk/documents/A3962324/details" TargetMode="External" Id="rId12" /><Relationship Type="http://schemas.openxmlformats.org/officeDocument/2006/relationships/image" Target="media/image3.png" Id="rId17" /><Relationship Type="http://schemas.openxmlformats.org/officeDocument/2006/relationships/image" Target="media/image6.png" Id="rId25" /><Relationship Type="http://schemas.openxmlformats.org/officeDocument/2006/relationships/image" Target="media/image9.png" Id="rId33" /><Relationship Type="http://schemas.openxmlformats.org/officeDocument/2006/relationships/image" Target="media/image11.png" Id="rId38" /><Relationship Type="http://schemas.openxmlformats.org/officeDocument/2006/relationships/image" Target="media/image16.png" Id="rId46" /><Relationship Type="http://schemas.openxmlformats.org/officeDocument/2006/relationships/hyperlink" Target="https://naturescot.nexus.objective.co.uk/documents/A3963728/details" TargetMode="External" Id="rId20" /><Relationship Type="http://schemas.openxmlformats.org/officeDocument/2006/relationships/image" Target="media/image12.png" Id="rId41" /><Relationship Type="http://schemas.openxmlformats.org/officeDocument/2006/relationships/footer" Target="footer2.xml" Id="rId54" /><Relationship Type="http://schemas.openxmlformats.org/officeDocument/2006/relationships/webSettings" Target="webSettings.xml" Id="rId6" /><Relationship Type="http://schemas.openxmlformats.org/officeDocument/2006/relationships/hyperlink" Target="https://naturescot.nexus.objective.co.uk/documents/A3972998/details" TargetMode="External" Id="rId15" /><Relationship Type="http://schemas.openxmlformats.org/officeDocument/2006/relationships/hyperlink" Target="https://naturescot.nexus.objective.co.uk/documents/A3920272/details" TargetMode="External" Id="rId23" /><Relationship Type="http://schemas.openxmlformats.org/officeDocument/2006/relationships/hyperlink" Target="https://naturescot.nexus.objective.co.uk/documents/A3736347/details" TargetMode="External" Id="rId28" /><Relationship Type="http://schemas.openxmlformats.org/officeDocument/2006/relationships/image" Target="media/image10.png" Id="rId36" /><Relationship Type="http://schemas.openxmlformats.org/officeDocument/2006/relationships/image" Target="media/image18.png" Id="rId49" /><Relationship Type="http://schemas.openxmlformats.org/officeDocument/2006/relationships/customXml" Target="/customXml/item3.xml" Id="R04b47d9d8bda46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71FFD1B571BE2883E0537D20C80A46C7" version="1.0.0">
  <systemFields>
    <field name="Objective-Id">
      <value order="0">A4321625</value>
    </field>
    <field name="Objective-Title">
      <value order="0">G.11i Board of NatureScot Meeting - 06 December 2023 - Q2 2023-24 Performance Reports - Web version</value>
    </field>
    <field name="Objective-Description">
      <value order="0"/>
    </field>
    <field name="Objective-CreationStamp">
      <value order="0">2023-11-29T15:27:18Z</value>
    </field>
    <field name="Objective-IsApproved">
      <value order="0">false</value>
    </field>
    <field name="Objective-IsPublished">
      <value order="0">true</value>
    </field>
    <field name="Objective-DatePublished">
      <value order="0">2023-11-29T15:27:25Z</value>
    </field>
    <field name="Objective-ModificationStamp">
      <value order="0">2023-11-29T15:27:45Z</value>
    </field>
    <field name="Objective-Owner">
      <value order="0">Mary-Anne Thomson</value>
    </field>
    <field name="Objective-Path">
      <value order="0">Objective Global Folder:NatureScot Fileplan:MAN - Management:EO - Executive Office:BD - Board:SNH Board - Meetings:Board of NatureScot Meetings - 2023:209 - Board of NatureScot - 06 December 2023</value>
    </field>
    <field name="Objective-Parent">
      <value order="0">209 - Board of NatureScot - 06 December 2023</value>
    </field>
    <field name="Objective-State">
      <value order="0">Published</value>
    </field>
    <field name="Objective-VersionId">
      <value order="0">vA7586359</value>
    </field>
    <field name="Objective-Version">
      <value order="0">1.0</value>
    </field>
    <field name="Objective-VersionNumber">
      <value order="0">1</value>
    </field>
    <field name="Objective-VersionComment">
      <value order="0"/>
    </field>
    <field name="Objective-FileNumber">
      <value order="0">qA177918</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2.xml><?xml version="1.0" encoding="utf-8"?>
<ds:datastoreItem xmlns:ds="http://schemas.openxmlformats.org/officeDocument/2006/customXml" ds:itemID="{6CAC9141-6FD3-4275-8336-97CBB224DC97}">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8617</Words>
  <Characters>49121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Rennie</dc:creator>
  <cp:lastModifiedBy>MaryAnne Thomson</cp:lastModifiedBy>
  <cp:revision>2</cp:revision>
  <dcterms:created xsi:type="dcterms:W3CDTF">2023-11-29T15:26:00Z</dcterms:created>
  <dcterms:modified xsi:type="dcterms:W3CDTF">2023-11-29T15:26:00Z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Objective-Date of Original [system]">
    <vt:lpwstr/>
  </op:property>
  <op:property fmtid="{D5CDD505-2E9C-101B-9397-08002B2CF9AE}" pid="5" name="Objective-Sensitivity Review Date [system]">
    <vt:lpwstr/>
  </op:property>
  <op:property fmtid="{D5CDD505-2E9C-101B-9397-08002B2CF9AE}" pid="6" name="Objective-FOI Exemption [system]">
    <vt:lpwstr>Release</vt:lpwstr>
  </op:property>
  <op:property fmtid="{D5CDD505-2E9C-101B-9397-08002B2CF9AE}" pid="7" name="Objective-DPA Exemption [system]">
    <vt:lpwstr>Release</vt:lpwstr>
  </op:property>
  <op:property fmtid="{D5CDD505-2E9C-101B-9397-08002B2CF9AE}" pid="8" name="Objective-EIR Exception [system]">
    <vt:lpwstr>Release</vt:lpwstr>
  </op:property>
  <op:property fmtid="{D5CDD505-2E9C-101B-9397-08002B2CF9AE}" pid="9" name="Objective-Justification [system]">
    <vt:lpwstr/>
  </op:property>
  <op:property fmtid="{D5CDD505-2E9C-101B-9397-08002B2CF9AE}" pid="10" name="Objective-Date of Request [system]">
    <vt:lpwstr/>
  </op:property>
  <op:property fmtid="{D5CDD505-2E9C-101B-9397-08002B2CF9AE}" pid="11" name="Objective-Date of Release [system]">
    <vt:lpwstr/>
  </op:property>
  <op:property fmtid="{D5CDD505-2E9C-101B-9397-08002B2CF9AE}" pid="12" name="Objective-FOI/EIR Disclosure Date [system]">
    <vt:lpwstr/>
  </op:property>
  <op:property fmtid="{D5CDD505-2E9C-101B-9397-08002B2CF9AE}" pid="13" name="Objective-FOI/EIR Dissemination Date [system]">
    <vt:lpwstr/>
  </op:property>
  <op:property fmtid="{D5CDD505-2E9C-101B-9397-08002B2CF9AE}" pid="14" name="Objective-FOI Release Details [system]">
    <vt:lpwstr/>
  </op:property>
  <op:property fmtid="{D5CDD505-2E9C-101B-9397-08002B2CF9AE}" pid="15" name="Objective-Connect Creator [system]">
    <vt:lpwstr/>
  </op:property>
  <op:property fmtid="{D5CDD505-2E9C-101B-9397-08002B2CF9AE}" pid="16" name="Customer-Id">
    <vt:lpwstr>71FFD1B571BE2883E0537D20C80A46C7</vt:lpwstr>
  </op:property>
  <op:property fmtid="{D5CDD505-2E9C-101B-9397-08002B2CF9AE}" pid="17" name="Objective-Id">
    <vt:lpwstr>A4321625</vt:lpwstr>
  </op:property>
  <op:property fmtid="{D5CDD505-2E9C-101B-9397-08002B2CF9AE}" pid="18" name="Objective-Title">
    <vt:lpwstr>G.11i Board of NatureScot Meeting - 06 December 2023 - Q2 2023-24 Performance Reports - Web version</vt:lpwstr>
  </op:property>
  <op:property fmtid="{D5CDD505-2E9C-101B-9397-08002B2CF9AE}" pid="19" name="Objective-Description">
    <vt:lpwstr/>
  </op:property>
  <op:property fmtid="{D5CDD505-2E9C-101B-9397-08002B2CF9AE}" pid="20" name="Objective-CreationStamp">
    <vt:filetime>2023-11-29T15:27:18Z</vt:filetime>
  </op:property>
  <op:property fmtid="{D5CDD505-2E9C-101B-9397-08002B2CF9AE}" pid="21" name="Objective-IsApproved">
    <vt:bool>false</vt:bool>
  </op:property>
  <op:property fmtid="{D5CDD505-2E9C-101B-9397-08002B2CF9AE}" pid="22" name="Objective-IsPublished">
    <vt:bool>true</vt:bool>
  </op:property>
  <op:property fmtid="{D5CDD505-2E9C-101B-9397-08002B2CF9AE}" pid="23" name="Objective-DatePublished">
    <vt:filetime>2023-11-29T15:27:25Z</vt:filetime>
  </op:property>
  <op:property fmtid="{D5CDD505-2E9C-101B-9397-08002B2CF9AE}" pid="24" name="Objective-ModificationStamp">
    <vt:filetime>2023-11-29T15:27:45Z</vt:filetime>
  </op:property>
  <op:property fmtid="{D5CDD505-2E9C-101B-9397-08002B2CF9AE}" pid="25" name="Objective-Owner">
    <vt:lpwstr>Mary-Anne Thomson</vt:lpwstr>
  </op:property>
  <op:property fmtid="{D5CDD505-2E9C-101B-9397-08002B2CF9AE}" pid="26" name="Objective-Path">
    <vt:lpwstr>Objective Global Folder:NatureScot Fileplan:MAN - Management:EO - Executive Office:BD - Board:SNH Board - Meetings:Board of NatureScot Meetings - 2023:209 - Board of NatureScot - 06 December 2023</vt:lpwstr>
  </op:property>
  <op:property fmtid="{D5CDD505-2E9C-101B-9397-08002B2CF9AE}" pid="27" name="Objective-Parent">
    <vt:lpwstr>209 - Board of NatureScot - 06 December 2023</vt:lpwstr>
  </op:property>
  <op:property fmtid="{D5CDD505-2E9C-101B-9397-08002B2CF9AE}" pid="28" name="Objective-State">
    <vt:lpwstr>Published</vt:lpwstr>
  </op:property>
  <op:property fmtid="{D5CDD505-2E9C-101B-9397-08002B2CF9AE}" pid="29" name="Objective-VersionId">
    <vt:lpwstr>vA7586359</vt:lpwstr>
  </op:property>
  <op:property fmtid="{D5CDD505-2E9C-101B-9397-08002B2CF9AE}" pid="30" name="Objective-Version">
    <vt:lpwstr>1.0</vt:lpwstr>
  </op:property>
  <op:property fmtid="{D5CDD505-2E9C-101B-9397-08002B2CF9AE}" pid="31" name="Objective-VersionNumber">
    <vt:r8>1</vt:r8>
  </op:property>
  <op:property fmtid="{D5CDD505-2E9C-101B-9397-08002B2CF9AE}" pid="32" name="Objective-VersionComment">
    <vt:lpwstr/>
  </op:property>
  <op:property fmtid="{D5CDD505-2E9C-101B-9397-08002B2CF9AE}" pid="33" name="Objective-FileNumber">
    <vt:lpwstr>qA177918</vt:lpwstr>
  </op:property>
  <op:property fmtid="{D5CDD505-2E9C-101B-9397-08002B2CF9AE}" pid="34" name="Objective-Classification">
    <vt:lpwstr/>
  </op:property>
  <op:property fmtid="{D5CDD505-2E9C-101B-9397-08002B2CF9AE}" pid="35" name="Objective-Caveats">
    <vt:lpwstr/>
  </op:property>
  <op:property fmtid="{D5CDD505-2E9C-101B-9397-08002B2CF9AE}" pid="36" name="Objective-Date of Original">
    <vt:lpwstr/>
  </op:property>
  <op:property fmtid="{D5CDD505-2E9C-101B-9397-08002B2CF9AE}" pid="37" name="Objective-Sensitivity Review Date">
    <vt:lpwstr/>
  </op:property>
  <op:property fmtid="{D5CDD505-2E9C-101B-9397-08002B2CF9AE}" pid="38" name="Objective-FOI Exemption">
    <vt:lpwstr>Release</vt:lpwstr>
  </op:property>
  <op:property fmtid="{D5CDD505-2E9C-101B-9397-08002B2CF9AE}" pid="39" name="Objective-DPA Exemption">
    <vt:lpwstr>Release</vt:lpwstr>
  </op:property>
  <op:property fmtid="{D5CDD505-2E9C-101B-9397-08002B2CF9AE}" pid="40" name="Objective-EIR Exception">
    <vt:lpwstr>Release</vt:lpwstr>
  </op:property>
  <op:property fmtid="{D5CDD505-2E9C-101B-9397-08002B2CF9AE}" pid="41" name="Objective-Justification">
    <vt:lpwstr/>
  </op:property>
  <op:property fmtid="{D5CDD505-2E9C-101B-9397-08002B2CF9AE}" pid="42" name="Objective-Date of Request">
    <vt:lpwstr/>
  </op:property>
  <op:property fmtid="{D5CDD505-2E9C-101B-9397-08002B2CF9AE}" pid="43" name="Objective-Date of Release">
    <vt:lpwstr/>
  </op:property>
  <op:property fmtid="{D5CDD505-2E9C-101B-9397-08002B2CF9AE}" pid="44" name="Objective-FOI/EIR Disclosure Date">
    <vt:lpwstr/>
  </op:property>
  <op:property fmtid="{D5CDD505-2E9C-101B-9397-08002B2CF9AE}" pid="45" name="Objective-FOI/EIR Dissemination Date">
    <vt:lpwstr/>
  </op:property>
  <op:property fmtid="{D5CDD505-2E9C-101B-9397-08002B2CF9AE}" pid="46" name="Objective-FOI Release Details">
    <vt:lpwstr/>
  </op:property>
  <op:property fmtid="{D5CDD505-2E9C-101B-9397-08002B2CF9AE}" pid="47" name="Objective-Connect Creator">
    <vt:lpwstr/>
  </op:property>
</op:Properties>
</file>