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7FB11D90" w:rsidR="00A932B9" w:rsidRDefault="003A0BAA" w:rsidP="005D0E4E">
      <w:pPr>
        <w:rPr>
          <w:rFonts w:cstheme="minorHAnsi"/>
          <w:color w:val="FF0000"/>
          <w:sz w:val="22"/>
        </w:rPr>
      </w:pPr>
      <w:bookmarkStart w:id="0" w:name="_GoBack"/>
      <w:bookmarkEnd w:id="0"/>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220D93AE" w14:textId="47E94974" w:rsidR="00DF4976" w:rsidRPr="003E22BB" w:rsidRDefault="00DF4976" w:rsidP="00DF4976">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032678">
        <w:rPr>
          <w:rFonts w:ascii="Calibri" w:hAnsi="Calibri" w:cs="Calibri"/>
          <w:sz w:val="24"/>
          <w:szCs w:val="24"/>
        </w:rPr>
        <w:t>Q4</w:t>
      </w:r>
      <w:r>
        <w:rPr>
          <w:rFonts w:ascii="Calibri" w:hAnsi="Calibri" w:cs="Calibri"/>
          <w:sz w:val="24"/>
          <w:szCs w:val="24"/>
        </w:rPr>
        <w:t xml:space="preserve"> Performance Report</w:t>
      </w:r>
      <w:r w:rsidR="002B21E8">
        <w:rPr>
          <w:rFonts w:ascii="Calibri" w:hAnsi="Calibri" w:cs="Calibri"/>
          <w:sz w:val="24"/>
          <w:szCs w:val="24"/>
        </w:rPr>
        <w:t xml:space="preserve"> 2022/23</w:t>
      </w:r>
    </w:p>
    <w:p w14:paraId="7DE75159" w14:textId="7DBE37C3" w:rsidR="00DF4976" w:rsidRDefault="00DF4976" w:rsidP="00DF4976">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C87458">
        <w:rPr>
          <w:rFonts w:cstheme="minorHAnsi"/>
          <w:b/>
          <w:color w:val="000000" w:themeColor="text1"/>
        </w:rPr>
        <w:t>10</w:t>
      </w:r>
      <w:r w:rsidR="00C87458" w:rsidRPr="00C87458">
        <w:rPr>
          <w:rFonts w:cstheme="minorHAnsi"/>
          <w:b/>
          <w:color w:val="000000" w:themeColor="text1"/>
          <w:vertAlign w:val="superscript"/>
        </w:rPr>
        <w:t>th</w:t>
      </w:r>
      <w:r w:rsidR="00C87458">
        <w:rPr>
          <w:rFonts w:cstheme="minorHAnsi"/>
          <w:b/>
          <w:color w:val="000000" w:themeColor="text1"/>
        </w:rPr>
        <w:t xml:space="preserve"> May</w:t>
      </w:r>
      <w:r>
        <w:rPr>
          <w:rFonts w:cstheme="minorHAnsi"/>
          <w:b/>
          <w:color w:val="000000" w:themeColor="text1"/>
        </w:rPr>
        <w:t xml:space="preserve"> 2023</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0419B1">
            <w:pPr>
              <w:rPr>
                <w:szCs w:val="24"/>
              </w:rPr>
            </w:pPr>
            <w:r w:rsidRPr="005D0E4E">
              <w:rPr>
                <w:rStyle w:val="Heading3Char"/>
                <w:rFonts w:ascii="Calibri" w:hAnsi="Calibri" w:cs="Calibri"/>
                <w:b/>
                <w:color w:val="auto"/>
              </w:rPr>
              <w:t>Purpose:</w:t>
            </w:r>
          </w:p>
        </w:tc>
        <w:tc>
          <w:tcPr>
            <w:tcW w:w="6469" w:type="dxa"/>
          </w:tcPr>
          <w:p w14:paraId="2E6CD882" w14:textId="2BB73478" w:rsidR="005D0E4E" w:rsidRPr="005D0E4E" w:rsidRDefault="00DF4976" w:rsidP="0032429D">
            <w:pPr>
              <w:contextualSpacing/>
              <w:rPr>
                <w:rFonts w:ascii="Calibri" w:eastAsia="Arial" w:hAnsi="Calibri" w:cs="Times New Roman"/>
                <w:szCs w:val="24"/>
              </w:rPr>
            </w:pPr>
            <w:r w:rsidRPr="005D31DD">
              <w:rPr>
                <w:rFonts w:ascii="Calibri" w:eastAsia="Arial" w:hAnsi="Calibri" w:cs="Times New Roman"/>
                <w:szCs w:val="24"/>
              </w:rPr>
              <w:t>Decision</w:t>
            </w:r>
          </w:p>
        </w:tc>
      </w:tr>
      <w:tr w:rsidR="005D0E4E" w:rsidRPr="005D0E4E" w14:paraId="13CE33D4" w14:textId="77777777" w:rsidTr="005D0E4E">
        <w:tc>
          <w:tcPr>
            <w:tcW w:w="2547" w:type="dxa"/>
          </w:tcPr>
          <w:p w14:paraId="34DC0A94" w14:textId="1FAE133F" w:rsidR="005D0E4E" w:rsidRPr="005D0E4E" w:rsidRDefault="005D0E4E" w:rsidP="000419B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237B7045" w:rsidR="005D0E4E" w:rsidRPr="005D0E4E" w:rsidRDefault="00032678" w:rsidP="005D0E4E">
            <w:pPr>
              <w:contextualSpacing/>
              <w:rPr>
                <w:rFonts w:ascii="Calibri" w:eastAsia="Arial" w:hAnsi="Calibri" w:cs="Times New Roman"/>
                <w:i/>
                <w:szCs w:val="24"/>
              </w:rPr>
            </w:pPr>
            <w:r>
              <w:rPr>
                <w:rFonts w:ascii="Calibri" w:eastAsia="Arial" w:hAnsi="Calibri" w:cs="Times New Roman"/>
                <w:szCs w:val="24"/>
              </w:rPr>
              <w:t>This paper presents Q4</w:t>
            </w:r>
            <w:r w:rsidR="00DF4976" w:rsidRPr="005D31DD">
              <w:rPr>
                <w:rFonts w:ascii="Calibri" w:eastAsia="Arial" w:hAnsi="Calibri" w:cs="Times New Roman"/>
                <w:szCs w:val="24"/>
              </w:rPr>
              <w:t xml:space="preserve"> progress towards delivery of our corporate priorities as laid out in our Business Plan, A Nature-rich future for all: Year 1.</w:t>
            </w:r>
          </w:p>
        </w:tc>
      </w:tr>
      <w:tr w:rsidR="005D0E4E" w:rsidRPr="005D0E4E" w14:paraId="5F6879B4" w14:textId="77777777" w:rsidTr="005D0E4E">
        <w:tc>
          <w:tcPr>
            <w:tcW w:w="2547" w:type="dxa"/>
          </w:tcPr>
          <w:p w14:paraId="278D0DA3" w14:textId="3D465FF9" w:rsidR="005D0E4E" w:rsidRPr="005D0E4E" w:rsidRDefault="005D0E4E" w:rsidP="000419B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2338C980" w:rsidR="005D0E4E" w:rsidRPr="005D0E4E" w:rsidRDefault="00032678" w:rsidP="00D43D99">
            <w:pPr>
              <w:contextualSpacing/>
              <w:rPr>
                <w:rFonts w:ascii="Calibri" w:eastAsia="Arial" w:hAnsi="Calibri" w:cs="Times New Roman"/>
                <w:i/>
                <w:szCs w:val="24"/>
              </w:rPr>
            </w:pPr>
            <w:r w:rsidRPr="001332B9">
              <w:rPr>
                <w:rFonts w:ascii="Calibri" w:eastAsia="Arial" w:hAnsi="Calibri" w:cs="Calibri"/>
                <w:szCs w:val="24"/>
              </w:rPr>
              <w:t>At the end of Q4</w:t>
            </w:r>
            <w:r w:rsidR="00003504" w:rsidRPr="001332B9">
              <w:rPr>
                <w:rFonts w:ascii="Calibri" w:eastAsia="Arial" w:hAnsi="Calibri" w:cs="Calibri"/>
                <w:szCs w:val="24"/>
              </w:rPr>
              <w:t>, performance for 14 of our 15 Corporate plan object</w:t>
            </w:r>
            <w:r w:rsidRPr="001332B9">
              <w:rPr>
                <w:rFonts w:ascii="Calibri" w:eastAsia="Arial" w:hAnsi="Calibri" w:cs="Calibri"/>
                <w:szCs w:val="24"/>
              </w:rPr>
              <w:t xml:space="preserve">ives are rated as ‘on track’.  </w:t>
            </w:r>
            <w:r w:rsidR="00D43D99">
              <w:rPr>
                <w:rFonts w:ascii="Calibri" w:eastAsia="Arial" w:hAnsi="Calibri" w:cs="Calibri"/>
                <w:szCs w:val="24"/>
              </w:rPr>
              <w:t xml:space="preserve">The score for one corporate </w:t>
            </w:r>
            <w:r w:rsidR="00BB034E" w:rsidRPr="00BB034E">
              <w:rPr>
                <w:rFonts w:ascii="Calibri" w:eastAsia="Arial" w:hAnsi="Calibri" w:cs="Calibri"/>
                <w:szCs w:val="24"/>
              </w:rPr>
              <w:t>risk scores</w:t>
            </w:r>
            <w:r w:rsidR="00D43D99">
              <w:rPr>
                <w:rFonts w:ascii="Calibri" w:eastAsia="Arial" w:hAnsi="Calibri" w:cs="Calibri"/>
                <w:szCs w:val="24"/>
              </w:rPr>
              <w:t xml:space="preserve"> has reduced</w:t>
            </w:r>
            <w:r w:rsidR="00BB034E" w:rsidRPr="00BB034E">
              <w:rPr>
                <w:rFonts w:ascii="Calibri" w:eastAsia="Arial" w:hAnsi="Calibri" w:cs="Calibri"/>
                <w:szCs w:val="24"/>
              </w:rPr>
              <w:t xml:space="preserve"> this quarter. </w:t>
            </w:r>
            <w:r w:rsidR="00003504" w:rsidRPr="00BB034E">
              <w:rPr>
                <w:rFonts w:ascii="Calibri" w:eastAsia="Arial" w:hAnsi="Calibri" w:cs="Calibri"/>
                <w:szCs w:val="24"/>
              </w:rPr>
              <w:t xml:space="preserve">There are no new corporate risks for escalation </w:t>
            </w:r>
            <w:r w:rsidR="00BB034E" w:rsidRPr="00BB034E">
              <w:rPr>
                <w:rFonts w:ascii="Calibri" w:eastAsia="Arial" w:hAnsi="Calibri" w:cs="Calibri"/>
                <w:szCs w:val="24"/>
              </w:rPr>
              <w:t>or</w:t>
            </w:r>
            <w:r w:rsidR="00003504" w:rsidRPr="00BB034E">
              <w:rPr>
                <w:rFonts w:ascii="Calibri" w:eastAsia="Arial" w:hAnsi="Calibri" w:cs="Calibri"/>
                <w:szCs w:val="24"/>
              </w:rPr>
              <w:t xml:space="preserve"> de-escalation. </w:t>
            </w:r>
            <w:r w:rsidR="005C2A4F" w:rsidRPr="005C2A4F">
              <w:rPr>
                <w:rFonts w:ascii="Calibri" w:eastAsia="Arial" w:hAnsi="Calibri" w:cs="Calibri"/>
                <w:szCs w:val="24"/>
              </w:rPr>
              <w:t xml:space="preserve">Our Resource budget is expected to outturn below tolerance due to </w:t>
            </w:r>
            <w:r w:rsidR="008B5715">
              <w:rPr>
                <w:rFonts w:ascii="Calibri" w:eastAsia="Arial" w:hAnsi="Calibri" w:cs="Calibri"/>
                <w:szCs w:val="24"/>
              </w:rPr>
              <w:t xml:space="preserve">two factors </w:t>
            </w:r>
            <w:proofErr w:type="spellStart"/>
            <w:r w:rsidR="008B5715">
              <w:rPr>
                <w:rFonts w:ascii="Calibri" w:eastAsia="Arial" w:hAnsi="Calibri" w:cs="Calibri"/>
                <w:szCs w:val="24"/>
              </w:rPr>
              <w:t>outwith</w:t>
            </w:r>
            <w:proofErr w:type="spellEnd"/>
            <w:r w:rsidR="008B5715">
              <w:rPr>
                <w:rFonts w:ascii="Calibri" w:eastAsia="Arial" w:hAnsi="Calibri" w:cs="Calibri"/>
                <w:szCs w:val="24"/>
              </w:rPr>
              <w:t xml:space="preserve"> our control - delivery</w:t>
            </w:r>
            <w:r w:rsidR="005C2A4F" w:rsidRPr="005C2A4F">
              <w:rPr>
                <w:rFonts w:ascii="Calibri" w:eastAsia="Arial" w:hAnsi="Calibri" w:cs="Calibri"/>
                <w:szCs w:val="24"/>
              </w:rPr>
              <w:t xml:space="preserve"> on Farming with Nature (</w:t>
            </w:r>
            <w:proofErr w:type="spellStart"/>
            <w:r w:rsidR="005C2A4F" w:rsidRPr="005C2A4F">
              <w:rPr>
                <w:rFonts w:ascii="Calibri" w:eastAsia="Arial" w:hAnsi="Calibri" w:cs="Calibri"/>
                <w:szCs w:val="24"/>
              </w:rPr>
              <w:t>FwN</w:t>
            </w:r>
            <w:proofErr w:type="spellEnd"/>
            <w:r w:rsidR="005C2A4F" w:rsidRPr="005C2A4F">
              <w:rPr>
                <w:rFonts w:ascii="Calibri" w:eastAsia="Arial" w:hAnsi="Calibri" w:cs="Calibri"/>
                <w:szCs w:val="24"/>
              </w:rPr>
              <w:t xml:space="preserve">) </w:t>
            </w:r>
            <w:r w:rsidR="008B5715">
              <w:rPr>
                <w:rFonts w:ascii="Calibri" w:eastAsia="Arial" w:hAnsi="Calibri" w:cs="Calibri"/>
                <w:szCs w:val="24"/>
              </w:rPr>
              <w:t>was</w:t>
            </w:r>
            <w:r w:rsidR="005C2A4F" w:rsidRPr="005C2A4F">
              <w:rPr>
                <w:rFonts w:ascii="Calibri" w:eastAsia="Arial" w:hAnsi="Calibri" w:cs="Calibri"/>
                <w:szCs w:val="24"/>
              </w:rPr>
              <w:t xml:space="preserve"> delayed pending </w:t>
            </w:r>
            <w:r w:rsidR="008B5715">
              <w:rPr>
                <w:rFonts w:ascii="Calibri" w:eastAsia="Arial" w:hAnsi="Calibri" w:cs="Calibri"/>
                <w:szCs w:val="24"/>
              </w:rPr>
              <w:t>input</w:t>
            </w:r>
            <w:r w:rsidR="005C2A4F" w:rsidRPr="005C2A4F">
              <w:rPr>
                <w:rFonts w:ascii="Calibri" w:eastAsia="Arial" w:hAnsi="Calibri" w:cs="Calibri"/>
                <w:szCs w:val="24"/>
              </w:rPr>
              <w:t xml:space="preserve"> from SG and </w:t>
            </w:r>
            <w:r w:rsidR="008B5715">
              <w:rPr>
                <w:rFonts w:ascii="Calibri" w:eastAsia="Arial" w:hAnsi="Calibri" w:cs="Calibri"/>
                <w:szCs w:val="24"/>
              </w:rPr>
              <w:t>additional budget was allocated by SG for d</w:t>
            </w:r>
            <w:r w:rsidR="005C2A4F" w:rsidRPr="005C2A4F">
              <w:rPr>
                <w:rFonts w:ascii="Calibri" w:eastAsia="Arial" w:hAnsi="Calibri" w:cs="Calibri"/>
                <w:szCs w:val="24"/>
              </w:rPr>
              <w:t xml:space="preserve">epreciation </w:t>
            </w:r>
            <w:r w:rsidR="008B5715">
              <w:rPr>
                <w:rFonts w:ascii="Calibri" w:eastAsia="Arial" w:hAnsi="Calibri" w:cs="Calibri"/>
                <w:szCs w:val="24"/>
              </w:rPr>
              <w:t>as we transition to a new accounting standard (IFRS-16)</w:t>
            </w:r>
            <w:r w:rsidR="005C2A4F" w:rsidRPr="005C2A4F">
              <w:rPr>
                <w:rFonts w:ascii="Calibri" w:eastAsia="Arial" w:hAnsi="Calibri" w:cs="Calibri"/>
                <w:szCs w:val="24"/>
              </w:rPr>
              <w:t xml:space="preserve">.  </w:t>
            </w:r>
            <w:r w:rsidR="008B5715">
              <w:rPr>
                <w:rFonts w:ascii="Calibri" w:eastAsia="Arial" w:hAnsi="Calibri" w:cs="Calibri"/>
                <w:szCs w:val="24"/>
              </w:rPr>
              <w:t xml:space="preserve">Direct </w:t>
            </w:r>
            <w:r w:rsidR="005C2A4F" w:rsidRPr="005C2A4F">
              <w:rPr>
                <w:rFonts w:ascii="Calibri" w:eastAsia="Arial" w:hAnsi="Calibri" w:cs="Calibri"/>
                <w:szCs w:val="24"/>
              </w:rPr>
              <w:t xml:space="preserve">Capital is expected to outturn below tolerance due to large projects slipping into 23/24. Indirect Capital is </w:t>
            </w:r>
            <w:r w:rsidR="008B5715">
              <w:rPr>
                <w:rFonts w:ascii="Calibri" w:eastAsia="Arial" w:hAnsi="Calibri" w:cs="Calibri"/>
                <w:szCs w:val="24"/>
              </w:rPr>
              <w:t>on track</w:t>
            </w:r>
            <w:r w:rsidR="005C2A4F" w:rsidRPr="005C2A4F">
              <w:rPr>
                <w:rFonts w:ascii="Calibri" w:eastAsia="Arial" w:hAnsi="Calibri" w:cs="Calibri"/>
                <w:szCs w:val="24"/>
              </w:rPr>
              <w:t>.</w:t>
            </w:r>
            <w:r w:rsidR="005C2A4F">
              <w:rPr>
                <w:rFonts w:ascii="Calibri" w:eastAsia="Arial" w:hAnsi="Calibri" w:cs="Calibri"/>
                <w:szCs w:val="24"/>
              </w:rPr>
              <w:t xml:space="preserve"> </w:t>
            </w:r>
            <w:r w:rsidR="00003504" w:rsidRPr="00AC6E31">
              <w:rPr>
                <w:rFonts w:ascii="Calibri" w:eastAsia="Arial" w:hAnsi="Calibri" w:cs="Calibri"/>
                <w:szCs w:val="24"/>
              </w:rPr>
              <w:t xml:space="preserve">In the People Report, </w:t>
            </w:r>
            <w:r w:rsidR="00910E8A" w:rsidRPr="00AC6E31">
              <w:rPr>
                <w:rFonts w:ascii="Calibri" w:hAnsi="Calibri" w:cs="Calibri"/>
                <w:szCs w:val="24"/>
              </w:rPr>
              <w:t>eight of</w:t>
            </w:r>
            <w:r w:rsidR="00D65835" w:rsidRPr="00AC6E31">
              <w:rPr>
                <w:rFonts w:ascii="Calibri" w:hAnsi="Calibri" w:cs="Calibri"/>
                <w:szCs w:val="24"/>
              </w:rPr>
              <w:t xml:space="preserve"> the</w:t>
            </w:r>
            <w:r w:rsidR="00910E8A" w:rsidRPr="00AC6E31">
              <w:rPr>
                <w:rFonts w:ascii="Calibri" w:hAnsi="Calibri" w:cs="Calibri"/>
                <w:szCs w:val="24"/>
              </w:rPr>
              <w:t xml:space="preserve"> nine</w:t>
            </w:r>
            <w:r w:rsidR="00003504" w:rsidRPr="00AC6E31">
              <w:rPr>
                <w:rFonts w:ascii="Calibri" w:hAnsi="Calibri" w:cs="Calibri"/>
                <w:szCs w:val="24"/>
              </w:rPr>
              <w:t xml:space="preserve"> indicators are green and one </w:t>
            </w:r>
            <w:r w:rsidR="00D65835" w:rsidRPr="00AC6E31">
              <w:rPr>
                <w:rFonts w:ascii="Calibri" w:hAnsi="Calibri" w:cs="Calibri"/>
                <w:szCs w:val="24"/>
              </w:rPr>
              <w:t xml:space="preserve">remains at </w:t>
            </w:r>
            <w:r w:rsidR="00003504" w:rsidRPr="00AC6E31">
              <w:rPr>
                <w:rFonts w:ascii="Calibri" w:hAnsi="Calibri" w:cs="Calibri"/>
                <w:szCs w:val="24"/>
              </w:rPr>
              <w:t>amber.</w:t>
            </w: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6ED60FBE" w:rsidR="005D0E4E" w:rsidRPr="005D0E4E" w:rsidRDefault="000419B1" w:rsidP="002B21E8">
            <w:pPr>
              <w:rPr>
                <w:rFonts w:ascii="Calibri" w:eastAsia="Arial" w:hAnsi="Calibri" w:cs="Times New Roman"/>
                <w:szCs w:val="24"/>
              </w:rPr>
            </w:pPr>
            <w:r w:rsidRPr="00B41BBB">
              <w:rPr>
                <w:rFonts w:ascii="Calibri" w:eastAsia="Arial" w:hAnsi="Calibri" w:cs="Calibri"/>
                <w:color w:val="000000" w:themeColor="text1"/>
                <w:szCs w:val="24"/>
              </w:rPr>
              <w:t xml:space="preserve">To </w:t>
            </w:r>
            <w:r w:rsidR="002B21E8">
              <w:rPr>
                <w:rFonts w:ascii="Calibri" w:eastAsia="Arial" w:hAnsi="Calibri" w:cs="Calibri"/>
                <w:color w:val="000000" w:themeColor="text1"/>
                <w:szCs w:val="24"/>
              </w:rPr>
              <w:t>agree</w:t>
            </w:r>
            <w:r w:rsidRPr="00B41BBB">
              <w:rPr>
                <w:rFonts w:ascii="Calibri" w:eastAsia="Arial" w:hAnsi="Calibri" w:cs="Calibri"/>
                <w:color w:val="000000" w:themeColor="text1"/>
                <w:szCs w:val="24"/>
              </w:rPr>
              <w:t xml:space="preserve"> the recommendations below</w:t>
            </w:r>
          </w:p>
        </w:tc>
      </w:tr>
      <w:tr w:rsidR="000419B1" w:rsidRPr="005D0E4E" w14:paraId="187A143B" w14:textId="77777777" w:rsidTr="005D0E4E">
        <w:tc>
          <w:tcPr>
            <w:tcW w:w="2547" w:type="dxa"/>
          </w:tcPr>
          <w:p w14:paraId="1E0B416A" w14:textId="5808D500" w:rsidR="000419B1" w:rsidRPr="005D0E4E" w:rsidRDefault="000419B1" w:rsidP="000419B1">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403BBD8" w14:textId="04AF88CD" w:rsidR="000419B1" w:rsidRPr="00B41BBB" w:rsidRDefault="00C87458" w:rsidP="000419B1">
            <w:pPr>
              <w:contextualSpacing/>
              <w:rPr>
                <w:rFonts w:ascii="Calibri" w:eastAsia="Arial" w:hAnsi="Calibri" w:cs="Calibri"/>
                <w:i/>
                <w:color w:val="000000" w:themeColor="text1"/>
                <w:szCs w:val="24"/>
              </w:rPr>
            </w:pPr>
            <w:r>
              <w:rPr>
                <w:rFonts w:ascii="Calibri" w:eastAsia="Arial" w:hAnsi="Calibri" w:cs="Calibri"/>
                <w:color w:val="000000" w:themeColor="text1"/>
                <w:szCs w:val="24"/>
              </w:rPr>
              <w:t>Board</w:t>
            </w:r>
            <w:r w:rsidR="000419B1" w:rsidRPr="00B41BBB">
              <w:rPr>
                <w:rFonts w:ascii="Calibri" w:eastAsia="Arial" w:hAnsi="Calibri" w:cs="Calibri"/>
                <w:color w:val="000000" w:themeColor="text1"/>
                <w:szCs w:val="24"/>
              </w:rPr>
              <w:t xml:space="preserve"> are asked to:</w:t>
            </w:r>
          </w:p>
          <w:p w14:paraId="2E4A3AB7" w14:textId="7CE18F82" w:rsidR="000419B1" w:rsidRPr="00B41BBB" w:rsidRDefault="007A33E7" w:rsidP="003E7B62">
            <w:pPr>
              <w:pStyle w:val="ListParagraph"/>
              <w:numPr>
                <w:ilvl w:val="1"/>
                <w:numId w:val="2"/>
              </w:numPr>
              <w:rPr>
                <w:rFonts w:ascii="Calibri" w:eastAsia="Arial" w:hAnsi="Calibri" w:cs="Calibri"/>
                <w:szCs w:val="24"/>
              </w:rPr>
            </w:pPr>
            <w:r>
              <w:rPr>
                <w:rFonts w:ascii="Calibri" w:eastAsia="Arial" w:hAnsi="Calibri" w:cs="Calibri"/>
                <w:szCs w:val="24"/>
              </w:rPr>
              <w:t>Approve</w:t>
            </w:r>
            <w:r w:rsidR="000419B1" w:rsidRPr="00B41BBB">
              <w:rPr>
                <w:rFonts w:ascii="Calibri" w:eastAsia="Arial" w:hAnsi="Calibri" w:cs="Calibri"/>
                <w:szCs w:val="24"/>
              </w:rPr>
              <w:t xml:space="preserve"> the overall performance of the Corporate Plan objectives </w:t>
            </w:r>
            <w:r w:rsidR="00A65145">
              <w:rPr>
                <w:rFonts w:ascii="Calibri" w:eastAsia="Arial" w:hAnsi="Calibri" w:cs="Calibri"/>
                <w:szCs w:val="24"/>
              </w:rPr>
              <w:t>(Performance Report)</w:t>
            </w:r>
          </w:p>
          <w:p w14:paraId="70BB51DF" w14:textId="0745C48B" w:rsidR="000419B1" w:rsidRPr="00B41BBB" w:rsidRDefault="007A33E7" w:rsidP="003E7B62">
            <w:pPr>
              <w:pStyle w:val="ListParagraph"/>
              <w:numPr>
                <w:ilvl w:val="1"/>
                <w:numId w:val="2"/>
              </w:numPr>
              <w:rPr>
                <w:rFonts w:ascii="Calibri" w:eastAsia="Arial" w:hAnsi="Calibri" w:cs="Calibri"/>
                <w:szCs w:val="24"/>
              </w:rPr>
            </w:pPr>
            <w:r>
              <w:rPr>
                <w:rFonts w:ascii="Calibri" w:eastAsia="Arial" w:hAnsi="Calibri" w:cs="Calibri"/>
                <w:szCs w:val="24"/>
              </w:rPr>
              <w:t>Approve</w:t>
            </w:r>
            <w:r w:rsidR="000419B1" w:rsidRPr="00B41BBB">
              <w:rPr>
                <w:rFonts w:ascii="Calibri" w:eastAsia="Arial" w:hAnsi="Calibri" w:cs="Calibri"/>
                <w:szCs w:val="24"/>
              </w:rPr>
              <w:t xml:space="preserve"> the position of the operating and capital budgets (Finance Report)</w:t>
            </w:r>
          </w:p>
          <w:p w14:paraId="5D40DE95" w14:textId="08F6C3F1" w:rsidR="000419B1" w:rsidRPr="001C547B" w:rsidRDefault="007A33E7" w:rsidP="003E7B62">
            <w:pPr>
              <w:pStyle w:val="ListParagraph"/>
              <w:numPr>
                <w:ilvl w:val="1"/>
                <w:numId w:val="2"/>
              </w:numPr>
              <w:rPr>
                <w:rFonts w:ascii="Calibri" w:eastAsia="Arial" w:hAnsi="Calibri" w:cs="Calibri"/>
                <w:szCs w:val="24"/>
              </w:rPr>
            </w:pPr>
            <w:r>
              <w:rPr>
                <w:rFonts w:ascii="Calibri" w:eastAsia="Arial" w:hAnsi="Calibri" w:cs="Calibri"/>
                <w:szCs w:val="24"/>
              </w:rPr>
              <w:t>Approve</w:t>
            </w:r>
            <w:r w:rsidR="000419B1" w:rsidRPr="001C547B">
              <w:rPr>
                <w:rFonts w:ascii="Calibri" w:eastAsia="Arial" w:hAnsi="Calibri" w:cs="Calibri"/>
                <w:szCs w:val="24"/>
              </w:rPr>
              <w:t xml:space="preserve"> the per</w:t>
            </w:r>
            <w:r w:rsidR="000419B1">
              <w:rPr>
                <w:rFonts w:ascii="Calibri" w:eastAsia="Arial" w:hAnsi="Calibri" w:cs="Calibri"/>
                <w:szCs w:val="24"/>
              </w:rPr>
              <w:t>formance of the corporate risks</w:t>
            </w:r>
            <w:r w:rsidR="000419B1" w:rsidRPr="001C547B">
              <w:rPr>
                <w:rFonts w:ascii="Calibri" w:eastAsia="Arial" w:hAnsi="Calibri" w:cs="Calibri"/>
                <w:szCs w:val="24"/>
              </w:rPr>
              <w:t xml:space="preserve"> </w:t>
            </w:r>
            <w:r w:rsidR="00A65145">
              <w:rPr>
                <w:rFonts w:ascii="Calibri" w:eastAsia="Arial" w:hAnsi="Calibri" w:cs="Calibri"/>
                <w:szCs w:val="24"/>
              </w:rPr>
              <w:t>(Risk Report)</w:t>
            </w:r>
          </w:p>
          <w:p w14:paraId="30D9395B" w14:textId="19610820" w:rsidR="000419B1" w:rsidRPr="00DF4976" w:rsidRDefault="007A33E7" w:rsidP="003E7B62">
            <w:pPr>
              <w:pStyle w:val="ListParagraph"/>
              <w:numPr>
                <w:ilvl w:val="1"/>
                <w:numId w:val="2"/>
              </w:numPr>
              <w:rPr>
                <w:rFonts w:ascii="Calibri" w:eastAsia="Arial" w:hAnsi="Calibri" w:cs="Times New Roman"/>
                <w:szCs w:val="24"/>
              </w:rPr>
            </w:pPr>
            <w:r>
              <w:rPr>
                <w:rFonts w:ascii="Calibri" w:eastAsia="Arial" w:hAnsi="Calibri" w:cs="Calibri"/>
                <w:szCs w:val="24"/>
              </w:rPr>
              <w:t>Approve</w:t>
            </w:r>
            <w:r w:rsidR="000419B1" w:rsidRPr="00B41BBB">
              <w:rPr>
                <w:rFonts w:ascii="Calibri" w:eastAsia="Arial" w:hAnsi="Calibri" w:cs="Calibri"/>
                <w:szCs w:val="24"/>
              </w:rPr>
              <w:t xml:space="preserve"> the overall performance of the People Meas</w:t>
            </w:r>
            <w:r w:rsidR="000419B1" w:rsidRPr="000419B1">
              <w:rPr>
                <w:rFonts w:ascii="Calibri" w:eastAsia="Arial" w:hAnsi="Calibri" w:cs="Calibri"/>
                <w:szCs w:val="24"/>
              </w:rPr>
              <w:t>ures</w:t>
            </w:r>
            <w:r w:rsidR="00A65145">
              <w:rPr>
                <w:rFonts w:ascii="Calibri" w:eastAsia="Arial" w:hAnsi="Calibri" w:cs="Calibri"/>
                <w:szCs w:val="24"/>
              </w:rPr>
              <w:t xml:space="preserve"> (People Report)</w:t>
            </w:r>
          </w:p>
        </w:tc>
      </w:tr>
      <w:tr w:rsidR="000419B1" w:rsidRPr="005D0E4E" w14:paraId="1611D4CD" w14:textId="77777777" w:rsidTr="005D0E4E">
        <w:tc>
          <w:tcPr>
            <w:tcW w:w="2547" w:type="dxa"/>
          </w:tcPr>
          <w:p w14:paraId="1E66C971" w14:textId="77777777" w:rsidR="000419B1" w:rsidRPr="005D0E4E" w:rsidRDefault="000419B1" w:rsidP="000419B1">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75547674" w:rsidR="000419B1" w:rsidRPr="005D0E4E" w:rsidRDefault="000419B1" w:rsidP="000419B1">
            <w:pPr>
              <w:rPr>
                <w:rFonts w:ascii="Calibri" w:eastAsia="Arial" w:hAnsi="Calibri" w:cs="Times New Roman"/>
                <w:szCs w:val="24"/>
              </w:rPr>
            </w:pPr>
            <w:r w:rsidRPr="00DF4976">
              <w:rPr>
                <w:rFonts w:ascii="Calibri" w:eastAsia="Arial" w:hAnsi="Calibri" w:cs="Times New Roman"/>
                <w:szCs w:val="24"/>
              </w:rPr>
              <w:t>Authors – Directors, Deputy Directors, Outcomes Managers, Finance, Planning &amp; Performance Team, People &amp; OD Team</w:t>
            </w:r>
          </w:p>
        </w:tc>
      </w:tr>
      <w:tr w:rsidR="000419B1" w:rsidRPr="005D0E4E" w14:paraId="28B18A8B" w14:textId="77777777" w:rsidTr="005D0E4E">
        <w:tc>
          <w:tcPr>
            <w:tcW w:w="2547" w:type="dxa"/>
          </w:tcPr>
          <w:p w14:paraId="451D6F59" w14:textId="77777777" w:rsidR="000419B1" w:rsidRPr="005D0E4E" w:rsidRDefault="000419B1" w:rsidP="000419B1">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002D839F" w:rsidR="000419B1" w:rsidRPr="005D0E4E" w:rsidRDefault="000419B1" w:rsidP="000419B1">
            <w:pPr>
              <w:rPr>
                <w:rFonts w:ascii="Calibri" w:eastAsia="Arial" w:hAnsi="Calibri" w:cs="Times New Roman"/>
                <w:szCs w:val="24"/>
              </w:rPr>
            </w:pPr>
            <w:r w:rsidRPr="00DF4976">
              <w:rPr>
                <w:rFonts w:ascii="Calibri" w:eastAsia="Arial" w:hAnsi="Calibri" w:cs="Times New Roman"/>
                <w:szCs w:val="24"/>
              </w:rPr>
              <w:t>Stuart MacQuarrie, Jane Macdonald</w:t>
            </w:r>
          </w:p>
        </w:tc>
      </w:tr>
      <w:tr w:rsidR="00257C14" w:rsidRPr="005D0E4E" w14:paraId="6DFC50E2" w14:textId="77777777" w:rsidTr="005D0E4E">
        <w:tc>
          <w:tcPr>
            <w:tcW w:w="2547" w:type="dxa"/>
          </w:tcPr>
          <w:p w14:paraId="6F9368F7" w14:textId="3B329E59" w:rsidR="00257C14" w:rsidRPr="005D0E4E" w:rsidRDefault="00257C14" w:rsidP="000419B1">
            <w:pPr>
              <w:contextualSpacing/>
              <w:rPr>
                <w:rFonts w:ascii="Calibri" w:eastAsia="Arial" w:hAnsi="Calibri" w:cs="Times New Roman"/>
                <w:b/>
                <w:szCs w:val="24"/>
              </w:rPr>
            </w:pPr>
            <w:r>
              <w:rPr>
                <w:rFonts w:ascii="Calibri" w:eastAsia="Arial" w:hAnsi="Calibri" w:cs="Times New Roman"/>
                <w:b/>
                <w:szCs w:val="24"/>
              </w:rPr>
              <w:t>Annex</w:t>
            </w:r>
          </w:p>
        </w:tc>
        <w:tc>
          <w:tcPr>
            <w:tcW w:w="6469" w:type="dxa"/>
          </w:tcPr>
          <w:p w14:paraId="0E278DFF" w14:textId="500BE645" w:rsidR="00395590" w:rsidRDefault="00436F2C" w:rsidP="000419B1">
            <w:pPr>
              <w:rPr>
                <w:rFonts w:ascii="Calibri" w:eastAsia="Arial" w:hAnsi="Calibri" w:cs="Times New Roman"/>
                <w:szCs w:val="24"/>
              </w:rPr>
            </w:pPr>
            <w:r>
              <w:rPr>
                <w:rFonts w:ascii="Calibri" w:eastAsia="Arial" w:hAnsi="Calibri" w:cs="Times New Roman"/>
                <w:szCs w:val="24"/>
              </w:rPr>
              <w:t>Annex A</w:t>
            </w:r>
            <w:r w:rsidR="00395590">
              <w:rPr>
                <w:rFonts w:ascii="Calibri" w:eastAsia="Arial" w:hAnsi="Calibri" w:cs="Times New Roman"/>
                <w:szCs w:val="24"/>
              </w:rPr>
              <w:t xml:space="preserve"> – Progress on Corporate Plan at the end of Year 1</w:t>
            </w:r>
          </w:p>
          <w:p w14:paraId="052EC305" w14:textId="017E6B1A" w:rsidR="00436F2C" w:rsidRPr="00DF4976" w:rsidRDefault="00436F2C" w:rsidP="000419B1">
            <w:pPr>
              <w:rPr>
                <w:rFonts w:ascii="Calibri" w:eastAsia="Arial" w:hAnsi="Calibri" w:cs="Times New Roman"/>
                <w:szCs w:val="24"/>
              </w:rPr>
            </w:pPr>
            <w:r>
              <w:rPr>
                <w:rFonts w:ascii="Calibri" w:eastAsia="Arial" w:hAnsi="Calibri" w:cs="Times New Roman"/>
                <w:szCs w:val="24"/>
              </w:rPr>
              <w:t>Annex B – Corporate Risk Register</w:t>
            </w:r>
          </w:p>
        </w:tc>
      </w:tr>
    </w:tbl>
    <w:p w14:paraId="57D5C4E4" w14:textId="699B3E93" w:rsidR="00A65145" w:rsidRDefault="00A65145" w:rsidP="00FA0E12">
      <w:pPr>
        <w:spacing w:after="0" w:line="240" w:lineRule="auto"/>
        <w:jc w:val="both"/>
      </w:pPr>
    </w:p>
    <w:p w14:paraId="03BC7841" w14:textId="77777777" w:rsidR="00A65145" w:rsidRDefault="00A65145">
      <w:r>
        <w:br w:type="page"/>
      </w:r>
    </w:p>
    <w:p w14:paraId="3F84ED95" w14:textId="77777777" w:rsidR="00DA6B4D" w:rsidRPr="00530421" w:rsidRDefault="00DA6B4D" w:rsidP="00FA0E12">
      <w:pPr>
        <w:spacing w:after="0" w:line="240" w:lineRule="auto"/>
        <w:jc w:val="both"/>
        <w:rPr>
          <w:rFonts w:cstheme="minorHAnsi"/>
          <w:b/>
          <w:szCs w:val="24"/>
        </w:rPr>
      </w:pPr>
    </w:p>
    <w:p w14:paraId="75A9B58A" w14:textId="77777777" w:rsidR="00D72178" w:rsidRPr="00B6615A" w:rsidRDefault="00D72178" w:rsidP="00D72178">
      <w:pPr>
        <w:pStyle w:val="Heading2"/>
        <w:rPr>
          <w:rFonts w:ascii="Calibri" w:eastAsia="Times New Roman" w:hAnsi="Calibri" w:cs="Calibri"/>
          <w:szCs w:val="24"/>
        </w:rPr>
      </w:pPr>
      <w:r w:rsidRPr="00B6615A">
        <w:rPr>
          <w:rFonts w:ascii="Calibri" w:eastAsia="Times New Roman" w:hAnsi="Calibri" w:cs="Calibri"/>
          <w:szCs w:val="24"/>
        </w:rPr>
        <w:t xml:space="preserve">Purpose </w:t>
      </w:r>
    </w:p>
    <w:p w14:paraId="0AA665BF" w14:textId="1378C594" w:rsidR="00D72178" w:rsidRPr="00CD5336" w:rsidRDefault="00D72178" w:rsidP="003E7B62">
      <w:pPr>
        <w:pStyle w:val="ListParagraph"/>
        <w:numPr>
          <w:ilvl w:val="0"/>
          <w:numId w:val="1"/>
        </w:numPr>
        <w:ind w:left="357" w:hanging="357"/>
        <w:rPr>
          <w:rFonts w:ascii="Calibri" w:eastAsia="Calibri" w:hAnsi="Calibri" w:cs="Calibri"/>
          <w:color w:val="000000" w:themeColor="text1"/>
          <w:szCs w:val="24"/>
        </w:rPr>
      </w:pPr>
      <w:r w:rsidRPr="00B6615A">
        <w:rPr>
          <w:rFonts w:ascii="Calibri" w:eastAsia="Calibri" w:hAnsi="Calibri" w:cs="Calibri"/>
          <w:szCs w:val="24"/>
        </w:rPr>
        <w:t xml:space="preserve">This paper presents NatureScot’s performance for the </w:t>
      </w:r>
      <w:r w:rsidR="00032678">
        <w:rPr>
          <w:rFonts w:ascii="Calibri" w:eastAsia="Calibri" w:hAnsi="Calibri" w:cs="Calibri"/>
          <w:szCs w:val="24"/>
        </w:rPr>
        <w:t>final</w:t>
      </w:r>
      <w:r w:rsidRPr="00B6615A">
        <w:rPr>
          <w:rFonts w:ascii="Calibri" w:eastAsia="Calibri" w:hAnsi="Calibri" w:cs="Calibri"/>
          <w:szCs w:val="24"/>
        </w:rPr>
        <w:t xml:space="preserve"> quarter of 20</w:t>
      </w:r>
      <w:r>
        <w:rPr>
          <w:rFonts w:ascii="Calibri" w:eastAsia="Calibri" w:hAnsi="Calibri" w:cs="Calibri"/>
          <w:szCs w:val="24"/>
        </w:rPr>
        <w:t>22/23</w:t>
      </w:r>
      <w:r w:rsidR="0070429E">
        <w:rPr>
          <w:rFonts w:ascii="Calibri" w:eastAsia="Calibri" w:hAnsi="Calibri" w:cs="Calibri"/>
          <w:szCs w:val="24"/>
        </w:rPr>
        <w:t xml:space="preserve">. It also provides an over view of progress across the year and how this connects to our Corporate Plan. </w:t>
      </w:r>
      <w:r w:rsidRPr="00B6615A">
        <w:rPr>
          <w:rFonts w:ascii="Calibri" w:eastAsia="Calibri" w:hAnsi="Calibri" w:cs="Calibri"/>
          <w:szCs w:val="24"/>
        </w:rPr>
        <w:t>It addresses delivery of our corporate priorities by reviewing</w:t>
      </w:r>
      <w:r>
        <w:rPr>
          <w:rFonts w:ascii="Calibri" w:eastAsia="Calibri" w:hAnsi="Calibri" w:cs="Calibri"/>
          <w:szCs w:val="24"/>
        </w:rPr>
        <w:t>;</w:t>
      </w:r>
      <w:r w:rsidRPr="00B6615A">
        <w:rPr>
          <w:rFonts w:ascii="Calibri" w:eastAsia="Calibri" w:hAnsi="Calibri" w:cs="Calibri"/>
          <w:szCs w:val="24"/>
        </w:rPr>
        <w:t xml:space="preserve"> the alignment of performance against our Business Plan, </w:t>
      </w:r>
      <w:r>
        <w:rPr>
          <w:rFonts w:ascii="Calibri" w:eastAsia="Calibri" w:hAnsi="Calibri" w:cs="Calibri"/>
          <w:szCs w:val="24"/>
        </w:rPr>
        <w:t>a Nature-rich future for all: Year 1;</w:t>
      </w:r>
      <w:r w:rsidRPr="00B6615A">
        <w:rPr>
          <w:rFonts w:ascii="Calibri" w:eastAsia="Calibri" w:hAnsi="Calibri" w:cs="Calibri"/>
          <w:szCs w:val="24"/>
        </w:rPr>
        <w:t xml:space="preserve"> progress towards </w:t>
      </w:r>
      <w:r>
        <w:rPr>
          <w:rFonts w:ascii="Calibri" w:eastAsia="Calibri" w:hAnsi="Calibri" w:cs="Calibri"/>
          <w:szCs w:val="24"/>
        </w:rPr>
        <w:t>maximising our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and reviewing people information </w:t>
      </w:r>
      <w:r w:rsidRPr="00CD5336">
        <w:rPr>
          <w:rFonts w:ascii="Calibri" w:eastAsia="Calibri" w:hAnsi="Calibri" w:cs="Calibri"/>
          <w:color w:val="000000" w:themeColor="text1"/>
          <w:szCs w:val="24"/>
        </w:rPr>
        <w:t xml:space="preserve">supporting the resourcing of our work.  </w:t>
      </w:r>
      <w:r w:rsidR="007F5150">
        <w:rPr>
          <w:rFonts w:ascii="Calibri" w:eastAsia="Calibri" w:hAnsi="Calibri" w:cs="Calibri"/>
          <w:color w:val="000000" w:themeColor="text1"/>
          <w:szCs w:val="24"/>
        </w:rPr>
        <w:t>A short assessment is provided in Annex 1 of progress against</w:t>
      </w:r>
      <w:r w:rsidR="007F5150" w:rsidRPr="00CD5336">
        <w:rPr>
          <w:rFonts w:ascii="Calibri" w:eastAsia="Calibri" w:hAnsi="Calibri" w:cs="Calibri"/>
          <w:color w:val="000000" w:themeColor="text1"/>
          <w:szCs w:val="24"/>
        </w:rPr>
        <w:t xml:space="preserve"> delivery of our Corporate Plan 2022-23, A Nature-rich future for all.</w:t>
      </w:r>
    </w:p>
    <w:p w14:paraId="4FE859C6" w14:textId="2B288DAE" w:rsidR="00D72178" w:rsidRPr="00CD5336" w:rsidRDefault="00D72178" w:rsidP="00D72178">
      <w:pPr>
        <w:pStyle w:val="Heading2"/>
        <w:spacing w:line="276" w:lineRule="auto"/>
        <w:rPr>
          <w:rFonts w:ascii="Calibri" w:eastAsia="Times New Roman" w:hAnsi="Calibri" w:cs="Calibri"/>
          <w:color w:val="000000" w:themeColor="text1"/>
          <w:szCs w:val="24"/>
        </w:rPr>
      </w:pPr>
      <w:r w:rsidRPr="00CD5336">
        <w:rPr>
          <w:rFonts w:ascii="Calibri" w:eastAsia="Times New Roman" w:hAnsi="Calibri" w:cs="Calibri"/>
          <w:color w:val="000000" w:themeColor="text1"/>
          <w:szCs w:val="24"/>
        </w:rPr>
        <w:t>Summary</w:t>
      </w:r>
      <w:r w:rsidR="0070429E">
        <w:rPr>
          <w:rFonts w:ascii="Calibri" w:eastAsia="Times New Roman" w:hAnsi="Calibri" w:cs="Calibri"/>
          <w:color w:val="000000" w:themeColor="text1"/>
          <w:szCs w:val="24"/>
        </w:rPr>
        <w:t xml:space="preserve"> – Review of 22/23</w:t>
      </w:r>
      <w:r w:rsidRPr="00CD5336">
        <w:rPr>
          <w:rFonts w:ascii="Calibri" w:eastAsia="Times New Roman" w:hAnsi="Calibri" w:cs="Calibri"/>
          <w:color w:val="000000" w:themeColor="text1"/>
          <w:szCs w:val="24"/>
        </w:rPr>
        <w:t xml:space="preserve"> </w:t>
      </w:r>
    </w:p>
    <w:p w14:paraId="078363EE" w14:textId="77777777" w:rsidR="00CD5336" w:rsidRPr="00CD5336" w:rsidRDefault="00CD5336" w:rsidP="00CD5336">
      <w:pPr>
        <w:pStyle w:val="ListParagraph"/>
        <w:rPr>
          <w:rFonts w:ascii="Calibri" w:eastAsia="Calibri" w:hAnsi="Calibri" w:cs="Calibri"/>
          <w:szCs w:val="24"/>
        </w:rPr>
      </w:pPr>
    </w:p>
    <w:p w14:paraId="24AA9BDE" w14:textId="7B5A3C64" w:rsidR="00230933" w:rsidRDefault="000C41B4" w:rsidP="003E7B62">
      <w:pPr>
        <w:pStyle w:val="ListParagraph"/>
        <w:numPr>
          <w:ilvl w:val="0"/>
          <w:numId w:val="1"/>
        </w:numPr>
        <w:spacing w:after="0"/>
        <w:rPr>
          <w:rFonts w:ascii="Calibri" w:eastAsia="Calibri" w:hAnsi="Calibri" w:cs="Calibri"/>
          <w:color w:val="000000" w:themeColor="text1"/>
          <w:szCs w:val="24"/>
        </w:rPr>
      </w:pPr>
      <w:r w:rsidRPr="003C2E42">
        <w:rPr>
          <w:rFonts w:ascii="Calibri" w:eastAsia="Calibri" w:hAnsi="Calibri" w:cs="Calibri"/>
          <w:color w:val="000000" w:themeColor="text1"/>
          <w:szCs w:val="24"/>
        </w:rPr>
        <w:t xml:space="preserve">2022/23 has been a significant year for NatureScot.  </w:t>
      </w:r>
      <w:r w:rsidR="00230933" w:rsidRPr="003C2E42">
        <w:rPr>
          <w:rFonts w:ascii="Calibri" w:eastAsia="Calibri" w:hAnsi="Calibri" w:cs="Calibri"/>
          <w:color w:val="000000" w:themeColor="text1"/>
          <w:szCs w:val="24"/>
        </w:rPr>
        <w:t>The Bute House Agreement provided a renewed foc</w:t>
      </w:r>
      <w:r w:rsidR="0070429E">
        <w:rPr>
          <w:rFonts w:ascii="Calibri" w:eastAsia="Calibri" w:hAnsi="Calibri" w:cs="Calibri"/>
          <w:color w:val="000000" w:themeColor="text1"/>
          <w:szCs w:val="24"/>
        </w:rPr>
        <w:t xml:space="preserve">us for investment in nature/climate with some key priorities central to underpinning </w:t>
      </w:r>
      <w:r w:rsidR="005A3F1A">
        <w:rPr>
          <w:rFonts w:ascii="Calibri" w:eastAsia="Calibri" w:hAnsi="Calibri" w:cs="Calibri"/>
          <w:color w:val="000000" w:themeColor="text1"/>
          <w:szCs w:val="24"/>
        </w:rPr>
        <w:t xml:space="preserve">progress against our </w:t>
      </w:r>
      <w:r w:rsidR="0070429E">
        <w:rPr>
          <w:rFonts w:ascii="Calibri" w:eastAsia="Calibri" w:hAnsi="Calibri" w:cs="Calibri"/>
          <w:color w:val="000000" w:themeColor="text1"/>
          <w:szCs w:val="24"/>
        </w:rPr>
        <w:t>corporate plan</w:t>
      </w:r>
      <w:r w:rsidR="005A3F1A">
        <w:rPr>
          <w:rFonts w:ascii="Calibri" w:eastAsia="Calibri" w:hAnsi="Calibri" w:cs="Calibri"/>
          <w:color w:val="000000" w:themeColor="text1"/>
          <w:szCs w:val="24"/>
        </w:rPr>
        <w:t xml:space="preserve"> this past year</w:t>
      </w:r>
      <w:r w:rsidR="0070429E">
        <w:rPr>
          <w:rFonts w:ascii="Calibri" w:eastAsia="Calibri" w:hAnsi="Calibri" w:cs="Calibri"/>
          <w:color w:val="000000" w:themeColor="text1"/>
          <w:szCs w:val="24"/>
        </w:rPr>
        <w:t>, including:</w:t>
      </w:r>
    </w:p>
    <w:p w14:paraId="14B755E5" w14:textId="77777777"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 xml:space="preserve">Publication of a new draft biodiversity strategy to deliver COP15 commitments and early preparation for a Natural Environment Bill </w:t>
      </w:r>
    </w:p>
    <w:p w14:paraId="5866F58D" w14:textId="77777777"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Further work towards binding targets to halt the rapid decline of Scotland’s nature by 2030 and set nature on track to recovery on land and at sea.</w:t>
      </w:r>
    </w:p>
    <w:p w14:paraId="00E70761" w14:textId="77777777"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Advice delivered to Ministers on the establishment of a new National Park(s)</w:t>
      </w:r>
    </w:p>
    <w:p w14:paraId="3A12CFF5" w14:textId="77777777"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Public consultation on a world-leading suite of Highly Protected Marine Areas (HPMAs) covering at least 10% of our seas.</w:t>
      </w:r>
    </w:p>
    <w:p w14:paraId="7EC0BAED" w14:textId="77777777"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 xml:space="preserve">Sharper focus on our wildlife management duties with emerging new responsibilities across a range of activities including hunting with dogs, Grouse Moor management and </w:t>
      </w:r>
      <w:proofErr w:type="spellStart"/>
      <w:r w:rsidRPr="00C013F1">
        <w:rPr>
          <w:rFonts w:ascii="Calibri" w:eastAsia="Calibri" w:hAnsi="Calibri" w:cs="Calibri"/>
          <w:color w:val="000000" w:themeColor="text1"/>
          <w:szCs w:val="24"/>
        </w:rPr>
        <w:t>muirburn</w:t>
      </w:r>
      <w:proofErr w:type="spellEnd"/>
      <w:r w:rsidRPr="00C013F1">
        <w:rPr>
          <w:rFonts w:ascii="Calibri" w:eastAsia="Calibri" w:hAnsi="Calibri" w:cs="Calibri"/>
          <w:color w:val="000000" w:themeColor="text1"/>
          <w:szCs w:val="24"/>
        </w:rPr>
        <w:t>.</w:t>
      </w:r>
    </w:p>
    <w:p w14:paraId="42D001FF" w14:textId="77777777"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Strengthened approach to Deer Management.</w:t>
      </w:r>
    </w:p>
    <w:p w14:paraId="40E95CB1" w14:textId="77777777"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A new National Planning Framework setting requirements for biodiversity enhancement for all developments</w:t>
      </w:r>
    </w:p>
    <w:p w14:paraId="5395CFF6" w14:textId="77777777"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Further developmental work on nature friendly agricultural practice based on outcomes aligned to nature restoration.</w:t>
      </w:r>
    </w:p>
    <w:p w14:paraId="3557EC28" w14:textId="64BE527B" w:rsidR="00C013F1" w:rsidRPr="00C013F1" w:rsidRDefault="00C013F1" w:rsidP="003E7B62">
      <w:pPr>
        <w:pStyle w:val="ListParagraph"/>
        <w:numPr>
          <w:ilvl w:val="0"/>
          <w:numId w:val="20"/>
        </w:numPr>
        <w:spacing w:after="0"/>
        <w:rPr>
          <w:rFonts w:ascii="Calibri" w:eastAsia="Calibri" w:hAnsi="Calibri" w:cs="Calibri"/>
          <w:color w:val="000000" w:themeColor="text1"/>
          <w:szCs w:val="24"/>
        </w:rPr>
      </w:pPr>
      <w:r w:rsidRPr="00C013F1">
        <w:rPr>
          <w:rFonts w:ascii="Calibri" w:eastAsia="Calibri" w:hAnsi="Calibri" w:cs="Calibri"/>
          <w:color w:val="000000" w:themeColor="text1"/>
          <w:szCs w:val="24"/>
        </w:rPr>
        <w:t xml:space="preserve">Fresh, new progress towards opening up green finance markets manifest in our partnership with Hampden and Co, Lombard </w:t>
      </w:r>
      <w:proofErr w:type="spellStart"/>
      <w:r w:rsidRPr="00C013F1">
        <w:rPr>
          <w:rFonts w:ascii="Calibri" w:eastAsia="Calibri" w:hAnsi="Calibri" w:cs="Calibri"/>
          <w:color w:val="000000" w:themeColor="text1"/>
          <w:szCs w:val="24"/>
        </w:rPr>
        <w:t>Odier</w:t>
      </w:r>
      <w:proofErr w:type="spellEnd"/>
      <w:r w:rsidRPr="00C013F1">
        <w:rPr>
          <w:rFonts w:ascii="Calibri" w:eastAsia="Calibri" w:hAnsi="Calibri" w:cs="Calibri"/>
          <w:color w:val="000000" w:themeColor="text1"/>
          <w:szCs w:val="24"/>
        </w:rPr>
        <w:t xml:space="preserve"> Investment Managers and Palladium as well as IRNS follow on Facility for Investment Ready Nature in Scotland</w:t>
      </w:r>
      <w:r w:rsidR="007F5150">
        <w:rPr>
          <w:rFonts w:ascii="Calibri" w:eastAsia="Calibri" w:hAnsi="Calibri" w:cs="Calibri"/>
          <w:color w:val="000000" w:themeColor="text1"/>
          <w:szCs w:val="24"/>
        </w:rPr>
        <w:t xml:space="preserve"> (FIRNS)</w:t>
      </w:r>
      <w:r w:rsidRPr="00C013F1">
        <w:rPr>
          <w:rFonts w:ascii="Calibri" w:eastAsia="Calibri" w:hAnsi="Calibri" w:cs="Calibri"/>
          <w:color w:val="000000" w:themeColor="text1"/>
          <w:szCs w:val="24"/>
        </w:rPr>
        <w:t>.</w:t>
      </w:r>
    </w:p>
    <w:p w14:paraId="47586693" w14:textId="77777777" w:rsidR="003C2E42" w:rsidRPr="003C2E42" w:rsidRDefault="003C2E42" w:rsidP="003C2E42">
      <w:pPr>
        <w:pStyle w:val="ListParagraph"/>
        <w:spacing w:after="0"/>
        <w:ind w:left="360"/>
        <w:rPr>
          <w:rFonts w:ascii="Calibri" w:eastAsia="Calibri" w:hAnsi="Calibri" w:cs="Calibri"/>
          <w:color w:val="000000" w:themeColor="text1"/>
          <w:szCs w:val="24"/>
        </w:rPr>
      </w:pPr>
    </w:p>
    <w:p w14:paraId="4496D845" w14:textId="312A85FC" w:rsidR="000C41B4" w:rsidRDefault="000C41B4" w:rsidP="003E7B62">
      <w:pPr>
        <w:pStyle w:val="ListParagraph"/>
        <w:numPr>
          <w:ilvl w:val="0"/>
          <w:numId w:val="1"/>
        </w:numPr>
        <w:spacing w:after="0"/>
        <w:rPr>
          <w:rFonts w:ascii="Calibri" w:eastAsia="Calibri" w:hAnsi="Calibri" w:cs="Calibri"/>
          <w:color w:val="000000" w:themeColor="text1"/>
          <w:szCs w:val="24"/>
        </w:rPr>
      </w:pPr>
      <w:r w:rsidRPr="00230933">
        <w:rPr>
          <w:rFonts w:ascii="Calibri" w:eastAsia="Calibri" w:hAnsi="Calibri" w:cs="Calibri"/>
          <w:color w:val="000000" w:themeColor="text1"/>
          <w:szCs w:val="24"/>
        </w:rPr>
        <w:t xml:space="preserve">This </w:t>
      </w:r>
      <w:r w:rsidR="0070429E">
        <w:rPr>
          <w:rFonts w:ascii="Calibri" w:eastAsia="Calibri" w:hAnsi="Calibri" w:cs="Calibri"/>
          <w:color w:val="000000" w:themeColor="text1"/>
          <w:szCs w:val="24"/>
        </w:rPr>
        <w:t>hasn’t however come without challenge</w:t>
      </w:r>
      <w:r w:rsidRPr="00230933">
        <w:rPr>
          <w:rFonts w:ascii="Calibri" w:eastAsia="Calibri" w:hAnsi="Calibri" w:cs="Calibri"/>
          <w:color w:val="000000" w:themeColor="text1"/>
          <w:szCs w:val="24"/>
        </w:rPr>
        <w:t>.</w:t>
      </w:r>
      <w:r w:rsidR="00230933">
        <w:rPr>
          <w:rFonts w:ascii="Calibri" w:eastAsia="Calibri" w:hAnsi="Calibri" w:cs="Calibri"/>
          <w:color w:val="000000" w:themeColor="text1"/>
          <w:szCs w:val="24"/>
        </w:rPr>
        <w:t xml:space="preserve">  Rising costs as a result of inflation and significant additional resource impacts have put pressure on NatureScot financially and will continue to do so in coming years.  The Organisational Design Programme has focussed on how to manage this internal pressure and a new 90 day planning approach will be formally implemented in 2023/24 to ensure prioritisation and workload management remain at t</w:t>
      </w:r>
      <w:r w:rsidR="003C2E42">
        <w:rPr>
          <w:rFonts w:ascii="Calibri" w:eastAsia="Calibri" w:hAnsi="Calibri" w:cs="Calibri"/>
          <w:color w:val="000000" w:themeColor="text1"/>
          <w:szCs w:val="24"/>
        </w:rPr>
        <w:t>he forefront of decision making but there will be difficult choices ahead in the light of potentially significant budget reductions in future years.</w:t>
      </w:r>
    </w:p>
    <w:p w14:paraId="4762F102" w14:textId="77777777" w:rsidR="00471632" w:rsidRDefault="00471632" w:rsidP="00471632">
      <w:pPr>
        <w:pStyle w:val="ListParagraph"/>
        <w:spacing w:after="0"/>
        <w:ind w:left="360"/>
        <w:rPr>
          <w:rFonts w:ascii="Calibri" w:eastAsia="Calibri" w:hAnsi="Calibri" w:cs="Calibri"/>
          <w:color w:val="000000" w:themeColor="text1"/>
          <w:szCs w:val="24"/>
        </w:rPr>
      </w:pPr>
    </w:p>
    <w:p w14:paraId="6C73251C" w14:textId="439797DB" w:rsidR="00436F2C" w:rsidRPr="00471632" w:rsidRDefault="00436F2C" w:rsidP="003E7B62">
      <w:pPr>
        <w:pStyle w:val="ListParagraph"/>
        <w:numPr>
          <w:ilvl w:val="0"/>
          <w:numId w:val="1"/>
        </w:numPr>
        <w:spacing w:after="0"/>
        <w:rPr>
          <w:rFonts w:ascii="Calibri" w:eastAsia="Calibri" w:hAnsi="Calibri" w:cs="Calibri"/>
          <w:color w:val="000000" w:themeColor="text1"/>
          <w:szCs w:val="24"/>
        </w:rPr>
      </w:pPr>
      <w:r w:rsidRPr="00471632">
        <w:rPr>
          <w:rFonts w:ascii="Calibri" w:eastAsia="Calibri" w:hAnsi="Calibri" w:cs="Calibri"/>
          <w:color w:val="000000" w:themeColor="text1"/>
          <w:szCs w:val="24"/>
        </w:rPr>
        <w:t xml:space="preserve">Annex A - </w:t>
      </w:r>
      <w:r w:rsidR="00471632" w:rsidRPr="00471632">
        <w:rPr>
          <w:rFonts w:ascii="Calibri" w:eastAsia="Arial" w:hAnsi="Calibri" w:cs="Times New Roman"/>
          <w:szCs w:val="24"/>
        </w:rPr>
        <w:t>Progress on Corporate Plan at the end of Year 1</w:t>
      </w:r>
      <w:r w:rsidR="00471632">
        <w:rPr>
          <w:rFonts w:ascii="Calibri" w:eastAsia="Arial" w:hAnsi="Calibri" w:cs="Times New Roman"/>
          <w:szCs w:val="24"/>
        </w:rPr>
        <w:t>, summarises our progress on our Corporate Plan ambition at the end of the first year.</w:t>
      </w:r>
    </w:p>
    <w:p w14:paraId="0C6BCCEE" w14:textId="4A9BE6ED" w:rsidR="003E7745" w:rsidRPr="00436F2C" w:rsidRDefault="003E7745" w:rsidP="00436F2C">
      <w:pPr>
        <w:spacing w:after="0"/>
        <w:rPr>
          <w:rFonts w:ascii="Calibri" w:eastAsia="Calibri" w:hAnsi="Calibri" w:cs="Calibri"/>
          <w:color w:val="000000" w:themeColor="text1"/>
          <w:szCs w:val="24"/>
        </w:rPr>
      </w:pPr>
    </w:p>
    <w:p w14:paraId="52E133B1" w14:textId="6F433F48" w:rsidR="00CD5336" w:rsidRPr="003E7745" w:rsidRDefault="00D72178" w:rsidP="003E7B62">
      <w:pPr>
        <w:pStyle w:val="ListParagraph"/>
        <w:numPr>
          <w:ilvl w:val="0"/>
          <w:numId w:val="1"/>
        </w:numPr>
        <w:spacing w:after="0"/>
        <w:rPr>
          <w:rFonts w:ascii="Calibri" w:eastAsia="Calibri" w:hAnsi="Calibri" w:cs="Calibri"/>
          <w:color w:val="000000" w:themeColor="text1"/>
          <w:szCs w:val="24"/>
        </w:rPr>
      </w:pPr>
      <w:r w:rsidRPr="00CD5336">
        <w:rPr>
          <w:rFonts w:ascii="Calibri" w:eastAsia="Calibri" w:hAnsi="Calibri" w:cs="Calibri"/>
          <w:szCs w:val="24"/>
        </w:rPr>
        <w:t>The table below reflects the Corporate Plan objectives and risks, finance and people metrics.</w:t>
      </w:r>
    </w:p>
    <w:p w14:paraId="5A210115" w14:textId="541524DE" w:rsidR="003E7745" w:rsidRPr="003E7745" w:rsidRDefault="003E7745" w:rsidP="003E7745">
      <w:pPr>
        <w:spacing w:after="0"/>
        <w:rPr>
          <w:rFonts w:ascii="Calibri" w:eastAsia="Calibri" w:hAnsi="Calibri" w:cs="Calibri"/>
          <w:color w:val="000000" w:themeColor="text1"/>
          <w:szCs w:val="24"/>
        </w:rPr>
      </w:pPr>
    </w:p>
    <w:tbl>
      <w:tblPr>
        <w:tblStyle w:val="GridTable4-Accent1"/>
        <w:tblpPr w:leftFromText="180" w:rightFromText="180" w:vertAnchor="text" w:horzAnchor="margin" w:tblpY="12"/>
        <w:tblW w:w="9351" w:type="dxa"/>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0D5B39" w:rsidRPr="00B6615A" w14:paraId="4373730E" w14:textId="77777777" w:rsidTr="000D5B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53596F11" w14:textId="77777777" w:rsidR="000D5B39" w:rsidRPr="00B6615A" w:rsidRDefault="000D5B39" w:rsidP="000D5B39">
            <w:pPr>
              <w:spacing w:line="276" w:lineRule="auto"/>
              <w:jc w:val="center"/>
              <w:rPr>
                <w:rFonts w:ascii="Calibri" w:hAnsi="Calibri" w:cs="Calibri"/>
                <w:szCs w:val="24"/>
              </w:rPr>
            </w:pPr>
            <w:r w:rsidRPr="00B6615A">
              <w:rPr>
                <w:rFonts w:ascii="Calibri" w:hAnsi="Calibri" w:cs="Calibri"/>
                <w:color w:val="000000" w:themeColor="text1"/>
                <w:szCs w:val="24"/>
              </w:rPr>
              <w:t>PRIORITY PERFORMANCE</w:t>
            </w:r>
          </w:p>
        </w:tc>
        <w:tc>
          <w:tcPr>
            <w:tcW w:w="2136" w:type="dxa"/>
          </w:tcPr>
          <w:p w14:paraId="2906C8AD"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044D651A"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282C382A"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0D5B39" w:rsidRPr="00B6615A" w14:paraId="199C1BC4" w14:textId="77777777" w:rsidTr="000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3F11CB15" w14:textId="77777777" w:rsidR="000D5B39" w:rsidRPr="00B6615A" w:rsidRDefault="000D5B39" w:rsidP="000D5B39">
            <w:pPr>
              <w:spacing w:line="276" w:lineRule="auto"/>
              <w:jc w:val="center"/>
              <w:rPr>
                <w:rFonts w:ascii="Calibri" w:hAnsi="Calibri" w:cs="Calibri"/>
                <w:szCs w:val="24"/>
              </w:rPr>
            </w:pPr>
            <w:r>
              <w:rPr>
                <w:rFonts w:ascii="Calibri" w:hAnsi="Calibri" w:cs="Calibri"/>
                <w:szCs w:val="24"/>
              </w:rPr>
              <w:t>Objectives</w:t>
            </w:r>
          </w:p>
        </w:tc>
        <w:tc>
          <w:tcPr>
            <w:tcW w:w="2136" w:type="dxa"/>
          </w:tcPr>
          <w:p w14:paraId="28A8CD28" w14:textId="201FC12A" w:rsidR="000D5B39" w:rsidRPr="00032678" w:rsidRDefault="006C3DBC"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6C3DBC">
              <w:rPr>
                <w:rFonts w:ascii="Calibri" w:hAnsi="Calibri" w:cs="Calibri"/>
                <w:b/>
                <w:szCs w:val="24"/>
              </w:rPr>
              <w:t>15</w:t>
            </w:r>
          </w:p>
        </w:tc>
        <w:tc>
          <w:tcPr>
            <w:tcW w:w="2443" w:type="dxa"/>
          </w:tcPr>
          <w:p w14:paraId="6ED339EA"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3861C3AA" w14:textId="4907111A" w:rsidR="000D5B39" w:rsidRPr="00032678" w:rsidRDefault="00947A38"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947A38">
              <w:rPr>
                <w:rFonts w:ascii="Calibri" w:hAnsi="Calibri" w:cs="Calibri"/>
                <w:b/>
                <w:szCs w:val="24"/>
              </w:rPr>
              <w:t>11</w:t>
            </w:r>
          </w:p>
        </w:tc>
      </w:tr>
      <w:tr w:rsidR="000D5B39" w:rsidRPr="00B6615A" w14:paraId="101E012D" w14:textId="77777777" w:rsidTr="000D5B39">
        <w:tc>
          <w:tcPr>
            <w:cnfStyle w:val="001000000000" w:firstRow="0" w:lastRow="0" w:firstColumn="1" w:lastColumn="0" w:oddVBand="0" w:evenVBand="0" w:oddHBand="0" w:evenHBand="0" w:firstRowFirstColumn="0" w:firstRowLastColumn="0" w:lastRowFirstColumn="0" w:lastRowLastColumn="0"/>
            <w:tcW w:w="2824" w:type="dxa"/>
          </w:tcPr>
          <w:p w14:paraId="14E1DADD"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color w:val="00B050"/>
                <w:szCs w:val="24"/>
              </w:rPr>
              <w:t>On Track</w:t>
            </w:r>
          </w:p>
        </w:tc>
        <w:tc>
          <w:tcPr>
            <w:tcW w:w="2136" w:type="dxa"/>
          </w:tcPr>
          <w:p w14:paraId="37960DA7" w14:textId="77CCF58F" w:rsidR="000D5B39" w:rsidRPr="00032678" w:rsidRDefault="006C3DBC"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Cs w:val="24"/>
              </w:rPr>
            </w:pPr>
            <w:r w:rsidRPr="006C3DBC">
              <w:rPr>
                <w:rFonts w:ascii="Calibri" w:hAnsi="Calibri" w:cs="Calibri"/>
                <w:szCs w:val="24"/>
              </w:rPr>
              <w:t>14</w:t>
            </w:r>
          </w:p>
        </w:tc>
        <w:tc>
          <w:tcPr>
            <w:tcW w:w="2443" w:type="dxa"/>
          </w:tcPr>
          <w:p w14:paraId="12969072"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3530118C" w14:textId="5D54282B" w:rsidR="000D5B39" w:rsidRPr="00E46A6D" w:rsidRDefault="00E46A6D"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46A6D">
              <w:rPr>
                <w:rFonts w:ascii="Calibri" w:hAnsi="Calibri" w:cs="Calibri"/>
                <w:szCs w:val="24"/>
              </w:rPr>
              <w:t>0</w:t>
            </w:r>
          </w:p>
        </w:tc>
      </w:tr>
      <w:tr w:rsidR="000D5B39" w:rsidRPr="00B6615A" w14:paraId="7241275F" w14:textId="77777777" w:rsidTr="000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6A1FE29A" w14:textId="1ABF1051" w:rsidR="000D5B39" w:rsidRPr="00B6615A" w:rsidRDefault="006C3DBC" w:rsidP="000D5B39">
            <w:pPr>
              <w:spacing w:line="276" w:lineRule="auto"/>
              <w:jc w:val="center"/>
              <w:rPr>
                <w:rFonts w:ascii="Calibri" w:hAnsi="Calibri" w:cs="Calibri"/>
                <w:b w:val="0"/>
                <w:szCs w:val="24"/>
              </w:rPr>
            </w:pPr>
            <w:r w:rsidRPr="00A0191B">
              <w:rPr>
                <w:rFonts w:ascii="Calibri" w:hAnsi="Calibri" w:cs="Calibri"/>
                <w:b w:val="0"/>
                <w:color w:val="F79646" w:themeColor="accent6"/>
                <w:szCs w:val="24"/>
              </w:rPr>
              <w:t>Minor</w:t>
            </w:r>
            <w:r w:rsidR="000D5B39" w:rsidRPr="00A0191B">
              <w:rPr>
                <w:rFonts w:ascii="Calibri" w:hAnsi="Calibri" w:cs="Calibri"/>
                <w:b w:val="0"/>
                <w:color w:val="F79646" w:themeColor="accent6"/>
                <w:szCs w:val="24"/>
              </w:rPr>
              <w:t xml:space="preserve"> Slippage</w:t>
            </w:r>
          </w:p>
        </w:tc>
        <w:tc>
          <w:tcPr>
            <w:tcW w:w="2136" w:type="dxa"/>
          </w:tcPr>
          <w:p w14:paraId="6445242E" w14:textId="0CF56B8F" w:rsidR="000D5B39" w:rsidRPr="00032678" w:rsidRDefault="006C3DBC"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Cs w:val="24"/>
              </w:rPr>
            </w:pPr>
            <w:r w:rsidRPr="00A0191B">
              <w:rPr>
                <w:rFonts w:ascii="Calibri" w:hAnsi="Calibri" w:cs="Calibri"/>
                <w:szCs w:val="24"/>
              </w:rPr>
              <w:t>1</w:t>
            </w:r>
          </w:p>
        </w:tc>
        <w:tc>
          <w:tcPr>
            <w:tcW w:w="2443" w:type="dxa"/>
          </w:tcPr>
          <w:p w14:paraId="4B89EAAD"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04FCD341" w14:textId="3B96F808" w:rsidR="000D5B39" w:rsidRPr="00E46A6D" w:rsidRDefault="00E46A6D"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46A6D">
              <w:rPr>
                <w:rFonts w:ascii="Calibri" w:hAnsi="Calibri" w:cs="Calibri"/>
                <w:szCs w:val="24"/>
              </w:rPr>
              <w:t>0</w:t>
            </w:r>
          </w:p>
        </w:tc>
      </w:tr>
    </w:tbl>
    <w:tbl>
      <w:tblPr>
        <w:tblStyle w:val="GridTable4-Accent1"/>
        <w:tblpPr w:leftFromText="180" w:rightFromText="180" w:vertAnchor="text" w:horzAnchor="margin" w:tblpY="1616"/>
        <w:tblW w:w="9351" w:type="dxa"/>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0D5B39" w:rsidRPr="00B6615A" w14:paraId="271AF270" w14:textId="77777777" w:rsidTr="000D5B3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24" w:type="dxa"/>
          </w:tcPr>
          <w:p w14:paraId="00C24BA4" w14:textId="77777777" w:rsidR="000D5B39" w:rsidRPr="00B6615A" w:rsidRDefault="000D5B39" w:rsidP="000D5B39">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2136" w:type="dxa"/>
          </w:tcPr>
          <w:p w14:paraId="38DC84B5"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2443" w:type="dxa"/>
          </w:tcPr>
          <w:p w14:paraId="7EDBDB15"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948" w:type="dxa"/>
          </w:tcPr>
          <w:p w14:paraId="5370BD4C" w14:textId="77777777" w:rsidR="000D5B39" w:rsidRPr="00B6615A" w:rsidRDefault="000D5B39" w:rsidP="000D5B3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0D5B39" w:rsidRPr="00B6615A" w14:paraId="67939DFF" w14:textId="77777777" w:rsidTr="000D5B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tcPr>
          <w:p w14:paraId="4FD386C2" w14:textId="77777777" w:rsidR="000D5B39" w:rsidRPr="00B6615A" w:rsidRDefault="000D5B39" w:rsidP="000D5B39">
            <w:pPr>
              <w:spacing w:line="276" w:lineRule="auto"/>
              <w:jc w:val="center"/>
              <w:rPr>
                <w:rFonts w:ascii="Calibri" w:hAnsi="Calibri" w:cs="Calibri"/>
                <w:b w:val="0"/>
                <w:szCs w:val="24"/>
              </w:rPr>
            </w:pPr>
            <w:r>
              <w:rPr>
                <w:rFonts w:ascii="Calibri" w:hAnsi="Calibri" w:cs="Calibri"/>
                <w:b w:val="0"/>
                <w:szCs w:val="24"/>
              </w:rPr>
              <w:t>Resource</w:t>
            </w:r>
          </w:p>
        </w:tc>
        <w:tc>
          <w:tcPr>
            <w:tcW w:w="2136" w:type="dxa"/>
          </w:tcPr>
          <w:p w14:paraId="00E592AD" w14:textId="23833EE4" w:rsidR="000D5B39" w:rsidRPr="00ED450A" w:rsidRDefault="0018758C"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B050"/>
                <w:szCs w:val="24"/>
                <w:lang w:eastAsia="en-GB"/>
              </w:rPr>
            </w:pPr>
            <w:r w:rsidRPr="0018758C">
              <w:rPr>
                <w:rFonts w:ascii="Calibri" w:eastAsia="Times New Roman" w:hAnsi="Calibri" w:cs="Calibri"/>
                <w:color w:val="F79646" w:themeColor="accent6"/>
                <w:szCs w:val="24"/>
                <w:lang w:eastAsia="en-GB"/>
              </w:rPr>
              <w:t>Minor Slippage</w:t>
            </w:r>
          </w:p>
        </w:tc>
        <w:tc>
          <w:tcPr>
            <w:tcW w:w="2443" w:type="dxa"/>
          </w:tcPr>
          <w:p w14:paraId="0238B44B"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Wellbeing</w:t>
            </w:r>
          </w:p>
        </w:tc>
        <w:tc>
          <w:tcPr>
            <w:tcW w:w="1948" w:type="dxa"/>
          </w:tcPr>
          <w:p w14:paraId="546952A0" w14:textId="73F6F90C" w:rsidR="000D5B39" w:rsidRPr="00B6615A" w:rsidRDefault="00DB13B7"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Cs w:val="24"/>
              </w:rPr>
            </w:pPr>
            <w:r>
              <w:rPr>
                <w:rFonts w:ascii="Calibri" w:hAnsi="Calibri" w:cs="Calibri"/>
                <w:color w:val="00B050"/>
                <w:szCs w:val="24"/>
              </w:rPr>
              <w:t>On Track</w:t>
            </w:r>
          </w:p>
        </w:tc>
      </w:tr>
      <w:tr w:rsidR="000D5B39" w:rsidRPr="00B6615A" w14:paraId="7289DD87" w14:textId="77777777" w:rsidTr="000D5B39">
        <w:trPr>
          <w:cantSplit/>
        </w:trPr>
        <w:tc>
          <w:tcPr>
            <w:cnfStyle w:val="001000000000" w:firstRow="0" w:lastRow="0" w:firstColumn="1" w:lastColumn="0" w:oddVBand="0" w:evenVBand="0" w:oddHBand="0" w:evenHBand="0" w:firstRowFirstColumn="0" w:firstRowLastColumn="0" w:lastRowFirstColumn="0" w:lastRowLastColumn="0"/>
            <w:tcW w:w="2824" w:type="dxa"/>
          </w:tcPr>
          <w:p w14:paraId="25213760"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szCs w:val="24"/>
              </w:rPr>
              <w:t>Project Allocation</w:t>
            </w:r>
          </w:p>
        </w:tc>
        <w:tc>
          <w:tcPr>
            <w:tcW w:w="2136" w:type="dxa"/>
          </w:tcPr>
          <w:p w14:paraId="06561B65" w14:textId="511CBE5C" w:rsidR="000D5B39" w:rsidRPr="0018758C" w:rsidRDefault="0018758C"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Cs w:val="24"/>
                <w:lang w:eastAsia="en-GB"/>
              </w:rPr>
            </w:pPr>
            <w:r w:rsidRPr="0018758C">
              <w:rPr>
                <w:rFonts w:ascii="Calibri" w:eastAsia="Times New Roman" w:hAnsi="Calibri" w:cs="Calibri"/>
                <w:bCs/>
                <w:color w:val="00B050"/>
                <w:kern w:val="24"/>
                <w:szCs w:val="24"/>
                <w:lang w:eastAsia="en-GB"/>
              </w:rPr>
              <w:t>On Track</w:t>
            </w:r>
          </w:p>
        </w:tc>
        <w:tc>
          <w:tcPr>
            <w:tcW w:w="2443" w:type="dxa"/>
          </w:tcPr>
          <w:p w14:paraId="3065AA0A"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Capacity</w:t>
            </w:r>
          </w:p>
        </w:tc>
        <w:tc>
          <w:tcPr>
            <w:tcW w:w="1948" w:type="dxa"/>
          </w:tcPr>
          <w:p w14:paraId="47390BE3" w14:textId="6E5154D8" w:rsidR="000D5B39" w:rsidRPr="00B6615A" w:rsidRDefault="00DB13B7"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Cs w:val="24"/>
                <w:lang w:eastAsia="en-GB"/>
              </w:rPr>
            </w:pPr>
            <w:r>
              <w:rPr>
                <w:rFonts w:ascii="Calibri" w:eastAsia="Times New Roman" w:hAnsi="Calibri" w:cs="Calibri"/>
                <w:bCs/>
                <w:color w:val="00B050"/>
                <w:kern w:val="24"/>
                <w:szCs w:val="24"/>
                <w:lang w:eastAsia="en-GB"/>
              </w:rPr>
              <w:t>On Track</w:t>
            </w:r>
          </w:p>
        </w:tc>
      </w:tr>
      <w:tr w:rsidR="000D5B39" w:rsidRPr="00B6615A" w14:paraId="3B063723" w14:textId="77777777" w:rsidTr="000D5B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tcPr>
          <w:p w14:paraId="2E046A9F"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szCs w:val="24"/>
              </w:rPr>
              <w:t>Paybill</w:t>
            </w:r>
          </w:p>
        </w:tc>
        <w:tc>
          <w:tcPr>
            <w:tcW w:w="2136" w:type="dxa"/>
          </w:tcPr>
          <w:p w14:paraId="7A7B22DC" w14:textId="3310DC75" w:rsidR="000D5B39" w:rsidRPr="0018758C" w:rsidRDefault="0018758C"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B050"/>
                <w:kern w:val="24"/>
                <w:szCs w:val="24"/>
                <w:lang w:eastAsia="en-GB"/>
              </w:rPr>
            </w:pPr>
            <w:r w:rsidRPr="0018758C">
              <w:rPr>
                <w:rFonts w:ascii="Calibri" w:eastAsia="Times New Roman" w:hAnsi="Calibri" w:cs="Calibri"/>
                <w:bCs/>
                <w:color w:val="00B050"/>
                <w:kern w:val="24"/>
                <w:szCs w:val="24"/>
                <w:lang w:eastAsia="en-GB"/>
              </w:rPr>
              <w:t>On Track</w:t>
            </w:r>
          </w:p>
        </w:tc>
        <w:tc>
          <w:tcPr>
            <w:tcW w:w="2443" w:type="dxa"/>
          </w:tcPr>
          <w:p w14:paraId="60F54E9A" w14:textId="77777777" w:rsidR="000D5B39" w:rsidRPr="00B6615A" w:rsidRDefault="000D5B39"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Development</w:t>
            </w:r>
          </w:p>
        </w:tc>
        <w:tc>
          <w:tcPr>
            <w:tcW w:w="1948" w:type="dxa"/>
          </w:tcPr>
          <w:p w14:paraId="3DD54D60" w14:textId="49EBDC67" w:rsidR="000D5B39" w:rsidRPr="00B6615A" w:rsidRDefault="00DB13B7" w:rsidP="000D5B3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B050"/>
                <w:szCs w:val="24"/>
              </w:rPr>
            </w:pPr>
            <w:r>
              <w:rPr>
                <w:rFonts w:ascii="Calibri" w:hAnsi="Calibri" w:cs="Calibri"/>
                <w:color w:val="00B050"/>
                <w:szCs w:val="24"/>
              </w:rPr>
              <w:t>On Track</w:t>
            </w:r>
          </w:p>
        </w:tc>
      </w:tr>
      <w:tr w:rsidR="000D5B39" w:rsidRPr="00B6615A" w14:paraId="6A870ACB" w14:textId="77777777" w:rsidTr="000D5B39">
        <w:trPr>
          <w:cantSplit/>
        </w:trPr>
        <w:tc>
          <w:tcPr>
            <w:cnfStyle w:val="001000000000" w:firstRow="0" w:lastRow="0" w:firstColumn="1" w:lastColumn="0" w:oddVBand="0" w:evenVBand="0" w:oddHBand="0" w:evenHBand="0" w:firstRowFirstColumn="0" w:firstRowLastColumn="0" w:lastRowFirstColumn="0" w:lastRowLastColumn="0"/>
            <w:tcW w:w="2824" w:type="dxa"/>
          </w:tcPr>
          <w:p w14:paraId="787E1CB1" w14:textId="77777777" w:rsidR="000D5B39" w:rsidRPr="00B6615A" w:rsidRDefault="000D5B39" w:rsidP="000D5B39">
            <w:pPr>
              <w:spacing w:line="276" w:lineRule="auto"/>
              <w:jc w:val="center"/>
              <w:rPr>
                <w:rFonts w:ascii="Calibri" w:hAnsi="Calibri" w:cs="Calibri"/>
                <w:b w:val="0"/>
                <w:szCs w:val="24"/>
              </w:rPr>
            </w:pPr>
            <w:r w:rsidRPr="00B6615A">
              <w:rPr>
                <w:rFonts w:ascii="Calibri" w:hAnsi="Calibri" w:cs="Calibri"/>
                <w:b w:val="0"/>
                <w:szCs w:val="24"/>
              </w:rPr>
              <w:t>Capital</w:t>
            </w:r>
          </w:p>
        </w:tc>
        <w:tc>
          <w:tcPr>
            <w:tcW w:w="2136" w:type="dxa"/>
          </w:tcPr>
          <w:p w14:paraId="191FB07C" w14:textId="23601A88" w:rsidR="000D5B39" w:rsidRPr="00ED450A" w:rsidRDefault="0018758C"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B050"/>
                <w:kern w:val="24"/>
                <w:szCs w:val="24"/>
                <w:lang w:eastAsia="en-GB"/>
              </w:rPr>
            </w:pPr>
            <w:r w:rsidRPr="0018758C">
              <w:rPr>
                <w:rFonts w:ascii="Calibri" w:eastAsia="Times New Roman" w:hAnsi="Calibri" w:cs="Calibri"/>
                <w:bCs/>
                <w:color w:val="FF0000"/>
                <w:kern w:val="24"/>
                <w:szCs w:val="24"/>
                <w:lang w:eastAsia="en-GB"/>
              </w:rPr>
              <w:t>Major Slippage</w:t>
            </w:r>
          </w:p>
        </w:tc>
        <w:tc>
          <w:tcPr>
            <w:tcW w:w="2443" w:type="dxa"/>
          </w:tcPr>
          <w:p w14:paraId="6FC23406" w14:textId="77777777" w:rsidR="000D5B39" w:rsidRPr="00B6615A" w:rsidRDefault="000D5B39"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948" w:type="dxa"/>
          </w:tcPr>
          <w:p w14:paraId="0852C61D" w14:textId="6F699952" w:rsidR="000D5B39" w:rsidRPr="00B6615A" w:rsidRDefault="00DB13B7" w:rsidP="000D5B3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F79646" w:themeColor="accent6"/>
                <w:kern w:val="24"/>
                <w:szCs w:val="24"/>
                <w:lang w:eastAsia="en-GB"/>
              </w:rPr>
            </w:pPr>
            <w:r>
              <w:rPr>
                <w:rFonts w:ascii="Calibri" w:eastAsia="Times New Roman" w:hAnsi="Calibri" w:cs="Calibri"/>
                <w:bCs/>
                <w:color w:val="F79646" w:themeColor="accent6"/>
                <w:kern w:val="24"/>
                <w:szCs w:val="24"/>
                <w:lang w:eastAsia="en-GB"/>
              </w:rPr>
              <w:t>Minor Slippage</w:t>
            </w:r>
          </w:p>
        </w:tc>
      </w:tr>
    </w:tbl>
    <w:p w14:paraId="6EDFD076" w14:textId="6AE1FB13" w:rsidR="000419B1" w:rsidRDefault="000419B1" w:rsidP="005D0E4E">
      <w:pPr>
        <w:spacing w:after="0" w:line="240" w:lineRule="auto"/>
        <w:jc w:val="both"/>
        <w:rPr>
          <w:rFonts w:cstheme="minorHAnsi"/>
          <w:szCs w:val="24"/>
        </w:rPr>
        <w:sectPr w:rsidR="000419B1" w:rsidSect="00604DB9">
          <w:headerReference w:type="default" r:id="rId10"/>
          <w:footerReference w:type="default" r:id="rId11"/>
          <w:pgSz w:w="11906" w:h="16838"/>
          <w:pgMar w:top="993" w:right="1440" w:bottom="1440" w:left="1440" w:header="567" w:footer="708" w:gutter="0"/>
          <w:cols w:space="708"/>
          <w:docGrid w:linePitch="360"/>
        </w:sectPr>
      </w:pPr>
    </w:p>
    <w:p w14:paraId="05613E52" w14:textId="4BA248C6" w:rsidR="000419B1" w:rsidRDefault="000419B1" w:rsidP="000419B1">
      <w:pPr>
        <w:pStyle w:val="Heading1"/>
        <w:rPr>
          <w:rFonts w:ascii="Calibri" w:eastAsiaTheme="minorHAnsi" w:hAnsi="Calibri" w:cs="Calibri"/>
          <w:caps/>
          <w:color w:val="007DC3"/>
          <w:szCs w:val="22"/>
        </w:rPr>
      </w:pPr>
      <w:r w:rsidRPr="009A7A96">
        <w:rPr>
          <w:rFonts w:ascii="Calibri" w:eastAsiaTheme="minorHAnsi" w:hAnsi="Calibri" w:cs="Calibri"/>
          <w:color w:val="007DC3"/>
          <w:szCs w:val="22"/>
        </w:rPr>
        <w:lastRenderedPageBreak/>
        <w:t>PERFORMANCE DASHBOARD</w:t>
      </w:r>
      <w:r>
        <w:rPr>
          <w:rFonts w:ascii="Calibri" w:eastAsiaTheme="minorHAnsi" w:hAnsi="Calibri" w:cs="Calibri"/>
          <w:color w:val="007DC3"/>
          <w:szCs w:val="22"/>
        </w:rPr>
        <w:t xml:space="preserve"> </w:t>
      </w:r>
    </w:p>
    <w:p w14:paraId="7EA072C7" w14:textId="77777777" w:rsidR="000419B1" w:rsidRPr="00EE60A2" w:rsidRDefault="000419B1" w:rsidP="00EE60A2">
      <w:pPr>
        <w:rPr>
          <w:caps/>
          <w:color w:val="007DC3"/>
          <w:sz w:val="22"/>
        </w:rPr>
      </w:pPr>
      <w:r w:rsidRPr="00EE60A2">
        <w:rPr>
          <w:sz w:val="18"/>
        </w:rPr>
        <w:t>RAG status will be available once 5 data points are collected.  Bar charts are used until this point and initial data is noted without a graph</w:t>
      </w:r>
    </w:p>
    <w:p w14:paraId="6C6035D3" w14:textId="77777777" w:rsidR="000419B1" w:rsidRPr="00FB3B80" w:rsidRDefault="000419B1" w:rsidP="000419B1">
      <w:pPr>
        <w:pStyle w:val="Heading2"/>
        <w:shd w:val="clear" w:color="auto" w:fill="007DC3"/>
        <w:jc w:val="center"/>
        <w:rPr>
          <w:rFonts w:ascii="Calibri" w:hAnsi="Calibri" w:cs="Calibri"/>
        </w:rPr>
      </w:pPr>
      <w:r w:rsidRPr="00FB3B80">
        <w:rPr>
          <w:rFonts w:ascii="Calibri" w:hAnsi="Calibri" w:cs="Calibri"/>
        </w:rPr>
        <w:t>WE HAVE PROTECTED NATURE</w:t>
      </w:r>
    </w:p>
    <w:tbl>
      <w:tblPr>
        <w:tblStyle w:val="TableGrid"/>
        <w:tblW w:w="14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8"/>
        <w:gridCol w:w="2297"/>
        <w:gridCol w:w="3117"/>
        <w:gridCol w:w="999"/>
        <w:gridCol w:w="3539"/>
        <w:gridCol w:w="3691"/>
      </w:tblGrid>
      <w:tr w:rsidR="000419B1" w:rsidRPr="00F56679" w14:paraId="2D1CF9E2" w14:textId="77777777" w:rsidTr="005A6337">
        <w:trPr>
          <w:tblHeader/>
          <w:jc w:val="center"/>
        </w:trPr>
        <w:tc>
          <w:tcPr>
            <w:tcW w:w="958" w:type="dxa"/>
            <w:tcBorders>
              <w:bottom w:val="single" w:sz="4" w:space="0" w:color="548DD4" w:themeColor="text2" w:themeTint="99"/>
            </w:tcBorders>
          </w:tcPr>
          <w:p w14:paraId="41FDD178" w14:textId="77777777" w:rsidR="000419B1" w:rsidRPr="00F56679" w:rsidRDefault="000419B1" w:rsidP="000419B1">
            <w:pPr>
              <w:jc w:val="center"/>
              <w:rPr>
                <w:rFonts w:ascii="Calibri" w:hAnsi="Calibri" w:cs="Calibri"/>
                <w:b/>
              </w:rPr>
            </w:pPr>
            <w:r>
              <w:rPr>
                <w:rFonts w:ascii="Calibri" w:hAnsi="Calibri" w:cs="Calibri"/>
                <w:b/>
              </w:rPr>
              <w:t>Score</w:t>
            </w:r>
          </w:p>
        </w:tc>
        <w:tc>
          <w:tcPr>
            <w:tcW w:w="2297" w:type="dxa"/>
            <w:tcBorders>
              <w:bottom w:val="single" w:sz="4" w:space="0" w:color="548DD4" w:themeColor="text2" w:themeTint="99"/>
            </w:tcBorders>
          </w:tcPr>
          <w:p w14:paraId="4159BF23" w14:textId="77777777" w:rsidR="000419B1" w:rsidRPr="00F56679" w:rsidRDefault="000419B1" w:rsidP="000419B1">
            <w:pPr>
              <w:jc w:val="center"/>
              <w:rPr>
                <w:rFonts w:ascii="Calibri" w:hAnsi="Calibri" w:cs="Calibri"/>
                <w:b/>
              </w:rPr>
            </w:pPr>
            <w:r w:rsidRPr="00F56679">
              <w:rPr>
                <w:rFonts w:ascii="Calibri" w:hAnsi="Calibri" w:cs="Calibri"/>
                <w:b/>
              </w:rPr>
              <w:t>Measure</w:t>
            </w:r>
          </w:p>
        </w:tc>
        <w:tc>
          <w:tcPr>
            <w:tcW w:w="3117" w:type="dxa"/>
            <w:tcBorders>
              <w:bottom w:val="single" w:sz="4" w:space="0" w:color="548DD4" w:themeColor="text2" w:themeTint="99"/>
            </w:tcBorders>
          </w:tcPr>
          <w:p w14:paraId="2B0673B0" w14:textId="77777777" w:rsidR="000419B1" w:rsidRPr="00F56679" w:rsidRDefault="000419B1" w:rsidP="000419B1">
            <w:pPr>
              <w:jc w:val="center"/>
              <w:rPr>
                <w:rFonts w:ascii="Calibri" w:hAnsi="Calibri" w:cs="Calibri"/>
                <w:b/>
              </w:rPr>
            </w:pPr>
            <w:r>
              <w:rPr>
                <w:rFonts w:ascii="Calibri" w:hAnsi="Calibri" w:cs="Calibri"/>
                <w:b/>
              </w:rPr>
              <w:t>Performance Overview</w:t>
            </w:r>
          </w:p>
        </w:tc>
        <w:tc>
          <w:tcPr>
            <w:tcW w:w="999" w:type="dxa"/>
            <w:tcBorders>
              <w:bottom w:val="single" w:sz="4" w:space="0" w:color="548DD4" w:themeColor="text2" w:themeTint="99"/>
            </w:tcBorders>
          </w:tcPr>
          <w:p w14:paraId="3190F5D7" w14:textId="77777777" w:rsidR="000419B1" w:rsidRPr="00F56679" w:rsidRDefault="000419B1" w:rsidP="000419B1">
            <w:pPr>
              <w:jc w:val="center"/>
              <w:rPr>
                <w:rFonts w:ascii="Calibri" w:hAnsi="Calibri" w:cs="Calibri"/>
                <w:b/>
              </w:rPr>
            </w:pPr>
            <w:r w:rsidRPr="00F56679">
              <w:rPr>
                <w:rFonts w:ascii="Calibri" w:hAnsi="Calibri" w:cs="Calibri"/>
                <w:b/>
              </w:rPr>
              <w:t>Actual</w:t>
            </w:r>
          </w:p>
        </w:tc>
        <w:tc>
          <w:tcPr>
            <w:tcW w:w="3539" w:type="dxa"/>
            <w:tcBorders>
              <w:bottom w:val="single" w:sz="4" w:space="0" w:color="548DD4" w:themeColor="text2" w:themeTint="99"/>
            </w:tcBorders>
          </w:tcPr>
          <w:p w14:paraId="2133F6D9" w14:textId="77777777" w:rsidR="000419B1" w:rsidRPr="00F56679" w:rsidRDefault="000419B1" w:rsidP="000419B1">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6191B015" w14:textId="77777777" w:rsidR="000419B1" w:rsidRPr="00F56679" w:rsidRDefault="000419B1" w:rsidP="000419B1">
            <w:pPr>
              <w:jc w:val="center"/>
              <w:rPr>
                <w:rFonts w:ascii="Calibri" w:hAnsi="Calibri" w:cs="Calibri"/>
                <w:b/>
              </w:rPr>
            </w:pPr>
            <w:r w:rsidRPr="00F56679">
              <w:rPr>
                <w:rFonts w:ascii="Calibri" w:hAnsi="Calibri" w:cs="Calibri"/>
                <w:b/>
              </w:rPr>
              <w:t>Response</w:t>
            </w:r>
          </w:p>
        </w:tc>
      </w:tr>
      <w:tr w:rsidR="000419B1" w:rsidRPr="003A4D73" w14:paraId="4FF13CD1" w14:textId="77777777" w:rsidTr="00FA55E8">
        <w:trPr>
          <w:trHeight w:hRule="exact" w:val="2840"/>
          <w:tblHeader/>
          <w:jc w:val="center"/>
        </w:trPr>
        <w:tc>
          <w:tcPr>
            <w:tcW w:w="958" w:type="dxa"/>
            <w:tcBorders>
              <w:top w:val="single" w:sz="4" w:space="0" w:color="548DD4" w:themeColor="text2" w:themeTint="99"/>
              <w:bottom w:val="single" w:sz="4" w:space="0" w:color="548DD4" w:themeColor="text2" w:themeTint="99"/>
            </w:tcBorders>
            <w:vAlign w:val="center"/>
          </w:tcPr>
          <w:p w14:paraId="4BAB2E4A" w14:textId="2C3E9594" w:rsidR="000419B1" w:rsidRPr="003A4D73" w:rsidRDefault="008818D2" w:rsidP="000419B1">
            <w:pPr>
              <w:jc w:val="center"/>
              <w:rPr>
                <w:rFonts w:ascii="Calibri" w:hAnsi="Calibri" w:cs="Calibri"/>
                <w:b/>
                <w:color w:val="F79646" w:themeColor="accent6"/>
              </w:rPr>
            </w:pPr>
            <w:r w:rsidRPr="00851105">
              <w:rPr>
                <w:rFonts w:ascii="Calibri" w:hAnsi="Calibri" w:cs="Calibri"/>
                <w:b/>
                <w:color w:val="00B050"/>
              </w:rPr>
              <w:t>GREEN</w:t>
            </w:r>
          </w:p>
        </w:tc>
        <w:tc>
          <w:tcPr>
            <w:tcW w:w="2297" w:type="dxa"/>
            <w:tcBorders>
              <w:top w:val="single" w:sz="4" w:space="0" w:color="548DD4" w:themeColor="text2" w:themeTint="99"/>
              <w:bottom w:val="single" w:sz="4" w:space="0" w:color="548DD4" w:themeColor="text2" w:themeTint="99"/>
            </w:tcBorders>
            <w:vAlign w:val="center"/>
          </w:tcPr>
          <w:p w14:paraId="011BA8E6" w14:textId="77777777" w:rsidR="000419B1" w:rsidRPr="006E0DDA" w:rsidRDefault="000419B1" w:rsidP="000419B1">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Reducing Deer Numbers</w:t>
            </w:r>
          </w:p>
        </w:tc>
        <w:tc>
          <w:tcPr>
            <w:tcW w:w="3117" w:type="dxa"/>
            <w:tcBorders>
              <w:top w:val="single" w:sz="4" w:space="0" w:color="548DD4" w:themeColor="text2" w:themeTint="99"/>
              <w:bottom w:val="single" w:sz="4" w:space="0" w:color="548DD4" w:themeColor="text2" w:themeTint="99"/>
            </w:tcBorders>
            <w:vAlign w:val="center"/>
          </w:tcPr>
          <w:p w14:paraId="1D2B3522" w14:textId="5801E00E" w:rsidR="000419B1" w:rsidRPr="00076CA4" w:rsidRDefault="00BA6797" w:rsidP="000419B1">
            <w:pPr>
              <w:jc w:val="center"/>
              <w:rPr>
                <w:rFonts w:ascii="Calibri" w:hAnsi="Calibri" w:cs="Calibri"/>
                <w:i/>
                <w:color w:val="808080" w:themeColor="background1" w:themeShade="80"/>
              </w:rPr>
            </w:pPr>
            <w:r>
              <w:rPr>
                <w:rFonts w:ascii="Calibri" w:hAnsi="Calibri" w:cs="Calibri"/>
                <w:i/>
                <w:noProof/>
                <w:color w:val="808080" w:themeColor="background1" w:themeShade="80"/>
                <w:lang w:eastAsia="en-GB"/>
              </w:rPr>
              <w:drawing>
                <wp:inline distT="0" distB="0" distL="0" distR="0" wp14:anchorId="6587AD13" wp14:editId="04D767EF">
                  <wp:extent cx="1941796" cy="863600"/>
                  <wp:effectExtent l="0" t="0" r="1905" b="0"/>
                  <wp:docPr id="4" name="Picture 4"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735" cy="927616"/>
                          </a:xfrm>
                          <a:prstGeom prst="rect">
                            <a:avLst/>
                          </a:prstGeom>
                          <a:noFill/>
                        </pic:spPr>
                      </pic:pic>
                    </a:graphicData>
                  </a:graphic>
                </wp:inline>
              </w:drawing>
            </w:r>
          </w:p>
        </w:tc>
        <w:tc>
          <w:tcPr>
            <w:tcW w:w="999" w:type="dxa"/>
            <w:tcBorders>
              <w:top w:val="single" w:sz="4" w:space="0" w:color="548DD4" w:themeColor="text2" w:themeTint="99"/>
              <w:bottom w:val="single" w:sz="4" w:space="0" w:color="548DD4" w:themeColor="text2" w:themeTint="99"/>
            </w:tcBorders>
            <w:vAlign w:val="center"/>
          </w:tcPr>
          <w:p w14:paraId="1DA207F6" w14:textId="06E6C455" w:rsidR="000419B1" w:rsidRPr="00076CA4" w:rsidRDefault="000D5B39" w:rsidP="000419B1">
            <w:pPr>
              <w:jc w:val="center"/>
              <w:rPr>
                <w:rFonts w:ascii="Calibri" w:hAnsi="Calibri" w:cs="Calibri"/>
                <w:color w:val="808080" w:themeColor="background1" w:themeShade="80"/>
              </w:rPr>
            </w:pPr>
            <w:r>
              <w:rPr>
                <w:rFonts w:ascii="Calibri" w:hAnsi="Calibri" w:cs="Calibri"/>
                <w:color w:val="808080" w:themeColor="background1" w:themeShade="80"/>
              </w:rPr>
              <w:t xml:space="preserve">No. deer culled </w:t>
            </w:r>
            <w:r w:rsidR="00BA6797">
              <w:rPr>
                <w:rFonts w:ascii="Calibri" w:hAnsi="Calibri" w:cs="Calibri"/>
                <w:color w:val="808080" w:themeColor="background1" w:themeShade="80"/>
              </w:rPr>
              <w:t>102728</w:t>
            </w:r>
          </w:p>
        </w:tc>
        <w:tc>
          <w:tcPr>
            <w:tcW w:w="3539" w:type="dxa"/>
            <w:tcBorders>
              <w:top w:val="single" w:sz="4" w:space="0" w:color="548DD4" w:themeColor="text2" w:themeTint="99"/>
              <w:bottom w:val="single" w:sz="4" w:space="0" w:color="548DD4" w:themeColor="text2" w:themeTint="99"/>
            </w:tcBorders>
            <w:vAlign w:val="center"/>
          </w:tcPr>
          <w:p w14:paraId="6C182698" w14:textId="51C207D8" w:rsidR="000419B1" w:rsidRPr="00FA55E8" w:rsidRDefault="00B012EA" w:rsidP="000419B1">
            <w:pPr>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Ongoing deer management practices continue to manage numbers at a comparable level.</w:t>
            </w:r>
            <w:r w:rsidR="00395590">
              <w:rPr>
                <w:rFonts w:ascii="Calibri" w:hAnsi="Calibri" w:cs="Calibri"/>
                <w:color w:val="808080" w:themeColor="background1" w:themeShade="80"/>
                <w:sz w:val="20"/>
                <w:szCs w:val="20"/>
              </w:rPr>
              <w:t xml:space="preserve">  </w:t>
            </w:r>
            <w:r w:rsidR="002E42FA" w:rsidRPr="00FA55E8">
              <w:rPr>
                <w:rFonts w:ascii="Calibri" w:hAnsi="Calibri" w:cs="Calibri"/>
                <w:color w:val="808080" w:themeColor="background1" w:themeShade="80"/>
                <w:sz w:val="20"/>
                <w:szCs w:val="20"/>
              </w:rPr>
              <w:t>Annual figure, next available Q1 2023/2</w:t>
            </w:r>
            <w:r>
              <w:rPr>
                <w:rFonts w:ascii="Calibri" w:hAnsi="Calibri" w:cs="Calibri"/>
                <w:color w:val="808080" w:themeColor="background1" w:themeShade="80"/>
                <w:sz w:val="20"/>
                <w:szCs w:val="20"/>
              </w:rPr>
              <w:t xml:space="preserve"> </w:t>
            </w:r>
            <w:r w:rsidR="002E42FA" w:rsidRPr="00FA55E8">
              <w:rPr>
                <w:rFonts w:ascii="Calibri" w:hAnsi="Calibri" w:cs="Calibri"/>
                <w:color w:val="808080" w:themeColor="background1" w:themeShade="80"/>
                <w:sz w:val="20"/>
                <w:szCs w:val="20"/>
              </w:rPr>
              <w:t>4.</w:t>
            </w:r>
          </w:p>
        </w:tc>
        <w:tc>
          <w:tcPr>
            <w:tcW w:w="3691" w:type="dxa"/>
            <w:tcBorders>
              <w:top w:val="single" w:sz="4" w:space="0" w:color="548DD4" w:themeColor="text2" w:themeTint="99"/>
              <w:bottom w:val="single" w:sz="4" w:space="0" w:color="548DD4" w:themeColor="text2" w:themeTint="99"/>
            </w:tcBorders>
            <w:vAlign w:val="center"/>
          </w:tcPr>
          <w:p w14:paraId="758D7C94" w14:textId="149518E7" w:rsidR="000419B1" w:rsidRPr="00864E08" w:rsidRDefault="00B012EA" w:rsidP="000419B1">
            <w:pP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This management activity continues alongside advancement of legislative and policy work to transform deer management to reduce overall impact to allow species and habitats to restore naturally. </w:t>
            </w:r>
          </w:p>
        </w:tc>
      </w:tr>
      <w:tr w:rsidR="000419B1" w:rsidRPr="003A4D73" w14:paraId="2D08C1DB" w14:textId="77777777" w:rsidTr="00FA55E8">
        <w:trPr>
          <w:trHeight w:hRule="exact" w:val="3681"/>
          <w:tblHeader/>
          <w:jc w:val="center"/>
        </w:trPr>
        <w:tc>
          <w:tcPr>
            <w:tcW w:w="958" w:type="dxa"/>
            <w:tcBorders>
              <w:top w:val="single" w:sz="4" w:space="0" w:color="548DD4" w:themeColor="text2" w:themeTint="99"/>
              <w:bottom w:val="single" w:sz="4" w:space="0" w:color="548DD4" w:themeColor="text2" w:themeTint="99"/>
            </w:tcBorders>
            <w:vAlign w:val="center"/>
          </w:tcPr>
          <w:p w14:paraId="74B6EBEC" w14:textId="6EC28076" w:rsidR="000419B1" w:rsidRPr="003A4D73" w:rsidRDefault="00FC43E3" w:rsidP="000419B1">
            <w:pPr>
              <w:jc w:val="center"/>
              <w:rPr>
                <w:rFonts w:ascii="Calibri" w:hAnsi="Calibri" w:cs="Calibri"/>
                <w:b/>
                <w:color w:val="FF0000"/>
              </w:rPr>
            </w:pPr>
            <w:r>
              <w:rPr>
                <w:rFonts w:ascii="Calibri" w:hAnsi="Calibri" w:cs="Calibri"/>
                <w:b/>
                <w:color w:val="FF0000"/>
              </w:rPr>
              <w:t>RED</w:t>
            </w:r>
          </w:p>
        </w:tc>
        <w:tc>
          <w:tcPr>
            <w:tcW w:w="2297" w:type="dxa"/>
            <w:tcBorders>
              <w:top w:val="single" w:sz="4" w:space="0" w:color="548DD4" w:themeColor="text2" w:themeTint="99"/>
              <w:bottom w:val="single" w:sz="4" w:space="0" w:color="548DD4" w:themeColor="text2" w:themeTint="99"/>
            </w:tcBorders>
            <w:vAlign w:val="center"/>
          </w:tcPr>
          <w:p w14:paraId="2885C04F" w14:textId="1983D013" w:rsidR="000419B1" w:rsidRPr="006E0DDA" w:rsidRDefault="000419B1" w:rsidP="000419B1">
            <w:pPr>
              <w:rPr>
                <w:rFonts w:ascii="Calibri" w:hAnsi="Calibri" w:cs="Calibri"/>
                <w:b/>
                <w:iCs/>
                <w:color w:val="808080" w:themeColor="background1" w:themeShade="80"/>
                <w:sz w:val="21"/>
                <w:szCs w:val="21"/>
              </w:rPr>
            </w:pPr>
            <w:r w:rsidRPr="006E0DDA">
              <w:rPr>
                <w:rFonts w:ascii="Calibri" w:hAnsi="Calibri" w:cs="Calibri"/>
                <w:b/>
                <w:iCs/>
                <w:color w:val="808080" w:themeColor="background1" w:themeShade="80"/>
                <w:sz w:val="21"/>
                <w:szCs w:val="21"/>
              </w:rPr>
              <w:t>Area (ha) of woodlands restored</w:t>
            </w:r>
            <w:r w:rsidR="00BA6797">
              <w:rPr>
                <w:rFonts w:ascii="Calibri" w:hAnsi="Calibri" w:cs="Calibri"/>
                <w:b/>
                <w:iCs/>
                <w:color w:val="808080" w:themeColor="background1" w:themeShade="80"/>
                <w:sz w:val="21"/>
                <w:szCs w:val="21"/>
              </w:rPr>
              <w:t xml:space="preserve"> (% of woodlands in favourable condition)</w:t>
            </w:r>
          </w:p>
        </w:tc>
        <w:tc>
          <w:tcPr>
            <w:tcW w:w="3117" w:type="dxa"/>
            <w:tcBorders>
              <w:top w:val="single" w:sz="4" w:space="0" w:color="548DD4" w:themeColor="text2" w:themeTint="99"/>
              <w:bottom w:val="single" w:sz="4" w:space="0" w:color="548DD4" w:themeColor="text2" w:themeTint="99"/>
            </w:tcBorders>
            <w:vAlign w:val="center"/>
          </w:tcPr>
          <w:p w14:paraId="2E2F6F0B" w14:textId="43257BA9" w:rsidR="000419B1" w:rsidRPr="00076CA4" w:rsidRDefault="00BA6797" w:rsidP="000419B1">
            <w:pPr>
              <w:jc w:val="center"/>
              <w:rPr>
                <w:rFonts w:ascii="Calibri" w:hAnsi="Calibri" w:cs="Calibri"/>
                <w:color w:val="808080" w:themeColor="background1" w:themeShade="80"/>
              </w:rPr>
            </w:pPr>
            <w:r>
              <w:rPr>
                <w:rFonts w:ascii="Calibri" w:hAnsi="Calibri" w:cs="Calibri"/>
                <w:noProof/>
                <w:color w:val="808080" w:themeColor="background1" w:themeShade="80"/>
                <w:lang w:eastAsia="en-GB"/>
              </w:rPr>
              <w:drawing>
                <wp:inline distT="0" distB="0" distL="0" distR="0" wp14:anchorId="43CA5D1E" wp14:editId="021FF9F3">
                  <wp:extent cx="2029358" cy="1549400"/>
                  <wp:effectExtent l="0" t="0" r="9525" b="0"/>
                  <wp:docPr id="5" name="Picture 5"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2656" cy="1758061"/>
                          </a:xfrm>
                          <a:prstGeom prst="rect">
                            <a:avLst/>
                          </a:prstGeom>
                          <a:noFill/>
                        </pic:spPr>
                      </pic:pic>
                    </a:graphicData>
                  </a:graphic>
                </wp:inline>
              </w:drawing>
            </w:r>
          </w:p>
        </w:tc>
        <w:tc>
          <w:tcPr>
            <w:tcW w:w="999" w:type="dxa"/>
            <w:tcBorders>
              <w:top w:val="single" w:sz="4" w:space="0" w:color="548DD4" w:themeColor="text2" w:themeTint="99"/>
              <w:bottom w:val="single" w:sz="4" w:space="0" w:color="548DD4" w:themeColor="text2" w:themeTint="99"/>
            </w:tcBorders>
            <w:vAlign w:val="center"/>
          </w:tcPr>
          <w:p w14:paraId="6CC3B264" w14:textId="6FA04D95" w:rsidR="000419B1" w:rsidRPr="00076CA4" w:rsidRDefault="00BA6797" w:rsidP="000419B1">
            <w:pPr>
              <w:jc w:val="center"/>
              <w:rPr>
                <w:rFonts w:ascii="Calibri" w:hAnsi="Calibri" w:cs="Calibri"/>
                <w:color w:val="808080" w:themeColor="background1" w:themeShade="80"/>
              </w:rPr>
            </w:pPr>
            <w:r>
              <w:rPr>
                <w:rFonts w:ascii="Calibri" w:hAnsi="Calibri" w:cs="Calibri"/>
                <w:color w:val="808080" w:themeColor="background1" w:themeShade="80"/>
              </w:rPr>
              <w:t>33.7%</w:t>
            </w:r>
          </w:p>
        </w:tc>
        <w:tc>
          <w:tcPr>
            <w:tcW w:w="3539" w:type="dxa"/>
            <w:tcBorders>
              <w:top w:val="single" w:sz="4" w:space="0" w:color="548DD4" w:themeColor="text2" w:themeTint="99"/>
              <w:bottom w:val="single" w:sz="4" w:space="0" w:color="548DD4" w:themeColor="text2" w:themeTint="99"/>
            </w:tcBorders>
            <w:vAlign w:val="center"/>
          </w:tcPr>
          <w:p w14:paraId="2A9F856A" w14:textId="1D15C44A" w:rsidR="000419B1" w:rsidRPr="00FA55E8" w:rsidRDefault="00B012EA" w:rsidP="000419B1">
            <w:pPr>
              <w:jc w:val="both"/>
              <w:rPr>
                <w:rFonts w:ascii="Calibri" w:hAnsi="Calibri" w:cs="Calibri"/>
                <w:color w:val="808080" w:themeColor="background1" w:themeShade="80"/>
                <w:sz w:val="20"/>
                <w:szCs w:val="20"/>
              </w:rPr>
            </w:pPr>
            <w:r w:rsidRPr="00B012EA">
              <w:rPr>
                <w:rFonts w:ascii="Calibri" w:hAnsi="Calibri" w:cs="Calibri"/>
                <w:color w:val="808080" w:themeColor="background1" w:themeShade="80"/>
                <w:sz w:val="20"/>
                <w:szCs w:val="20"/>
              </w:rPr>
              <w:t xml:space="preserve">The poor/declining condition of woodland sites is overwhelmingly driven by chronic overgrazing – to be specific, high herbivore impact especially by </w:t>
            </w:r>
            <w:r w:rsidR="00C013F1">
              <w:rPr>
                <w:rFonts w:ascii="Calibri" w:hAnsi="Calibri" w:cs="Calibri"/>
                <w:color w:val="808080" w:themeColor="background1" w:themeShade="80"/>
                <w:sz w:val="20"/>
                <w:szCs w:val="20"/>
              </w:rPr>
              <w:t xml:space="preserve">wild </w:t>
            </w:r>
            <w:r w:rsidRPr="00B012EA">
              <w:rPr>
                <w:rFonts w:ascii="Calibri" w:hAnsi="Calibri" w:cs="Calibri"/>
                <w:color w:val="808080" w:themeColor="background1" w:themeShade="80"/>
                <w:sz w:val="20"/>
                <w:szCs w:val="20"/>
              </w:rPr>
              <w:t xml:space="preserve">deer. </w:t>
            </w:r>
            <w:r w:rsidR="002E42FA" w:rsidRPr="00FA55E8">
              <w:rPr>
                <w:rFonts w:ascii="Calibri" w:hAnsi="Calibri" w:cs="Calibri"/>
                <w:color w:val="808080" w:themeColor="background1" w:themeShade="80"/>
                <w:sz w:val="20"/>
                <w:szCs w:val="20"/>
              </w:rPr>
              <w:t>Annual figure, next available Q1 2023/24.</w:t>
            </w:r>
          </w:p>
        </w:tc>
        <w:tc>
          <w:tcPr>
            <w:tcW w:w="3691" w:type="dxa"/>
            <w:tcBorders>
              <w:top w:val="single" w:sz="4" w:space="0" w:color="548DD4" w:themeColor="text2" w:themeTint="99"/>
              <w:bottom w:val="single" w:sz="4" w:space="0" w:color="548DD4" w:themeColor="text2" w:themeTint="99"/>
            </w:tcBorders>
            <w:vAlign w:val="center"/>
          </w:tcPr>
          <w:p w14:paraId="44CDFA51" w14:textId="05ADCD55" w:rsidR="000419B1" w:rsidRPr="00864E08" w:rsidRDefault="00B012EA" w:rsidP="000419B1">
            <w:pPr>
              <w:rPr>
                <w:sz w:val="20"/>
                <w:szCs w:val="20"/>
              </w:rPr>
            </w:pPr>
            <w:r w:rsidRPr="00B012EA">
              <w:rPr>
                <w:rFonts w:ascii="Calibri" w:hAnsi="Calibri" w:cs="Calibri"/>
                <w:color w:val="808080" w:themeColor="background1" w:themeShade="80"/>
                <w:sz w:val="20"/>
                <w:szCs w:val="20"/>
              </w:rPr>
              <w:t>NatureScot is addressing these issues through the SBS Delivery plans, through deer management planning and in collaboration with Scottish Forestry.</w:t>
            </w:r>
          </w:p>
        </w:tc>
      </w:tr>
    </w:tbl>
    <w:p w14:paraId="3C541460" w14:textId="77777777" w:rsidR="000419B1" w:rsidRPr="00FB3B80" w:rsidRDefault="000419B1" w:rsidP="000419B1">
      <w:pPr>
        <w:pStyle w:val="Heading2"/>
        <w:shd w:val="clear" w:color="auto" w:fill="007DC3"/>
        <w:jc w:val="center"/>
        <w:rPr>
          <w:rFonts w:ascii="Calibri" w:hAnsi="Calibri" w:cs="Calibri"/>
        </w:rPr>
      </w:pPr>
      <w:r w:rsidRPr="00FB3B80">
        <w:rPr>
          <w:rFonts w:ascii="Calibri" w:hAnsi="Calibri" w:cs="Calibri"/>
        </w:rPr>
        <w:lastRenderedPageBreak/>
        <w:t>WE HAVE RESTORED NATURE</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1138"/>
        <w:gridCol w:w="3402"/>
        <w:gridCol w:w="3691"/>
      </w:tblGrid>
      <w:tr w:rsidR="000419B1" w:rsidRPr="00F56679" w14:paraId="74F84B0E" w14:textId="77777777" w:rsidTr="00395590">
        <w:trPr>
          <w:tblHeader/>
          <w:jc w:val="center"/>
        </w:trPr>
        <w:tc>
          <w:tcPr>
            <w:tcW w:w="959" w:type="dxa"/>
            <w:tcBorders>
              <w:bottom w:val="single" w:sz="4" w:space="0" w:color="548DD4" w:themeColor="text2" w:themeTint="99"/>
            </w:tcBorders>
          </w:tcPr>
          <w:p w14:paraId="009E8969" w14:textId="77777777" w:rsidR="000419B1" w:rsidRPr="00F56679" w:rsidRDefault="000419B1" w:rsidP="000419B1">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5D0A2F26" w14:textId="77777777" w:rsidR="000419B1" w:rsidRPr="00F56679" w:rsidRDefault="000419B1" w:rsidP="000419B1">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6ABFB2E0" w14:textId="77777777" w:rsidR="000419B1" w:rsidRPr="00F56679" w:rsidRDefault="000419B1" w:rsidP="000419B1">
            <w:pPr>
              <w:jc w:val="center"/>
              <w:rPr>
                <w:rFonts w:ascii="Calibri" w:hAnsi="Calibri" w:cs="Calibri"/>
                <w:b/>
              </w:rPr>
            </w:pPr>
            <w:r>
              <w:rPr>
                <w:rFonts w:ascii="Calibri" w:hAnsi="Calibri" w:cs="Calibri"/>
                <w:b/>
              </w:rPr>
              <w:t>Performance Overview</w:t>
            </w:r>
          </w:p>
        </w:tc>
        <w:tc>
          <w:tcPr>
            <w:tcW w:w="1138" w:type="dxa"/>
            <w:tcBorders>
              <w:bottom w:val="single" w:sz="4" w:space="0" w:color="548DD4" w:themeColor="text2" w:themeTint="99"/>
            </w:tcBorders>
          </w:tcPr>
          <w:p w14:paraId="573E1A28" w14:textId="77777777" w:rsidR="000419B1" w:rsidRPr="00F56679" w:rsidRDefault="000419B1" w:rsidP="000419B1">
            <w:pPr>
              <w:jc w:val="center"/>
              <w:rPr>
                <w:rFonts w:ascii="Calibri" w:hAnsi="Calibri" w:cs="Calibri"/>
                <w:b/>
              </w:rPr>
            </w:pPr>
            <w:r w:rsidRPr="00F56679">
              <w:rPr>
                <w:rFonts w:ascii="Calibri" w:hAnsi="Calibri" w:cs="Calibri"/>
                <w:b/>
              </w:rPr>
              <w:t>Actual</w:t>
            </w:r>
          </w:p>
        </w:tc>
        <w:tc>
          <w:tcPr>
            <w:tcW w:w="3402" w:type="dxa"/>
            <w:tcBorders>
              <w:bottom w:val="single" w:sz="4" w:space="0" w:color="548DD4" w:themeColor="text2" w:themeTint="99"/>
            </w:tcBorders>
          </w:tcPr>
          <w:p w14:paraId="047E681F" w14:textId="77777777" w:rsidR="000419B1" w:rsidRPr="00F56679" w:rsidRDefault="000419B1" w:rsidP="000419B1">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006D1CD8" w14:textId="77777777" w:rsidR="000419B1" w:rsidRPr="00F56679" w:rsidRDefault="000419B1" w:rsidP="000419B1">
            <w:pPr>
              <w:jc w:val="center"/>
              <w:rPr>
                <w:rFonts w:ascii="Calibri" w:hAnsi="Calibri" w:cs="Calibri"/>
                <w:b/>
              </w:rPr>
            </w:pPr>
            <w:r w:rsidRPr="00F56679">
              <w:rPr>
                <w:rFonts w:ascii="Calibri" w:hAnsi="Calibri" w:cs="Calibri"/>
                <w:b/>
              </w:rPr>
              <w:t>Response</w:t>
            </w:r>
          </w:p>
        </w:tc>
      </w:tr>
      <w:tr w:rsidR="000C41B4" w:rsidRPr="000C41B4" w14:paraId="74AD7FAA" w14:textId="77777777" w:rsidTr="00395590">
        <w:trPr>
          <w:trHeight w:hRule="exact" w:val="1908"/>
          <w:jc w:val="center"/>
        </w:trPr>
        <w:tc>
          <w:tcPr>
            <w:tcW w:w="959" w:type="dxa"/>
            <w:tcBorders>
              <w:top w:val="single" w:sz="4" w:space="0" w:color="548DD4" w:themeColor="text2" w:themeTint="99"/>
              <w:bottom w:val="single" w:sz="4" w:space="0" w:color="548DD4" w:themeColor="text2" w:themeTint="99"/>
            </w:tcBorders>
            <w:vAlign w:val="center"/>
          </w:tcPr>
          <w:p w14:paraId="746447F4" w14:textId="77777777" w:rsidR="000C41B4" w:rsidRPr="003A4D73" w:rsidRDefault="000C41B4" w:rsidP="000C41B4">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4629485D" w14:textId="551D0E44" w:rsidR="000C41B4" w:rsidRPr="006E0DDA" w:rsidRDefault="00D753F5" w:rsidP="000C41B4">
            <w:pPr>
              <w:rPr>
                <w:rFonts w:ascii="Calibri" w:hAnsi="Calibri" w:cs="Calibri"/>
                <w:b/>
                <w:iCs/>
                <w:color w:val="808080" w:themeColor="background1" w:themeShade="80"/>
                <w:sz w:val="21"/>
                <w:szCs w:val="21"/>
              </w:rPr>
            </w:pPr>
            <w:hyperlink r:id="rId14" w:history="1">
              <w:r w:rsidR="00DB0914" w:rsidRPr="00584BB7">
                <w:rPr>
                  <w:rStyle w:val="Hyperlink"/>
                  <w:rFonts w:ascii="Calibri" w:hAnsi="Calibri" w:cs="Calibri"/>
                  <w:b/>
                  <w:iCs/>
                  <w:color w:val="808080" w:themeColor="background1" w:themeShade="80"/>
                  <w:sz w:val="20"/>
                  <w:szCs w:val="20"/>
                </w:rPr>
                <w:t>Funds raised and Allocated by</w:t>
              </w:r>
              <w:r w:rsidR="000C41B4" w:rsidRPr="00584BB7">
                <w:rPr>
                  <w:rStyle w:val="Hyperlink"/>
                  <w:rFonts w:ascii="Calibri" w:hAnsi="Calibri" w:cs="Calibri"/>
                  <w:b/>
                  <w:iCs/>
                  <w:color w:val="808080" w:themeColor="background1" w:themeShade="80"/>
                  <w:sz w:val="20"/>
                  <w:szCs w:val="20"/>
                </w:rPr>
                <w:t xml:space="preserve"> SMEEF</w:t>
              </w:r>
            </w:hyperlink>
          </w:p>
        </w:tc>
        <w:tc>
          <w:tcPr>
            <w:tcW w:w="3118" w:type="dxa"/>
            <w:tcBorders>
              <w:top w:val="single" w:sz="4" w:space="0" w:color="548DD4" w:themeColor="text2" w:themeTint="99"/>
              <w:bottom w:val="single" w:sz="4" w:space="0" w:color="548DD4" w:themeColor="text2" w:themeTint="99"/>
            </w:tcBorders>
            <w:vAlign w:val="center"/>
          </w:tcPr>
          <w:p w14:paraId="38C9E0D7" w14:textId="20E4761C" w:rsidR="000C41B4" w:rsidRPr="003A4D73" w:rsidRDefault="000C41B4" w:rsidP="000C41B4">
            <w:pPr>
              <w:jc w:val="center"/>
              <w:rPr>
                <w:rFonts w:ascii="Calibri" w:hAnsi="Calibri" w:cs="Calibri"/>
              </w:rPr>
            </w:pPr>
            <w:r>
              <w:rPr>
                <w:rFonts w:ascii="Calibri" w:hAnsi="Calibri" w:cs="Calibri"/>
                <w:noProof/>
                <w:sz w:val="20"/>
                <w:szCs w:val="20"/>
                <w:lang w:eastAsia="en-GB"/>
              </w:rPr>
              <w:drawing>
                <wp:inline distT="0" distB="0" distL="0" distR="0" wp14:anchorId="7793D1A8" wp14:editId="44C9733C">
                  <wp:extent cx="1897811" cy="982745"/>
                  <wp:effectExtent l="0" t="0" r="7620" b="8255"/>
                  <wp:docPr id="9" name="Picture 9"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1358" cy="984582"/>
                          </a:xfrm>
                          <a:prstGeom prst="rect">
                            <a:avLst/>
                          </a:prstGeom>
                          <a:noFill/>
                        </pic:spPr>
                      </pic:pic>
                    </a:graphicData>
                  </a:graphic>
                </wp:inline>
              </w:drawing>
            </w:r>
          </w:p>
        </w:tc>
        <w:tc>
          <w:tcPr>
            <w:tcW w:w="1138" w:type="dxa"/>
            <w:tcBorders>
              <w:top w:val="single" w:sz="4" w:space="0" w:color="548DD4" w:themeColor="text2" w:themeTint="99"/>
              <w:bottom w:val="single" w:sz="4" w:space="0" w:color="548DD4" w:themeColor="text2" w:themeTint="99"/>
            </w:tcBorders>
            <w:vAlign w:val="center"/>
          </w:tcPr>
          <w:p w14:paraId="33C375C4" w14:textId="149411D7" w:rsidR="000C41B4" w:rsidRPr="003D306D" w:rsidRDefault="000C41B4" w:rsidP="000C41B4">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20"/>
                <w:szCs w:val="20"/>
              </w:rPr>
              <w:t>823,038</w:t>
            </w:r>
          </w:p>
        </w:tc>
        <w:tc>
          <w:tcPr>
            <w:tcW w:w="3402" w:type="dxa"/>
            <w:tcBorders>
              <w:top w:val="single" w:sz="4" w:space="0" w:color="548DD4" w:themeColor="text2" w:themeTint="99"/>
              <w:bottom w:val="single" w:sz="4" w:space="0" w:color="548DD4" w:themeColor="text2" w:themeTint="99"/>
            </w:tcBorders>
            <w:vAlign w:val="center"/>
          </w:tcPr>
          <w:p w14:paraId="6C89BBFD" w14:textId="1198308D" w:rsidR="000C41B4" w:rsidRPr="00FA55E8" w:rsidRDefault="00395590" w:rsidP="00584BB7">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 xml:space="preserve">NRF money only </w:t>
            </w:r>
            <w:r>
              <w:rPr>
                <w:rFonts w:ascii="Calibri" w:hAnsi="Calibri" w:cs="Calibri"/>
                <w:color w:val="808080" w:themeColor="background1" w:themeShade="80"/>
                <w:sz w:val="20"/>
                <w:szCs w:val="20"/>
              </w:rPr>
              <w:t xml:space="preserve">and reflective of the </w:t>
            </w:r>
            <w:r w:rsidRPr="00FA55E8">
              <w:rPr>
                <w:rFonts w:ascii="Calibri" w:hAnsi="Calibri" w:cs="Calibri"/>
                <w:color w:val="808080" w:themeColor="background1" w:themeShade="80"/>
                <w:sz w:val="20"/>
                <w:szCs w:val="20"/>
              </w:rPr>
              <w:t>breaks in between funding rounds.</w:t>
            </w:r>
          </w:p>
        </w:tc>
        <w:tc>
          <w:tcPr>
            <w:tcW w:w="3691" w:type="dxa"/>
            <w:tcBorders>
              <w:top w:val="single" w:sz="4" w:space="0" w:color="548DD4" w:themeColor="text2" w:themeTint="99"/>
              <w:bottom w:val="single" w:sz="4" w:space="0" w:color="548DD4" w:themeColor="text2" w:themeTint="99"/>
            </w:tcBorders>
            <w:vAlign w:val="center"/>
          </w:tcPr>
          <w:p w14:paraId="7AFDC64D" w14:textId="6471E865" w:rsidR="000C41B4" w:rsidRPr="00FA55E8" w:rsidRDefault="000C41B4" w:rsidP="00584BB7">
            <w:pPr>
              <w:jc w:val="both"/>
              <w:rPr>
                <w:sz w:val="20"/>
                <w:szCs w:val="20"/>
              </w:rPr>
            </w:pPr>
            <w:r w:rsidRPr="00FA55E8">
              <w:rPr>
                <w:rFonts w:ascii="Calibri" w:hAnsi="Calibri" w:cs="Calibri"/>
                <w:color w:val="808080" w:themeColor="background1" w:themeShade="80"/>
                <w:sz w:val="20"/>
                <w:szCs w:val="20"/>
              </w:rPr>
              <w:t xml:space="preserve">NRF money only </w:t>
            </w:r>
            <w:r w:rsidR="00BE28BC">
              <w:rPr>
                <w:rFonts w:ascii="Calibri" w:hAnsi="Calibri" w:cs="Calibri"/>
                <w:color w:val="808080" w:themeColor="background1" w:themeShade="80"/>
                <w:sz w:val="20"/>
                <w:szCs w:val="20"/>
              </w:rPr>
              <w:t xml:space="preserve">and reflective of the </w:t>
            </w:r>
            <w:r w:rsidRPr="00FA55E8">
              <w:rPr>
                <w:rFonts w:ascii="Calibri" w:hAnsi="Calibri" w:cs="Calibri"/>
                <w:color w:val="808080" w:themeColor="background1" w:themeShade="80"/>
                <w:sz w:val="20"/>
                <w:szCs w:val="20"/>
              </w:rPr>
              <w:t xml:space="preserve">breaks in between funding rounds. </w:t>
            </w:r>
            <w:r w:rsidR="00DB0914">
              <w:rPr>
                <w:rFonts w:ascii="Calibri" w:hAnsi="Calibri" w:cs="Calibri"/>
                <w:color w:val="808080" w:themeColor="background1" w:themeShade="80"/>
                <w:sz w:val="20"/>
                <w:szCs w:val="20"/>
              </w:rPr>
              <w:t>The fund is not at the point to record private investment.  This measure will come into place in 2023/24.</w:t>
            </w:r>
          </w:p>
        </w:tc>
      </w:tr>
      <w:tr w:rsidR="000419B1" w:rsidRPr="003A4D73" w14:paraId="555B7B78" w14:textId="77777777" w:rsidTr="00395590">
        <w:trPr>
          <w:trHeight w:hRule="exact" w:val="2694"/>
          <w:jc w:val="center"/>
        </w:trPr>
        <w:tc>
          <w:tcPr>
            <w:tcW w:w="959" w:type="dxa"/>
            <w:tcBorders>
              <w:top w:val="single" w:sz="4" w:space="0" w:color="548DD4" w:themeColor="text2" w:themeTint="99"/>
              <w:bottom w:val="single" w:sz="4" w:space="0" w:color="548DD4" w:themeColor="text2" w:themeTint="99"/>
            </w:tcBorders>
            <w:vAlign w:val="center"/>
          </w:tcPr>
          <w:p w14:paraId="3F079B2A" w14:textId="77777777" w:rsidR="000419B1" w:rsidRPr="003A4D73" w:rsidRDefault="000419B1" w:rsidP="000419B1">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21D85E38" w14:textId="77777777" w:rsidR="000419B1" w:rsidRPr="006E0DDA" w:rsidRDefault="00D753F5" w:rsidP="000419B1">
            <w:pPr>
              <w:rPr>
                <w:rFonts w:ascii="Calibri" w:hAnsi="Calibri" w:cs="Calibri"/>
                <w:b/>
                <w:iCs/>
                <w:color w:val="808080" w:themeColor="background1" w:themeShade="80"/>
                <w:sz w:val="21"/>
                <w:szCs w:val="21"/>
              </w:rPr>
            </w:pPr>
            <w:hyperlink r:id="rId16" w:history="1">
              <w:r w:rsidR="000419B1" w:rsidRPr="00A0017B">
                <w:rPr>
                  <w:rStyle w:val="Hyperlink"/>
                  <w:rFonts w:ascii="Calibri" w:hAnsi="Calibri" w:cs="Calibri"/>
                  <w:b/>
                  <w:iCs/>
                  <w:color w:val="808080" w:themeColor="background1" w:themeShade="80"/>
                  <w:sz w:val="21"/>
                  <w:szCs w:val="21"/>
                </w:rPr>
                <w:t>Ha of land managed under plans supported through agricultural support schemes</w:t>
              </w:r>
            </w:hyperlink>
          </w:p>
        </w:tc>
        <w:tc>
          <w:tcPr>
            <w:tcW w:w="3118" w:type="dxa"/>
            <w:tcBorders>
              <w:top w:val="single" w:sz="4" w:space="0" w:color="548DD4" w:themeColor="text2" w:themeTint="99"/>
              <w:bottom w:val="single" w:sz="4" w:space="0" w:color="548DD4" w:themeColor="text2" w:themeTint="99"/>
            </w:tcBorders>
            <w:vAlign w:val="center"/>
          </w:tcPr>
          <w:p w14:paraId="04A35A85" w14:textId="1413C850" w:rsidR="000419B1" w:rsidRPr="00FB3B80" w:rsidRDefault="000C41B4" w:rsidP="000419B1">
            <w:pPr>
              <w:jc w:val="center"/>
              <w:rPr>
                <w:rFonts w:ascii="Calibri" w:hAnsi="Calibri" w:cs="Calibri"/>
                <w:color w:val="808080" w:themeColor="background1" w:themeShade="80"/>
              </w:rPr>
            </w:pPr>
            <w:r>
              <w:rPr>
                <w:rFonts w:ascii="Calibri" w:hAnsi="Calibri" w:cs="Calibri"/>
                <w:noProof/>
                <w:color w:val="808080" w:themeColor="background1" w:themeShade="80"/>
                <w:sz w:val="20"/>
                <w:szCs w:val="20"/>
                <w:lang w:eastAsia="en-GB"/>
              </w:rPr>
              <w:drawing>
                <wp:inline distT="0" distB="0" distL="0" distR="0" wp14:anchorId="55F870BD" wp14:editId="1DAFA6A6">
                  <wp:extent cx="1646746" cy="981075"/>
                  <wp:effectExtent l="0" t="0" r="0" b="0"/>
                  <wp:docPr id="12" name="Picture 12"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0213" cy="1006971"/>
                          </a:xfrm>
                          <a:prstGeom prst="rect">
                            <a:avLst/>
                          </a:prstGeom>
                          <a:noFill/>
                        </pic:spPr>
                      </pic:pic>
                    </a:graphicData>
                  </a:graphic>
                </wp:inline>
              </w:drawing>
            </w:r>
          </w:p>
        </w:tc>
        <w:tc>
          <w:tcPr>
            <w:tcW w:w="1138" w:type="dxa"/>
            <w:tcBorders>
              <w:top w:val="single" w:sz="4" w:space="0" w:color="548DD4" w:themeColor="text2" w:themeTint="99"/>
              <w:bottom w:val="single" w:sz="4" w:space="0" w:color="548DD4" w:themeColor="text2" w:themeTint="99"/>
            </w:tcBorders>
            <w:vAlign w:val="center"/>
          </w:tcPr>
          <w:p w14:paraId="09D4616F" w14:textId="650E20A4" w:rsidR="000419B1" w:rsidRPr="000C41B4" w:rsidRDefault="000C41B4" w:rsidP="000419B1">
            <w:pPr>
              <w:jc w:val="center"/>
              <w:rPr>
                <w:rFonts w:ascii="Calibri" w:hAnsi="Calibri" w:cs="Calibri"/>
                <w:color w:val="808080" w:themeColor="background1" w:themeShade="80"/>
                <w:sz w:val="20"/>
                <w:szCs w:val="20"/>
              </w:rPr>
            </w:pPr>
            <w:r w:rsidRPr="000C41B4">
              <w:rPr>
                <w:rFonts w:ascii="Calibri" w:hAnsi="Calibri" w:cs="Calibri"/>
                <w:color w:val="808080" w:themeColor="background1" w:themeShade="80"/>
                <w:sz w:val="20"/>
                <w:szCs w:val="20"/>
              </w:rPr>
              <w:t>1</w:t>
            </w:r>
            <w:r w:rsidR="00395590">
              <w:rPr>
                <w:rFonts w:ascii="Calibri" w:hAnsi="Calibri" w:cs="Calibri"/>
                <w:color w:val="808080" w:themeColor="background1" w:themeShade="80"/>
                <w:sz w:val="20"/>
                <w:szCs w:val="20"/>
              </w:rPr>
              <w:t>,</w:t>
            </w:r>
            <w:r w:rsidRPr="000C41B4">
              <w:rPr>
                <w:rFonts w:ascii="Calibri" w:hAnsi="Calibri" w:cs="Calibri"/>
                <w:color w:val="808080" w:themeColor="background1" w:themeShade="80"/>
                <w:sz w:val="20"/>
                <w:szCs w:val="20"/>
              </w:rPr>
              <w:t>170</w:t>
            </w:r>
            <w:r w:rsidR="00395590">
              <w:rPr>
                <w:rFonts w:ascii="Calibri" w:hAnsi="Calibri" w:cs="Calibri"/>
                <w:color w:val="808080" w:themeColor="background1" w:themeShade="80"/>
                <w:sz w:val="20"/>
                <w:szCs w:val="20"/>
              </w:rPr>
              <w:t>,</w:t>
            </w:r>
            <w:r w:rsidRPr="000C41B4">
              <w:rPr>
                <w:rFonts w:ascii="Calibri" w:hAnsi="Calibri" w:cs="Calibri"/>
                <w:color w:val="808080" w:themeColor="background1" w:themeShade="80"/>
                <w:sz w:val="20"/>
                <w:szCs w:val="20"/>
              </w:rPr>
              <w:t>298</w:t>
            </w:r>
          </w:p>
        </w:tc>
        <w:tc>
          <w:tcPr>
            <w:tcW w:w="3402" w:type="dxa"/>
            <w:tcBorders>
              <w:top w:val="single" w:sz="4" w:space="0" w:color="548DD4" w:themeColor="text2" w:themeTint="99"/>
              <w:bottom w:val="single" w:sz="4" w:space="0" w:color="548DD4" w:themeColor="text2" w:themeTint="99"/>
            </w:tcBorders>
            <w:vAlign w:val="center"/>
          </w:tcPr>
          <w:p w14:paraId="33AA8CE2" w14:textId="0E4B5B5E" w:rsidR="000419B1" w:rsidRPr="00FA55E8" w:rsidRDefault="00A82249" w:rsidP="00A82249">
            <w:pPr>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 xml:space="preserve">In response to the restricted budget there was a restricted ACES </w:t>
            </w:r>
            <w:r w:rsidR="008A515F" w:rsidRPr="00FA55E8">
              <w:rPr>
                <w:rFonts w:ascii="Calibri" w:hAnsi="Calibri" w:cs="Calibri"/>
                <w:color w:val="808080" w:themeColor="background1" w:themeShade="80"/>
                <w:sz w:val="20"/>
                <w:szCs w:val="20"/>
              </w:rPr>
              <w:t>round in 2021</w:t>
            </w:r>
            <w:r w:rsidRPr="00FA55E8">
              <w:rPr>
                <w:rFonts w:ascii="Calibri" w:hAnsi="Calibri" w:cs="Calibri"/>
                <w:color w:val="808080" w:themeColor="background1" w:themeShade="80"/>
                <w:sz w:val="20"/>
                <w:szCs w:val="20"/>
              </w:rPr>
              <w:t>.</w:t>
            </w:r>
            <w:r w:rsidR="008A515F" w:rsidRPr="00FA55E8">
              <w:rPr>
                <w:rFonts w:ascii="Calibri" w:hAnsi="Calibri" w:cs="Calibri"/>
                <w:color w:val="808080" w:themeColor="background1" w:themeShade="80"/>
                <w:sz w:val="20"/>
                <w:szCs w:val="20"/>
              </w:rPr>
              <w:t xml:space="preserve"> </w:t>
            </w:r>
            <w:r w:rsidRPr="00FA55E8">
              <w:rPr>
                <w:rFonts w:ascii="Calibri" w:hAnsi="Calibri" w:cs="Calibri"/>
                <w:color w:val="808080" w:themeColor="background1" w:themeShade="80"/>
                <w:sz w:val="20"/>
                <w:szCs w:val="20"/>
              </w:rPr>
              <w:t xml:space="preserve">This has resulted in the area of land </w:t>
            </w:r>
            <w:r w:rsidR="008A515F" w:rsidRPr="00FA55E8">
              <w:rPr>
                <w:rFonts w:ascii="Calibri" w:hAnsi="Calibri" w:cs="Calibri"/>
                <w:color w:val="808080" w:themeColor="background1" w:themeShade="80"/>
                <w:sz w:val="20"/>
                <w:szCs w:val="20"/>
              </w:rPr>
              <w:t>able to be supported through the ACES scheme has been reduced.</w:t>
            </w:r>
          </w:p>
        </w:tc>
        <w:tc>
          <w:tcPr>
            <w:tcW w:w="3691" w:type="dxa"/>
            <w:tcBorders>
              <w:top w:val="single" w:sz="4" w:space="0" w:color="548DD4" w:themeColor="text2" w:themeTint="99"/>
              <w:bottom w:val="single" w:sz="4" w:space="0" w:color="548DD4" w:themeColor="text2" w:themeTint="99"/>
            </w:tcBorders>
            <w:vAlign w:val="center"/>
          </w:tcPr>
          <w:p w14:paraId="30EB7E5D" w14:textId="1EC470C3" w:rsidR="000419B1" w:rsidRPr="00FA55E8" w:rsidRDefault="00A82249" w:rsidP="00A82249">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 xml:space="preserve">The budget remains under pressure however funding for designated land continues to be prioritised. </w:t>
            </w:r>
          </w:p>
        </w:tc>
      </w:tr>
      <w:tr w:rsidR="000419B1" w:rsidRPr="003A4D73" w14:paraId="08DC54DF" w14:textId="77777777" w:rsidTr="00C013F1">
        <w:trPr>
          <w:trHeight w:hRule="exact" w:val="1928"/>
          <w:jc w:val="center"/>
        </w:trPr>
        <w:tc>
          <w:tcPr>
            <w:tcW w:w="959" w:type="dxa"/>
            <w:tcBorders>
              <w:top w:val="single" w:sz="4" w:space="0" w:color="548DD4" w:themeColor="text2" w:themeTint="99"/>
              <w:bottom w:val="single" w:sz="4" w:space="0" w:color="548DD4" w:themeColor="text2" w:themeTint="99"/>
            </w:tcBorders>
            <w:vAlign w:val="center"/>
          </w:tcPr>
          <w:p w14:paraId="319C8196" w14:textId="77777777" w:rsidR="000419B1" w:rsidRPr="003A4D73" w:rsidRDefault="000419B1" w:rsidP="000419B1">
            <w:pPr>
              <w:jc w:val="center"/>
              <w:rPr>
                <w:rFonts w:ascii="Calibri" w:hAnsi="Calibri" w:cs="Calibri"/>
                <w:b/>
              </w:rPr>
            </w:pPr>
          </w:p>
        </w:tc>
        <w:tc>
          <w:tcPr>
            <w:tcW w:w="2298" w:type="dxa"/>
            <w:tcBorders>
              <w:top w:val="single" w:sz="4" w:space="0" w:color="548DD4" w:themeColor="text2" w:themeTint="99"/>
              <w:bottom w:val="single" w:sz="4" w:space="0" w:color="548DD4" w:themeColor="text2" w:themeTint="99"/>
            </w:tcBorders>
            <w:vAlign w:val="center"/>
          </w:tcPr>
          <w:p w14:paraId="5C242CE9" w14:textId="77777777" w:rsidR="000419B1" w:rsidRPr="006E0DDA" w:rsidRDefault="00D753F5" w:rsidP="000419B1">
            <w:pPr>
              <w:rPr>
                <w:rFonts w:ascii="Calibri" w:hAnsi="Calibri" w:cs="Calibri"/>
                <w:b/>
                <w:iCs/>
                <w:color w:val="808080" w:themeColor="background1" w:themeShade="80"/>
                <w:sz w:val="21"/>
                <w:szCs w:val="21"/>
              </w:rPr>
            </w:pPr>
            <w:hyperlink r:id="rId18" w:history="1">
              <w:r w:rsidR="000419B1" w:rsidRPr="00B87C56">
                <w:rPr>
                  <w:rStyle w:val="Hyperlink"/>
                  <w:rFonts w:ascii="Calibri" w:hAnsi="Calibri" w:cs="Calibri"/>
                  <w:b/>
                  <w:iCs/>
                  <w:color w:val="808080" w:themeColor="background1" w:themeShade="80"/>
                  <w:sz w:val="21"/>
                  <w:szCs w:val="21"/>
                </w:rPr>
                <w:t xml:space="preserve">Area (ha) improved for </w:t>
              </w:r>
              <w:r w:rsidR="000419B1" w:rsidRPr="00123F33">
                <w:rPr>
                  <w:rStyle w:val="Hyperlink"/>
                  <w:rFonts w:ascii="Calibri" w:hAnsi="Calibri" w:cs="Calibri"/>
                  <w:b/>
                  <w:iCs/>
                  <w:color w:val="808080" w:themeColor="background1" w:themeShade="80"/>
                  <w:sz w:val="21"/>
                  <w:szCs w:val="21"/>
                </w:rPr>
                <w:t>habitats</w:t>
              </w:r>
              <w:r w:rsidR="000419B1" w:rsidRPr="00B87C56">
                <w:rPr>
                  <w:rStyle w:val="Hyperlink"/>
                  <w:rFonts w:ascii="Calibri" w:hAnsi="Calibri" w:cs="Calibri"/>
                  <w:b/>
                  <w:iCs/>
                  <w:color w:val="808080" w:themeColor="background1" w:themeShade="80"/>
                  <w:sz w:val="21"/>
                  <w:szCs w:val="21"/>
                </w:rPr>
                <w:t xml:space="preserve"> and species through the nature restoration fund</w:t>
              </w:r>
            </w:hyperlink>
          </w:p>
        </w:tc>
        <w:tc>
          <w:tcPr>
            <w:tcW w:w="3118" w:type="dxa"/>
            <w:tcBorders>
              <w:top w:val="single" w:sz="4" w:space="0" w:color="548DD4" w:themeColor="text2" w:themeTint="99"/>
              <w:bottom w:val="single" w:sz="4" w:space="0" w:color="548DD4" w:themeColor="text2" w:themeTint="99"/>
            </w:tcBorders>
            <w:vAlign w:val="center"/>
          </w:tcPr>
          <w:p w14:paraId="72DBC32E" w14:textId="35DD7829" w:rsidR="000419B1" w:rsidRPr="00076CA4" w:rsidRDefault="00DE243F" w:rsidP="000419B1">
            <w:pPr>
              <w:jc w:val="center"/>
              <w:rPr>
                <w:rFonts w:ascii="Calibri" w:hAnsi="Calibri" w:cs="Calibri"/>
                <w:color w:val="808080" w:themeColor="background1" w:themeShade="80"/>
              </w:rPr>
            </w:pPr>
            <w:r>
              <w:rPr>
                <w:rFonts w:ascii="Calibri" w:hAnsi="Calibri" w:cs="Calibri"/>
                <w:noProof/>
                <w:color w:val="808080" w:themeColor="background1" w:themeShade="80"/>
                <w:lang w:eastAsia="en-GB"/>
              </w:rPr>
              <w:drawing>
                <wp:inline distT="0" distB="0" distL="0" distR="0" wp14:anchorId="54B43538" wp14:editId="66B5124D">
                  <wp:extent cx="1951630" cy="1093909"/>
                  <wp:effectExtent l="0" t="0" r="0" b="0"/>
                  <wp:docPr id="6" name="Picture 6"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5652" cy="1118584"/>
                          </a:xfrm>
                          <a:prstGeom prst="rect">
                            <a:avLst/>
                          </a:prstGeom>
                          <a:noFill/>
                        </pic:spPr>
                      </pic:pic>
                    </a:graphicData>
                  </a:graphic>
                </wp:inline>
              </w:drawing>
            </w:r>
          </w:p>
        </w:tc>
        <w:tc>
          <w:tcPr>
            <w:tcW w:w="1138" w:type="dxa"/>
            <w:tcBorders>
              <w:top w:val="single" w:sz="4" w:space="0" w:color="548DD4" w:themeColor="text2" w:themeTint="99"/>
              <w:bottom w:val="single" w:sz="4" w:space="0" w:color="548DD4" w:themeColor="text2" w:themeTint="99"/>
            </w:tcBorders>
            <w:vAlign w:val="center"/>
          </w:tcPr>
          <w:p w14:paraId="73DBA20F" w14:textId="77777777" w:rsidR="000419B1" w:rsidRPr="00076CA4" w:rsidRDefault="000419B1" w:rsidP="000419B1">
            <w:pPr>
              <w:jc w:val="center"/>
              <w:rPr>
                <w:rFonts w:ascii="Calibri" w:hAnsi="Calibri" w:cs="Calibri"/>
                <w:color w:val="808080" w:themeColor="background1" w:themeShade="80"/>
                <w:sz w:val="19"/>
                <w:szCs w:val="19"/>
              </w:rPr>
            </w:pPr>
          </w:p>
        </w:tc>
        <w:tc>
          <w:tcPr>
            <w:tcW w:w="3402" w:type="dxa"/>
            <w:tcBorders>
              <w:top w:val="single" w:sz="4" w:space="0" w:color="548DD4" w:themeColor="text2" w:themeTint="99"/>
              <w:bottom w:val="single" w:sz="4" w:space="0" w:color="548DD4" w:themeColor="text2" w:themeTint="99"/>
            </w:tcBorders>
            <w:vAlign w:val="center"/>
          </w:tcPr>
          <w:p w14:paraId="4BE51E72" w14:textId="591F59CD" w:rsidR="000419B1" w:rsidRPr="00FA55E8" w:rsidRDefault="00B012EA" w:rsidP="00BE28BC">
            <w:pPr>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A change in approach during 2022/23 has meant that data has not been recovered for grant claims on a quarterly basis.  Annual figures (not yet available) will be provided for the Annual Report.</w:t>
            </w:r>
            <w:r w:rsidR="00441B0D">
              <w:rPr>
                <w:rFonts w:ascii="Calibri" w:hAnsi="Calibri" w:cs="Calibri"/>
                <w:color w:val="808080" w:themeColor="background1" w:themeShade="80"/>
                <w:sz w:val="20"/>
                <w:szCs w:val="20"/>
              </w:rPr>
              <w:t xml:space="preserve"> </w:t>
            </w:r>
          </w:p>
        </w:tc>
        <w:tc>
          <w:tcPr>
            <w:tcW w:w="3691" w:type="dxa"/>
            <w:tcBorders>
              <w:top w:val="single" w:sz="4" w:space="0" w:color="548DD4" w:themeColor="text2" w:themeTint="99"/>
              <w:bottom w:val="single" w:sz="4" w:space="0" w:color="548DD4" w:themeColor="text2" w:themeTint="99"/>
            </w:tcBorders>
            <w:vAlign w:val="center"/>
          </w:tcPr>
          <w:p w14:paraId="00A52FF8" w14:textId="079A09C6" w:rsidR="00024794" w:rsidRPr="00FA55E8" w:rsidRDefault="00024794" w:rsidP="00024794">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 xml:space="preserve">We expect to receive data when NRF2 Helping Nature projects complete later this year and in early 2024. We will also review the reporting process to collect this data on a quarterly basis. </w:t>
            </w:r>
            <w:r w:rsidR="00C013F1" w:rsidRPr="00C013F1">
              <w:rPr>
                <w:rFonts w:ascii="Calibri" w:hAnsi="Calibri" w:cs="Calibri"/>
                <w:color w:val="808080" w:themeColor="background1" w:themeShade="80"/>
                <w:sz w:val="20"/>
                <w:szCs w:val="20"/>
              </w:rPr>
              <w:t>We expect the data to show a significant increase in hectares restored through a number of successful projects.</w:t>
            </w:r>
          </w:p>
          <w:p w14:paraId="2FCDE524" w14:textId="69EE93B3" w:rsidR="000419B1" w:rsidRPr="00FA55E8" w:rsidRDefault="000419B1" w:rsidP="000419B1">
            <w:pPr>
              <w:rPr>
                <w:rFonts w:ascii="Calibri" w:hAnsi="Calibri" w:cs="Calibri"/>
                <w:color w:val="808080" w:themeColor="background1" w:themeShade="80"/>
                <w:sz w:val="20"/>
                <w:szCs w:val="20"/>
              </w:rPr>
            </w:pPr>
          </w:p>
        </w:tc>
      </w:tr>
      <w:tr w:rsidR="00DE243F" w:rsidRPr="003A4D73" w14:paraId="01CE6248" w14:textId="77777777" w:rsidTr="00395590">
        <w:trPr>
          <w:trHeight w:hRule="exact" w:val="1871"/>
          <w:jc w:val="center"/>
        </w:trPr>
        <w:tc>
          <w:tcPr>
            <w:tcW w:w="959" w:type="dxa"/>
            <w:tcBorders>
              <w:top w:val="single" w:sz="4" w:space="0" w:color="548DD4" w:themeColor="text2" w:themeTint="99"/>
              <w:bottom w:val="single" w:sz="4" w:space="0" w:color="548DD4" w:themeColor="text2" w:themeTint="99"/>
            </w:tcBorders>
            <w:vAlign w:val="center"/>
          </w:tcPr>
          <w:p w14:paraId="07B0AABC" w14:textId="1FDB830C" w:rsidR="00DE243F" w:rsidRPr="003A4D73" w:rsidRDefault="00BE28BC" w:rsidP="00DE243F">
            <w:pPr>
              <w:jc w:val="center"/>
              <w:rPr>
                <w:rFonts w:ascii="Calibri" w:hAnsi="Calibri" w:cs="Calibri"/>
                <w:b/>
              </w:rPr>
            </w:pPr>
            <w:r w:rsidRPr="00BE28BC">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1F9298DC" w14:textId="2B6C37BD" w:rsidR="00DE243F" w:rsidRPr="006E0DDA" w:rsidRDefault="00D753F5" w:rsidP="00DE243F">
            <w:pPr>
              <w:rPr>
                <w:rFonts w:ascii="Calibri" w:hAnsi="Calibri" w:cs="Calibri"/>
                <w:b/>
                <w:iCs/>
                <w:color w:val="808080" w:themeColor="background1" w:themeShade="80"/>
                <w:sz w:val="21"/>
                <w:szCs w:val="21"/>
              </w:rPr>
            </w:pPr>
            <w:hyperlink r:id="rId20" w:history="1">
              <w:r w:rsidR="00DE243F" w:rsidRPr="00493A4B">
                <w:rPr>
                  <w:rStyle w:val="Hyperlink"/>
                  <w:rFonts w:ascii="Calibri" w:hAnsi="Calibri" w:cs="Calibri"/>
                  <w:b/>
                  <w:iCs/>
                  <w:color w:val="808080" w:themeColor="background1" w:themeShade="80"/>
                  <w:sz w:val="20"/>
                  <w:szCs w:val="20"/>
                </w:rPr>
                <w:t>Area (ha) of peatland put on the road to recovery</w:t>
              </w:r>
            </w:hyperlink>
          </w:p>
        </w:tc>
        <w:tc>
          <w:tcPr>
            <w:tcW w:w="3118" w:type="dxa"/>
            <w:tcBorders>
              <w:top w:val="single" w:sz="4" w:space="0" w:color="548DD4" w:themeColor="text2" w:themeTint="99"/>
              <w:bottom w:val="single" w:sz="4" w:space="0" w:color="548DD4" w:themeColor="text2" w:themeTint="99"/>
            </w:tcBorders>
            <w:vAlign w:val="center"/>
          </w:tcPr>
          <w:p w14:paraId="55FEE9FE" w14:textId="194F20C6" w:rsidR="00DE243F" w:rsidRPr="003A4D73" w:rsidRDefault="00DE243F" w:rsidP="00DE243F">
            <w:pPr>
              <w:jc w:val="center"/>
              <w:rPr>
                <w:rFonts w:ascii="Calibri" w:hAnsi="Calibri" w:cs="Calibri"/>
              </w:rPr>
            </w:pPr>
            <w:r>
              <w:rPr>
                <w:rFonts w:ascii="Calibri" w:hAnsi="Calibri" w:cs="Calibri"/>
                <w:i/>
                <w:noProof/>
                <w:sz w:val="20"/>
                <w:szCs w:val="20"/>
                <w:lang w:eastAsia="en-GB"/>
              </w:rPr>
              <w:drawing>
                <wp:inline distT="0" distB="0" distL="0" distR="0" wp14:anchorId="0BA8FCB6" wp14:editId="579E57A4">
                  <wp:extent cx="1984710" cy="1214651"/>
                  <wp:effectExtent l="0" t="0" r="0" b="5080"/>
                  <wp:docPr id="13" name="Picture 13"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5566" cy="1251895"/>
                          </a:xfrm>
                          <a:prstGeom prst="rect">
                            <a:avLst/>
                          </a:prstGeom>
                          <a:noFill/>
                        </pic:spPr>
                      </pic:pic>
                    </a:graphicData>
                  </a:graphic>
                </wp:inline>
              </w:drawing>
            </w:r>
          </w:p>
        </w:tc>
        <w:tc>
          <w:tcPr>
            <w:tcW w:w="1138" w:type="dxa"/>
            <w:tcBorders>
              <w:top w:val="single" w:sz="4" w:space="0" w:color="548DD4" w:themeColor="text2" w:themeTint="99"/>
              <w:bottom w:val="single" w:sz="4" w:space="0" w:color="548DD4" w:themeColor="text2" w:themeTint="99"/>
            </w:tcBorders>
            <w:vAlign w:val="center"/>
          </w:tcPr>
          <w:p w14:paraId="2F638659" w14:textId="6B73A4EA" w:rsidR="00DE243F" w:rsidRPr="003D306D" w:rsidRDefault="00DE243F" w:rsidP="00DE243F">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20"/>
                <w:szCs w:val="20"/>
              </w:rPr>
              <w:t>4700</w:t>
            </w:r>
          </w:p>
        </w:tc>
        <w:tc>
          <w:tcPr>
            <w:tcW w:w="3402" w:type="dxa"/>
            <w:tcBorders>
              <w:top w:val="single" w:sz="4" w:space="0" w:color="548DD4" w:themeColor="text2" w:themeTint="99"/>
              <w:bottom w:val="single" w:sz="4" w:space="0" w:color="548DD4" w:themeColor="text2" w:themeTint="99"/>
            </w:tcBorders>
            <w:vAlign w:val="center"/>
          </w:tcPr>
          <w:p w14:paraId="7D1CEE6F" w14:textId="7F1AA50B" w:rsidR="00DE243F" w:rsidRPr="00FA55E8" w:rsidRDefault="00DE243F" w:rsidP="00DE243F">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As expected, more projects are completed in this quarter due to seasonality of work (not all verified yet)- The final numbers are likely to increase further within the coming weeks (Late report submissions)</w:t>
            </w:r>
          </w:p>
        </w:tc>
        <w:tc>
          <w:tcPr>
            <w:tcW w:w="3691" w:type="dxa"/>
            <w:tcBorders>
              <w:top w:val="single" w:sz="4" w:space="0" w:color="548DD4" w:themeColor="text2" w:themeTint="99"/>
              <w:bottom w:val="single" w:sz="4" w:space="0" w:color="548DD4" w:themeColor="text2" w:themeTint="99"/>
            </w:tcBorders>
            <w:vAlign w:val="center"/>
          </w:tcPr>
          <w:p w14:paraId="59F40771" w14:textId="77EC756C" w:rsidR="00DE243F" w:rsidRPr="00FA55E8" w:rsidRDefault="00DE243F" w:rsidP="007F5150">
            <w:pPr>
              <w:rPr>
                <w:rFonts w:ascii="Calibri" w:eastAsia="Times New Roman" w:hAnsi="Calibri" w:cs="Calibri"/>
                <w:color w:val="808080" w:themeColor="background1" w:themeShade="80"/>
                <w:sz w:val="20"/>
                <w:szCs w:val="20"/>
              </w:rPr>
            </w:pPr>
            <w:r w:rsidRPr="00FA55E8">
              <w:rPr>
                <w:rFonts w:ascii="Calibri" w:eastAsia="Times New Roman" w:hAnsi="Calibri" w:cs="Calibri"/>
                <w:color w:val="808080" w:themeColor="background1" w:themeShade="80"/>
                <w:sz w:val="20"/>
                <w:szCs w:val="20"/>
              </w:rPr>
              <w:t>We are expecting to meet our</w:t>
            </w:r>
            <w:r w:rsidR="007F5150">
              <w:rPr>
                <w:rFonts w:ascii="Calibri" w:eastAsia="Times New Roman" w:hAnsi="Calibri" w:cs="Calibri"/>
                <w:color w:val="808080" w:themeColor="background1" w:themeShade="80"/>
                <w:sz w:val="20"/>
                <w:szCs w:val="20"/>
              </w:rPr>
              <w:t xml:space="preserve"> ha</w:t>
            </w:r>
            <w:r w:rsidRPr="00FA55E8">
              <w:rPr>
                <w:rFonts w:ascii="Calibri" w:eastAsia="Times New Roman" w:hAnsi="Calibri" w:cs="Calibri"/>
                <w:color w:val="808080" w:themeColor="background1" w:themeShade="80"/>
                <w:sz w:val="20"/>
                <w:szCs w:val="20"/>
              </w:rPr>
              <w:t xml:space="preserve"> target</w:t>
            </w:r>
          </w:p>
        </w:tc>
      </w:tr>
    </w:tbl>
    <w:p w14:paraId="659D0AAB" w14:textId="77777777" w:rsidR="000419B1" w:rsidRPr="00FB3B80" w:rsidRDefault="000419B1" w:rsidP="000419B1">
      <w:pPr>
        <w:pStyle w:val="Heading2"/>
        <w:shd w:val="clear" w:color="auto" w:fill="007DC3"/>
        <w:jc w:val="center"/>
        <w:rPr>
          <w:rFonts w:ascii="Calibri" w:hAnsi="Calibri" w:cs="Calibri"/>
        </w:rPr>
      </w:pPr>
      <w:r w:rsidRPr="00FB3B80">
        <w:rPr>
          <w:rFonts w:ascii="Calibri" w:hAnsi="Calibri" w:cs="Calibri"/>
        </w:rPr>
        <w:lastRenderedPageBreak/>
        <w:t xml:space="preserve">THE VALUE OF NATURE IS RECOGNISED </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996"/>
        <w:gridCol w:w="3544"/>
        <w:gridCol w:w="3691"/>
      </w:tblGrid>
      <w:tr w:rsidR="000419B1" w:rsidRPr="00F56679" w14:paraId="06289346" w14:textId="77777777" w:rsidTr="004C546D">
        <w:trPr>
          <w:tblHeader/>
          <w:jc w:val="center"/>
        </w:trPr>
        <w:tc>
          <w:tcPr>
            <w:tcW w:w="959" w:type="dxa"/>
            <w:tcBorders>
              <w:bottom w:val="single" w:sz="4" w:space="0" w:color="548DD4" w:themeColor="text2" w:themeTint="99"/>
            </w:tcBorders>
          </w:tcPr>
          <w:p w14:paraId="54AF29E6" w14:textId="77777777" w:rsidR="000419B1" w:rsidRPr="00F56679" w:rsidRDefault="000419B1" w:rsidP="000419B1">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5EE73CFC" w14:textId="77777777" w:rsidR="000419B1" w:rsidRPr="00F56679" w:rsidRDefault="000419B1" w:rsidP="000419B1">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681B86FB" w14:textId="77777777" w:rsidR="000419B1" w:rsidRPr="00F56679" w:rsidRDefault="000419B1" w:rsidP="000419B1">
            <w:pPr>
              <w:jc w:val="center"/>
              <w:rPr>
                <w:rFonts w:ascii="Calibri" w:hAnsi="Calibri" w:cs="Calibri"/>
                <w:b/>
              </w:rPr>
            </w:pPr>
            <w:r>
              <w:rPr>
                <w:rFonts w:ascii="Calibri" w:hAnsi="Calibri" w:cs="Calibri"/>
                <w:b/>
              </w:rPr>
              <w:t>Performance Overview</w:t>
            </w:r>
          </w:p>
        </w:tc>
        <w:tc>
          <w:tcPr>
            <w:tcW w:w="996" w:type="dxa"/>
            <w:tcBorders>
              <w:bottom w:val="single" w:sz="4" w:space="0" w:color="548DD4" w:themeColor="text2" w:themeTint="99"/>
            </w:tcBorders>
          </w:tcPr>
          <w:p w14:paraId="0316398F" w14:textId="77777777" w:rsidR="000419B1" w:rsidRPr="00F56679" w:rsidRDefault="000419B1" w:rsidP="000419B1">
            <w:pPr>
              <w:jc w:val="center"/>
              <w:rPr>
                <w:rFonts w:ascii="Calibri" w:hAnsi="Calibri" w:cs="Calibri"/>
                <w:b/>
              </w:rPr>
            </w:pPr>
            <w:r w:rsidRPr="00F56679">
              <w:rPr>
                <w:rFonts w:ascii="Calibri" w:hAnsi="Calibri" w:cs="Calibri"/>
                <w:b/>
              </w:rPr>
              <w:t>Actual</w:t>
            </w:r>
          </w:p>
        </w:tc>
        <w:tc>
          <w:tcPr>
            <w:tcW w:w="3544" w:type="dxa"/>
            <w:tcBorders>
              <w:bottom w:val="single" w:sz="4" w:space="0" w:color="548DD4" w:themeColor="text2" w:themeTint="99"/>
            </w:tcBorders>
          </w:tcPr>
          <w:p w14:paraId="06AAC56C" w14:textId="77777777" w:rsidR="000419B1" w:rsidRPr="00F56679" w:rsidRDefault="000419B1" w:rsidP="000419B1">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606462A1" w14:textId="77777777" w:rsidR="000419B1" w:rsidRPr="00F56679" w:rsidRDefault="000419B1" w:rsidP="000419B1">
            <w:pPr>
              <w:jc w:val="center"/>
              <w:rPr>
                <w:rFonts w:ascii="Calibri" w:hAnsi="Calibri" w:cs="Calibri"/>
                <w:b/>
              </w:rPr>
            </w:pPr>
            <w:r w:rsidRPr="00F56679">
              <w:rPr>
                <w:rFonts w:ascii="Calibri" w:hAnsi="Calibri" w:cs="Calibri"/>
                <w:b/>
              </w:rPr>
              <w:t>Response</w:t>
            </w:r>
          </w:p>
        </w:tc>
      </w:tr>
      <w:tr w:rsidR="000C41B4" w:rsidRPr="003A4D73" w14:paraId="7CA511B2" w14:textId="77777777" w:rsidTr="00584BB7">
        <w:trPr>
          <w:trHeight w:hRule="exact" w:val="2721"/>
          <w:jc w:val="center"/>
        </w:trPr>
        <w:tc>
          <w:tcPr>
            <w:tcW w:w="959" w:type="dxa"/>
            <w:tcBorders>
              <w:top w:val="single" w:sz="4" w:space="0" w:color="548DD4" w:themeColor="text2" w:themeTint="99"/>
              <w:bottom w:val="single" w:sz="4" w:space="0" w:color="548DD4" w:themeColor="text2" w:themeTint="99"/>
            </w:tcBorders>
            <w:vAlign w:val="center"/>
          </w:tcPr>
          <w:p w14:paraId="5DA691FC" w14:textId="77777777" w:rsidR="000C41B4" w:rsidRPr="003A4D73" w:rsidRDefault="000C41B4" w:rsidP="000C41B4">
            <w:pPr>
              <w:jc w:val="center"/>
              <w:rPr>
                <w:rFonts w:ascii="Calibri" w:hAnsi="Calibri" w:cs="Calibri"/>
                <w:b/>
                <w:color w:val="FF000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5A3B5B2B" w14:textId="77777777" w:rsidR="000C41B4" w:rsidRPr="00675DB4" w:rsidRDefault="00D753F5" w:rsidP="000C41B4">
            <w:pPr>
              <w:rPr>
                <w:rFonts w:ascii="Calibri" w:hAnsi="Calibri" w:cs="Calibri"/>
                <w:b/>
                <w:iCs/>
                <w:color w:val="808080" w:themeColor="background1" w:themeShade="80"/>
                <w:sz w:val="21"/>
                <w:szCs w:val="21"/>
              </w:rPr>
            </w:pPr>
            <w:hyperlink r:id="rId22" w:history="1">
              <w:r w:rsidR="000C41B4" w:rsidRPr="00A0017B">
                <w:rPr>
                  <w:rStyle w:val="Hyperlink"/>
                  <w:rFonts w:ascii="Calibri" w:hAnsi="Calibri" w:cs="Calibri"/>
                  <w:b/>
                  <w:iCs/>
                  <w:color w:val="808080" w:themeColor="background1" w:themeShade="80"/>
                  <w:sz w:val="21"/>
                  <w:szCs w:val="21"/>
                </w:rPr>
                <w:t>Hectares of Green infrastructure Restored</w:t>
              </w:r>
            </w:hyperlink>
          </w:p>
        </w:tc>
        <w:tc>
          <w:tcPr>
            <w:tcW w:w="3118" w:type="dxa"/>
            <w:tcBorders>
              <w:top w:val="single" w:sz="4" w:space="0" w:color="548DD4" w:themeColor="text2" w:themeTint="99"/>
              <w:bottom w:val="single" w:sz="4" w:space="0" w:color="548DD4" w:themeColor="text2" w:themeTint="99"/>
            </w:tcBorders>
            <w:vAlign w:val="center"/>
          </w:tcPr>
          <w:p w14:paraId="32256CAB" w14:textId="7874A031" w:rsidR="000C41B4" w:rsidRPr="003A4D73" w:rsidRDefault="000C41B4" w:rsidP="000C41B4">
            <w:pPr>
              <w:jc w:val="center"/>
              <w:rPr>
                <w:rFonts w:ascii="Calibri" w:hAnsi="Calibri" w:cs="Calibri"/>
              </w:rPr>
            </w:pPr>
            <w:r>
              <w:rPr>
                <w:rFonts w:ascii="Calibri" w:hAnsi="Calibri" w:cs="Calibri"/>
                <w:noProof/>
                <w:lang w:eastAsia="en-GB"/>
              </w:rPr>
              <w:drawing>
                <wp:inline distT="0" distB="0" distL="0" distR="0" wp14:anchorId="3F5623D8" wp14:editId="206B02CE">
                  <wp:extent cx="1913890" cy="558502"/>
                  <wp:effectExtent l="0" t="0" r="0" b="0"/>
                  <wp:docPr id="16" name="Picture 16"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7525" cy="565399"/>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60C6B31C" w14:textId="6EFA47A2" w:rsidR="000C41B4" w:rsidRPr="003D306D" w:rsidRDefault="00DB0914" w:rsidP="000C41B4">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7.67</w:t>
            </w:r>
          </w:p>
        </w:tc>
        <w:tc>
          <w:tcPr>
            <w:tcW w:w="3544" w:type="dxa"/>
            <w:tcBorders>
              <w:top w:val="single" w:sz="4" w:space="0" w:color="548DD4" w:themeColor="text2" w:themeTint="99"/>
              <w:bottom w:val="single" w:sz="4" w:space="0" w:color="548DD4" w:themeColor="text2" w:themeTint="99"/>
            </w:tcBorders>
            <w:vAlign w:val="center"/>
          </w:tcPr>
          <w:p w14:paraId="41D234F4" w14:textId="3F8CD907" w:rsidR="000C41B4" w:rsidRPr="00FA55E8" w:rsidRDefault="000C41B4" w:rsidP="000C41B4">
            <w:pPr>
              <w:jc w:val="both"/>
              <w:rPr>
                <w:rFonts w:ascii="Calibri" w:hAnsi="Calibri" w:cs="Calibri"/>
                <w:color w:val="808080" w:themeColor="background1" w:themeShade="80"/>
                <w:sz w:val="20"/>
                <w:szCs w:val="24"/>
              </w:rPr>
            </w:pPr>
            <w:r w:rsidRPr="00FA55E8">
              <w:rPr>
                <w:rFonts w:ascii="Calibri" w:hAnsi="Calibri" w:cs="Calibri"/>
                <w:color w:val="808080" w:themeColor="background1" w:themeShade="80"/>
                <w:sz w:val="20"/>
                <w:szCs w:val="24"/>
              </w:rPr>
              <w:t>No projects expected to complete this quarter.</w:t>
            </w:r>
          </w:p>
        </w:tc>
        <w:tc>
          <w:tcPr>
            <w:tcW w:w="3691" w:type="dxa"/>
            <w:tcBorders>
              <w:top w:val="single" w:sz="4" w:space="0" w:color="548DD4" w:themeColor="text2" w:themeTint="99"/>
              <w:bottom w:val="single" w:sz="4" w:space="0" w:color="548DD4" w:themeColor="text2" w:themeTint="99"/>
            </w:tcBorders>
            <w:vAlign w:val="center"/>
          </w:tcPr>
          <w:p w14:paraId="3846512E" w14:textId="5E418EA6" w:rsidR="000C41B4" w:rsidRPr="00FA55E8" w:rsidRDefault="000C41B4" w:rsidP="000C41B4">
            <w:pPr>
              <w:jc w:val="both"/>
              <w:rPr>
                <w:rFonts w:ascii="Calibri" w:hAnsi="Calibri" w:cs="Calibri"/>
                <w:color w:val="808080" w:themeColor="background1" w:themeShade="80"/>
                <w:sz w:val="20"/>
                <w:szCs w:val="24"/>
              </w:rPr>
            </w:pPr>
            <w:r w:rsidRPr="00FA55E8">
              <w:rPr>
                <w:rFonts w:ascii="Calibri" w:hAnsi="Calibri" w:cs="Calibri"/>
                <w:color w:val="808080" w:themeColor="background1" w:themeShade="80"/>
                <w:sz w:val="20"/>
                <w:szCs w:val="24"/>
              </w:rPr>
              <w:t>Remaining projects</w:t>
            </w:r>
            <w:r w:rsidR="008A515F" w:rsidRPr="00FA55E8">
              <w:rPr>
                <w:rFonts w:ascii="Calibri" w:hAnsi="Calibri" w:cs="Calibri"/>
                <w:color w:val="808080" w:themeColor="background1" w:themeShade="80"/>
                <w:sz w:val="20"/>
                <w:szCs w:val="24"/>
              </w:rPr>
              <w:t xml:space="preserve"> have all started construction. </w:t>
            </w:r>
            <w:r w:rsidR="00393BD7">
              <w:rPr>
                <w:rFonts w:ascii="Calibri" w:hAnsi="Calibri" w:cs="Calibri"/>
                <w:color w:val="808080" w:themeColor="background1" w:themeShade="80"/>
                <w:sz w:val="20"/>
                <w:szCs w:val="24"/>
              </w:rPr>
              <w:t xml:space="preserve">Only one project, </w:t>
            </w:r>
            <w:proofErr w:type="spellStart"/>
            <w:r w:rsidRPr="00FA55E8">
              <w:rPr>
                <w:rFonts w:ascii="Calibri" w:hAnsi="Calibri" w:cs="Calibri"/>
                <w:color w:val="808080" w:themeColor="background1" w:themeShade="80"/>
                <w:sz w:val="20"/>
                <w:szCs w:val="24"/>
              </w:rPr>
              <w:t>Foresterhill</w:t>
            </w:r>
            <w:proofErr w:type="spellEnd"/>
            <w:r w:rsidR="00393BD7">
              <w:rPr>
                <w:rFonts w:ascii="Calibri" w:hAnsi="Calibri" w:cs="Calibri"/>
                <w:color w:val="808080" w:themeColor="background1" w:themeShade="80"/>
                <w:sz w:val="20"/>
                <w:szCs w:val="24"/>
              </w:rPr>
              <w:t>,</w:t>
            </w:r>
            <w:r w:rsidR="008A515F" w:rsidRPr="00FA55E8">
              <w:rPr>
                <w:rFonts w:ascii="Calibri" w:hAnsi="Calibri" w:cs="Calibri"/>
                <w:color w:val="808080" w:themeColor="background1" w:themeShade="80"/>
                <w:sz w:val="20"/>
                <w:szCs w:val="24"/>
              </w:rPr>
              <w:t xml:space="preserve"> </w:t>
            </w:r>
            <w:r w:rsidR="00393BD7">
              <w:rPr>
                <w:rFonts w:ascii="Calibri" w:hAnsi="Calibri" w:cs="Calibri"/>
                <w:color w:val="808080" w:themeColor="background1" w:themeShade="80"/>
                <w:sz w:val="20"/>
                <w:szCs w:val="24"/>
              </w:rPr>
              <w:t>is</w:t>
            </w:r>
            <w:r w:rsidRPr="00FA55E8">
              <w:rPr>
                <w:rFonts w:ascii="Calibri" w:hAnsi="Calibri" w:cs="Calibri"/>
                <w:color w:val="808080" w:themeColor="background1" w:themeShade="80"/>
                <w:sz w:val="20"/>
                <w:szCs w:val="24"/>
              </w:rPr>
              <w:t xml:space="preserve"> predicted to not complete 100% of their construction until 31 August 23. </w:t>
            </w:r>
            <w:r w:rsidR="00584BB7" w:rsidRPr="00584BB7">
              <w:rPr>
                <w:rFonts w:ascii="Calibri" w:hAnsi="Calibri" w:cs="Calibri"/>
                <w:color w:val="808080" w:themeColor="background1" w:themeShade="80"/>
                <w:sz w:val="20"/>
                <w:szCs w:val="24"/>
              </w:rPr>
              <w:t>Only expenditure up to end June 2024 will be eligible for ERDF grant, and we will therefore be claiming less grant from the Managing Authority. NatureScot’s grant contract with the Managing Authority is not at risk because all of our targets have either been met or exceeded.</w:t>
            </w:r>
          </w:p>
        </w:tc>
      </w:tr>
      <w:tr w:rsidR="000C41B4" w:rsidRPr="00123F33" w14:paraId="07B37B69" w14:textId="77777777" w:rsidTr="004C546D">
        <w:trPr>
          <w:trHeight w:hRule="exact" w:val="1474"/>
          <w:jc w:val="center"/>
        </w:trPr>
        <w:tc>
          <w:tcPr>
            <w:tcW w:w="959" w:type="dxa"/>
            <w:tcBorders>
              <w:top w:val="single" w:sz="4" w:space="0" w:color="548DD4" w:themeColor="text2" w:themeTint="99"/>
              <w:bottom w:val="single" w:sz="4" w:space="0" w:color="548DD4" w:themeColor="text2" w:themeTint="99"/>
            </w:tcBorders>
            <w:vAlign w:val="center"/>
          </w:tcPr>
          <w:p w14:paraId="63A4DE83" w14:textId="39C74677" w:rsidR="000C41B4" w:rsidRPr="000C41B4" w:rsidRDefault="000C41B4" w:rsidP="000C41B4">
            <w:pPr>
              <w:jc w:val="center"/>
              <w:rPr>
                <w:rFonts w:ascii="Calibri" w:hAnsi="Calibri" w:cs="Calibri"/>
                <w:b/>
                <w:color w:val="00B050"/>
              </w:rPr>
            </w:pPr>
            <w:r w:rsidRPr="000C41B4">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46F92360" w14:textId="0A8E67E2" w:rsidR="000C41B4" w:rsidRPr="00675DB4" w:rsidRDefault="00D753F5" w:rsidP="000C41B4">
            <w:pPr>
              <w:rPr>
                <w:rFonts w:ascii="Calibri" w:hAnsi="Calibri" w:cs="Calibri"/>
                <w:b/>
                <w:iCs/>
                <w:color w:val="808080" w:themeColor="background1" w:themeShade="80"/>
                <w:sz w:val="21"/>
                <w:szCs w:val="21"/>
              </w:rPr>
            </w:pPr>
            <w:hyperlink r:id="rId24" w:history="1">
              <w:r w:rsidR="000C41B4" w:rsidRPr="002A1FFB">
                <w:rPr>
                  <w:rStyle w:val="Hyperlink"/>
                  <w:rFonts w:ascii="Calibri" w:hAnsi="Calibri" w:cs="Calibri"/>
                  <w:b/>
                  <w:iCs/>
                  <w:color w:val="808080" w:themeColor="background1" w:themeShade="80"/>
                  <w:sz w:val="21"/>
                  <w:szCs w:val="21"/>
                </w:rPr>
                <w:t>Nature-based jobs and skills opportunities</w:t>
              </w:r>
            </w:hyperlink>
          </w:p>
        </w:tc>
        <w:tc>
          <w:tcPr>
            <w:tcW w:w="3118" w:type="dxa"/>
            <w:tcBorders>
              <w:top w:val="single" w:sz="4" w:space="0" w:color="548DD4" w:themeColor="text2" w:themeTint="99"/>
              <w:bottom w:val="single" w:sz="4" w:space="0" w:color="548DD4" w:themeColor="text2" w:themeTint="99"/>
            </w:tcBorders>
            <w:vAlign w:val="center"/>
          </w:tcPr>
          <w:p w14:paraId="5ECF0745" w14:textId="30B90B8C" w:rsidR="000C41B4" w:rsidRPr="003A4D73" w:rsidRDefault="000C41B4" w:rsidP="000C41B4">
            <w:pPr>
              <w:jc w:val="center"/>
              <w:rPr>
                <w:rFonts w:ascii="Calibri" w:hAnsi="Calibri" w:cs="Calibri"/>
              </w:rPr>
            </w:pPr>
            <w:r>
              <w:rPr>
                <w:rFonts w:ascii="Calibri" w:hAnsi="Calibri" w:cs="Calibri"/>
                <w:noProof/>
                <w:lang w:eastAsia="en-GB"/>
              </w:rPr>
              <w:drawing>
                <wp:inline distT="0" distB="0" distL="0" distR="0" wp14:anchorId="45FCC7DC" wp14:editId="65425D48">
                  <wp:extent cx="2016760" cy="1268730"/>
                  <wp:effectExtent l="0" t="0" r="2540" b="7620"/>
                  <wp:docPr id="14" name="Picture 14"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36201" cy="1280960"/>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4756C366" w14:textId="51A431A6" w:rsidR="000C41B4" w:rsidRPr="00390F7A" w:rsidRDefault="000C41B4" w:rsidP="000C41B4">
            <w:pPr>
              <w:jc w:val="center"/>
              <w:rPr>
                <w:rFonts w:ascii="Calibri" w:hAnsi="Calibri" w:cs="Calibri"/>
                <w:b/>
                <w:color w:val="808080" w:themeColor="background1" w:themeShade="80"/>
                <w:sz w:val="19"/>
                <w:szCs w:val="19"/>
              </w:rPr>
            </w:pPr>
            <w:r>
              <w:rPr>
                <w:rFonts w:ascii="Calibri" w:hAnsi="Calibri" w:cs="Calibri"/>
                <w:b/>
                <w:color w:val="808080" w:themeColor="background1" w:themeShade="80"/>
                <w:sz w:val="19"/>
                <w:szCs w:val="19"/>
              </w:rPr>
              <w:t>289</w:t>
            </w:r>
          </w:p>
        </w:tc>
        <w:tc>
          <w:tcPr>
            <w:tcW w:w="3544" w:type="dxa"/>
            <w:tcBorders>
              <w:top w:val="single" w:sz="4" w:space="0" w:color="548DD4" w:themeColor="text2" w:themeTint="99"/>
              <w:bottom w:val="single" w:sz="4" w:space="0" w:color="548DD4" w:themeColor="text2" w:themeTint="99"/>
            </w:tcBorders>
            <w:vAlign w:val="center"/>
          </w:tcPr>
          <w:p w14:paraId="6692F805" w14:textId="2BD04365" w:rsidR="000C41B4" w:rsidRPr="00FA55E8" w:rsidRDefault="000C41B4" w:rsidP="000C41B4">
            <w:pPr>
              <w:jc w:val="both"/>
              <w:rPr>
                <w:rFonts w:ascii="Calibri" w:hAnsi="Calibri" w:cs="Calibri"/>
                <w:color w:val="808080" w:themeColor="background1" w:themeShade="80"/>
                <w:sz w:val="20"/>
              </w:rPr>
            </w:pPr>
            <w:r w:rsidRPr="00FA55E8">
              <w:rPr>
                <w:rFonts w:ascii="Calibri" w:hAnsi="Calibri" w:cs="Calibri"/>
                <w:color w:val="808080" w:themeColor="background1" w:themeShade="80"/>
                <w:sz w:val="20"/>
                <w:szCs w:val="24"/>
              </w:rPr>
              <w:t>People attending foll</w:t>
            </w:r>
            <w:r w:rsidR="00C87458">
              <w:rPr>
                <w:rFonts w:ascii="Calibri" w:hAnsi="Calibri" w:cs="Calibri"/>
                <w:color w:val="808080" w:themeColor="background1" w:themeShade="80"/>
                <w:sz w:val="20"/>
                <w:szCs w:val="24"/>
              </w:rPr>
              <w:t xml:space="preserve">owing Peatland Action Events - </w:t>
            </w:r>
            <w:r w:rsidRPr="00FA55E8">
              <w:rPr>
                <w:rFonts w:ascii="Calibri" w:hAnsi="Calibri" w:cs="Calibri"/>
                <w:color w:val="808080" w:themeColor="background1" w:themeShade="80"/>
                <w:sz w:val="20"/>
                <w:szCs w:val="24"/>
              </w:rPr>
              <w:t>2 day training events = 123.   Practical training through new entrant scheme = 11.   2 hour online courses (including those in Skills Week) = 121 </w:t>
            </w:r>
          </w:p>
        </w:tc>
        <w:tc>
          <w:tcPr>
            <w:tcW w:w="3691" w:type="dxa"/>
            <w:tcBorders>
              <w:top w:val="single" w:sz="4" w:space="0" w:color="548DD4" w:themeColor="text2" w:themeTint="99"/>
              <w:bottom w:val="single" w:sz="4" w:space="0" w:color="548DD4" w:themeColor="text2" w:themeTint="99"/>
            </w:tcBorders>
            <w:vAlign w:val="center"/>
          </w:tcPr>
          <w:p w14:paraId="2F41BB19" w14:textId="4F09A04A" w:rsidR="000C41B4" w:rsidRPr="00FA55E8" w:rsidRDefault="000C41B4" w:rsidP="00584BB7">
            <w:pPr>
              <w:jc w:val="both"/>
              <w:rPr>
                <w:rFonts w:ascii="Calibri" w:hAnsi="Calibri" w:cs="Calibri"/>
                <w:color w:val="808080" w:themeColor="background1" w:themeShade="80"/>
                <w:sz w:val="20"/>
              </w:rPr>
            </w:pPr>
            <w:r w:rsidRPr="00FA55E8">
              <w:rPr>
                <w:rFonts w:ascii="Calibri" w:hAnsi="Calibri" w:cs="Calibri"/>
                <w:color w:val="808080" w:themeColor="background1" w:themeShade="80"/>
                <w:sz w:val="20"/>
                <w:szCs w:val="24"/>
              </w:rPr>
              <w:t>2 new to Nature Jobs will start in Q1 23/24 plus 12, 6 Month Working with Rivers Placements</w:t>
            </w:r>
          </w:p>
        </w:tc>
      </w:tr>
      <w:tr w:rsidR="000419B1" w:rsidRPr="003A4D73" w14:paraId="6BD3560A" w14:textId="77777777" w:rsidTr="000C41B4">
        <w:trPr>
          <w:trHeight w:hRule="exact" w:val="1928"/>
          <w:jc w:val="center"/>
        </w:trPr>
        <w:tc>
          <w:tcPr>
            <w:tcW w:w="959" w:type="dxa"/>
            <w:tcBorders>
              <w:top w:val="single" w:sz="4" w:space="0" w:color="548DD4" w:themeColor="text2" w:themeTint="99"/>
              <w:bottom w:val="single" w:sz="4" w:space="0" w:color="548DD4" w:themeColor="text2" w:themeTint="99"/>
            </w:tcBorders>
            <w:vAlign w:val="center"/>
          </w:tcPr>
          <w:p w14:paraId="0B923002" w14:textId="77777777" w:rsidR="000419B1" w:rsidRPr="003A4D73" w:rsidRDefault="000419B1" w:rsidP="000419B1">
            <w:pPr>
              <w:jc w:val="center"/>
              <w:rPr>
                <w:rFonts w:ascii="Calibri" w:hAnsi="Calibri" w:cs="Calibri"/>
                <w:b/>
                <w:color w:val="FF0000"/>
              </w:rPr>
            </w:pPr>
          </w:p>
        </w:tc>
        <w:tc>
          <w:tcPr>
            <w:tcW w:w="2298" w:type="dxa"/>
            <w:tcBorders>
              <w:top w:val="single" w:sz="4" w:space="0" w:color="548DD4" w:themeColor="text2" w:themeTint="99"/>
              <w:bottom w:val="single" w:sz="4" w:space="0" w:color="548DD4" w:themeColor="text2" w:themeTint="99"/>
            </w:tcBorders>
            <w:vAlign w:val="center"/>
          </w:tcPr>
          <w:p w14:paraId="02486D6F" w14:textId="77777777" w:rsidR="000419B1" w:rsidRPr="002A1FFB" w:rsidRDefault="00D753F5" w:rsidP="000419B1">
            <w:pPr>
              <w:rPr>
                <w:rFonts w:ascii="Calibri" w:hAnsi="Calibri" w:cs="Calibri"/>
                <w:b/>
                <w:iCs/>
                <w:color w:val="808080" w:themeColor="background1" w:themeShade="80"/>
                <w:sz w:val="21"/>
                <w:szCs w:val="21"/>
              </w:rPr>
            </w:pPr>
            <w:hyperlink r:id="rId26" w:history="1">
              <w:r w:rsidR="000419B1" w:rsidRPr="002A1FFB">
                <w:rPr>
                  <w:rStyle w:val="Hyperlink"/>
                  <w:rFonts w:ascii="Calibri" w:hAnsi="Calibri" w:cs="Calibri"/>
                  <w:b/>
                  <w:iCs/>
                  <w:color w:val="808080" w:themeColor="background1" w:themeShade="80"/>
                  <w:sz w:val="21"/>
                  <w:szCs w:val="21"/>
                </w:rPr>
                <w:t>% of landholdings undertaking a publicly supported Natural Capital approach</w:t>
              </w:r>
            </w:hyperlink>
          </w:p>
        </w:tc>
        <w:tc>
          <w:tcPr>
            <w:tcW w:w="3118" w:type="dxa"/>
            <w:tcBorders>
              <w:top w:val="single" w:sz="4" w:space="0" w:color="548DD4" w:themeColor="text2" w:themeTint="99"/>
              <w:bottom w:val="single" w:sz="4" w:space="0" w:color="548DD4" w:themeColor="text2" w:themeTint="99"/>
            </w:tcBorders>
            <w:vAlign w:val="center"/>
          </w:tcPr>
          <w:p w14:paraId="2F9AF159" w14:textId="45285903" w:rsidR="000419B1" w:rsidRPr="003A4D73" w:rsidRDefault="000C41B4" w:rsidP="000419B1">
            <w:pPr>
              <w:jc w:val="center"/>
              <w:rPr>
                <w:rFonts w:ascii="Calibri" w:hAnsi="Calibri" w:cs="Calibri"/>
              </w:rPr>
            </w:pPr>
            <w:r>
              <w:rPr>
                <w:rFonts w:ascii="Calibri" w:hAnsi="Calibri" w:cs="Calibri"/>
                <w:color w:val="808080" w:themeColor="background1" w:themeShade="80"/>
              </w:rPr>
              <w:t>No audits undertaken during Q4</w:t>
            </w:r>
          </w:p>
        </w:tc>
        <w:tc>
          <w:tcPr>
            <w:tcW w:w="996" w:type="dxa"/>
            <w:tcBorders>
              <w:top w:val="single" w:sz="4" w:space="0" w:color="548DD4" w:themeColor="text2" w:themeTint="99"/>
              <w:bottom w:val="single" w:sz="4" w:space="0" w:color="548DD4" w:themeColor="text2" w:themeTint="99"/>
            </w:tcBorders>
            <w:vAlign w:val="center"/>
          </w:tcPr>
          <w:p w14:paraId="6629BBBF" w14:textId="77777777" w:rsidR="000419B1" w:rsidRPr="00390F7A" w:rsidRDefault="000419B1" w:rsidP="000419B1">
            <w:pPr>
              <w:jc w:val="center"/>
              <w:rPr>
                <w:rFonts w:ascii="Calibri" w:hAnsi="Calibri" w:cs="Calibri"/>
                <w:b/>
                <w:color w:val="808080" w:themeColor="background1" w:themeShade="80"/>
                <w:sz w:val="19"/>
                <w:szCs w:val="19"/>
              </w:rPr>
            </w:pPr>
          </w:p>
        </w:tc>
        <w:tc>
          <w:tcPr>
            <w:tcW w:w="3544" w:type="dxa"/>
            <w:tcBorders>
              <w:top w:val="single" w:sz="4" w:space="0" w:color="548DD4" w:themeColor="text2" w:themeTint="99"/>
              <w:bottom w:val="single" w:sz="4" w:space="0" w:color="548DD4" w:themeColor="text2" w:themeTint="99"/>
            </w:tcBorders>
            <w:vAlign w:val="center"/>
          </w:tcPr>
          <w:p w14:paraId="6A148C1D" w14:textId="07413CAF" w:rsidR="000419B1" w:rsidRPr="00FA55E8" w:rsidRDefault="000419B1" w:rsidP="000419B1">
            <w:pPr>
              <w:jc w:val="both"/>
              <w:rPr>
                <w:rFonts w:ascii="Calibri" w:hAnsi="Calibri" w:cs="Calibri"/>
                <w:color w:val="808080" w:themeColor="background1" w:themeShade="80"/>
                <w:sz w:val="20"/>
                <w:szCs w:val="24"/>
              </w:rPr>
            </w:pPr>
            <w:r w:rsidRPr="00FA55E8">
              <w:rPr>
                <w:rFonts w:ascii="Calibri" w:hAnsi="Calibri" w:cs="Calibri"/>
                <w:color w:val="808080" w:themeColor="background1" w:themeShade="80"/>
                <w:sz w:val="20"/>
                <w:szCs w:val="24"/>
              </w:rPr>
              <w:t>No additional farms undertaking N</w:t>
            </w:r>
            <w:r w:rsidR="007420DE">
              <w:rPr>
                <w:rFonts w:ascii="Calibri" w:hAnsi="Calibri" w:cs="Calibri"/>
                <w:color w:val="808080" w:themeColor="background1" w:themeShade="80"/>
                <w:sz w:val="20"/>
                <w:szCs w:val="24"/>
              </w:rPr>
              <w:t xml:space="preserve">atural </w:t>
            </w:r>
            <w:r w:rsidRPr="00FA55E8">
              <w:rPr>
                <w:rFonts w:ascii="Calibri" w:hAnsi="Calibri" w:cs="Calibri"/>
                <w:color w:val="808080" w:themeColor="background1" w:themeShade="80"/>
                <w:sz w:val="20"/>
                <w:szCs w:val="24"/>
              </w:rPr>
              <w:t>C</w:t>
            </w:r>
            <w:r w:rsidR="007420DE">
              <w:rPr>
                <w:rFonts w:ascii="Calibri" w:hAnsi="Calibri" w:cs="Calibri"/>
                <w:color w:val="808080" w:themeColor="background1" w:themeShade="80"/>
                <w:sz w:val="20"/>
                <w:szCs w:val="24"/>
              </w:rPr>
              <w:t>apital</w:t>
            </w:r>
            <w:r w:rsidRPr="00FA55E8">
              <w:rPr>
                <w:rFonts w:ascii="Calibri" w:hAnsi="Calibri" w:cs="Calibri"/>
                <w:color w:val="808080" w:themeColor="background1" w:themeShade="80"/>
                <w:sz w:val="20"/>
                <w:szCs w:val="24"/>
              </w:rPr>
              <w:t xml:space="preserve"> Assessments through NatureScot Project 117814.</w:t>
            </w:r>
          </w:p>
        </w:tc>
        <w:tc>
          <w:tcPr>
            <w:tcW w:w="3691" w:type="dxa"/>
            <w:tcBorders>
              <w:top w:val="single" w:sz="4" w:space="0" w:color="548DD4" w:themeColor="text2" w:themeTint="99"/>
              <w:bottom w:val="single" w:sz="4" w:space="0" w:color="548DD4" w:themeColor="text2" w:themeTint="99"/>
            </w:tcBorders>
            <w:vAlign w:val="center"/>
          </w:tcPr>
          <w:p w14:paraId="31502CCC" w14:textId="59015B7B" w:rsidR="000419B1" w:rsidRPr="00FA55E8" w:rsidRDefault="00584BB7" w:rsidP="00584BB7">
            <w:pPr>
              <w:jc w:val="both"/>
              <w:rPr>
                <w:rFonts w:ascii="Calibri" w:hAnsi="Calibri" w:cs="Calibri"/>
                <w:color w:val="808080" w:themeColor="background1" w:themeShade="80"/>
                <w:sz w:val="20"/>
                <w:szCs w:val="24"/>
              </w:rPr>
            </w:pPr>
            <w:r w:rsidRPr="00584BB7">
              <w:rPr>
                <w:rFonts w:ascii="Calibri" w:hAnsi="Calibri" w:cs="Calibri"/>
                <w:color w:val="808080" w:themeColor="background1" w:themeShade="80"/>
                <w:sz w:val="20"/>
                <w:szCs w:val="24"/>
              </w:rPr>
              <w:t xml:space="preserve">The farm level natural capital assessment template project is paused, while we are in a phase of engagement with Scottish Government to disseminate the learnings of the project, and seek to influence them to incorporate natural capital approaches into the future rural support framework. </w:t>
            </w:r>
          </w:p>
        </w:tc>
      </w:tr>
      <w:tr w:rsidR="000419B1" w:rsidRPr="003A4D73" w14:paraId="77CB1175" w14:textId="77777777" w:rsidTr="00584BB7">
        <w:trPr>
          <w:trHeight w:hRule="exact" w:val="1531"/>
          <w:jc w:val="center"/>
        </w:trPr>
        <w:tc>
          <w:tcPr>
            <w:tcW w:w="959" w:type="dxa"/>
            <w:tcBorders>
              <w:top w:val="single" w:sz="4" w:space="0" w:color="548DD4" w:themeColor="text2" w:themeTint="99"/>
              <w:bottom w:val="single" w:sz="4" w:space="0" w:color="548DD4" w:themeColor="text2" w:themeTint="99"/>
            </w:tcBorders>
            <w:vAlign w:val="center"/>
          </w:tcPr>
          <w:p w14:paraId="2598A5DC" w14:textId="77777777" w:rsidR="000419B1" w:rsidRPr="003A4D73" w:rsidRDefault="000419B1" w:rsidP="000419B1">
            <w:pPr>
              <w:jc w:val="center"/>
              <w:rPr>
                <w:rFonts w:ascii="Calibri" w:hAnsi="Calibri" w:cs="Calibri"/>
                <w:b/>
                <w:color w:val="FF000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6C1FB5DF" w14:textId="77777777" w:rsidR="000419B1" w:rsidRPr="002A1FFB" w:rsidRDefault="00D753F5" w:rsidP="000419B1">
            <w:pPr>
              <w:rPr>
                <w:rFonts w:ascii="Calibri" w:hAnsi="Calibri" w:cs="Calibri"/>
                <w:b/>
                <w:iCs/>
                <w:color w:val="808080" w:themeColor="background1" w:themeShade="80"/>
                <w:sz w:val="21"/>
                <w:szCs w:val="21"/>
              </w:rPr>
            </w:pPr>
            <w:hyperlink r:id="rId27" w:history="1">
              <w:r w:rsidR="000419B1" w:rsidRPr="002A1FFB">
                <w:rPr>
                  <w:rStyle w:val="Hyperlink"/>
                  <w:rFonts w:ascii="Calibri" w:hAnsi="Calibri" w:cs="Calibri"/>
                  <w:b/>
                  <w:iCs/>
                  <w:color w:val="808080" w:themeColor="background1" w:themeShade="80"/>
                  <w:sz w:val="21"/>
                  <w:szCs w:val="21"/>
                </w:rPr>
                <w:t>National Nature Reserves online engagement</w:t>
              </w:r>
            </w:hyperlink>
          </w:p>
        </w:tc>
        <w:tc>
          <w:tcPr>
            <w:tcW w:w="3118" w:type="dxa"/>
            <w:tcBorders>
              <w:top w:val="single" w:sz="4" w:space="0" w:color="548DD4" w:themeColor="text2" w:themeTint="99"/>
              <w:bottom w:val="single" w:sz="4" w:space="0" w:color="548DD4" w:themeColor="text2" w:themeTint="99"/>
            </w:tcBorders>
            <w:vAlign w:val="center"/>
          </w:tcPr>
          <w:p w14:paraId="17911AC2" w14:textId="4731261F" w:rsidR="000419B1" w:rsidRPr="003A4D73" w:rsidRDefault="00CA780E" w:rsidP="000419B1">
            <w:pPr>
              <w:jc w:val="center"/>
              <w:rPr>
                <w:rFonts w:ascii="Calibri" w:hAnsi="Calibri" w:cs="Calibri"/>
              </w:rPr>
            </w:pPr>
            <w:r>
              <w:rPr>
                <w:rFonts w:ascii="Calibri" w:hAnsi="Calibri" w:cs="Calibri"/>
                <w:noProof/>
                <w:lang w:eastAsia="en-GB"/>
              </w:rPr>
              <w:drawing>
                <wp:inline distT="0" distB="0" distL="0" distR="0" wp14:anchorId="376FC647" wp14:editId="5C70CE40">
                  <wp:extent cx="1909445" cy="603250"/>
                  <wp:effectExtent l="0" t="0" r="0" b="6350"/>
                  <wp:docPr id="8" name="Picture 8"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9445" cy="603250"/>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34BC49F0" w14:textId="275D04D5" w:rsidR="000419B1" w:rsidRPr="003D306D" w:rsidRDefault="00CA780E" w:rsidP="000419B1">
            <w:pP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538,624</w:t>
            </w:r>
          </w:p>
        </w:tc>
        <w:tc>
          <w:tcPr>
            <w:tcW w:w="3544" w:type="dxa"/>
            <w:tcBorders>
              <w:top w:val="single" w:sz="4" w:space="0" w:color="548DD4" w:themeColor="text2" w:themeTint="99"/>
              <w:bottom w:val="single" w:sz="4" w:space="0" w:color="548DD4" w:themeColor="text2" w:themeTint="99"/>
            </w:tcBorders>
            <w:vAlign w:val="center"/>
          </w:tcPr>
          <w:p w14:paraId="45F55B6E" w14:textId="77777777" w:rsidR="00CA780E" w:rsidRPr="00FA55E8" w:rsidRDefault="00CA780E" w:rsidP="008A515F">
            <w:pPr>
              <w:jc w:val="both"/>
              <w:rPr>
                <w:rFonts w:ascii="Calibri" w:hAnsi="Calibri" w:cs="Calibri"/>
                <w:color w:val="808080" w:themeColor="background1" w:themeShade="80"/>
                <w:sz w:val="20"/>
              </w:rPr>
            </w:pPr>
            <w:r w:rsidRPr="00FA55E8">
              <w:rPr>
                <w:rFonts w:ascii="Calibri" w:hAnsi="Calibri" w:cs="Calibri"/>
                <w:color w:val="808080" w:themeColor="background1" w:themeShade="80"/>
                <w:sz w:val="20"/>
              </w:rPr>
              <w:t xml:space="preserve">There has been a significant drop in engagement across the reserves. </w:t>
            </w:r>
          </w:p>
          <w:p w14:paraId="70C169D1" w14:textId="77777777" w:rsidR="00CA780E" w:rsidRPr="00FA55E8" w:rsidRDefault="00CA780E" w:rsidP="008A515F">
            <w:pPr>
              <w:jc w:val="both"/>
              <w:rPr>
                <w:rFonts w:ascii="Calibri" w:hAnsi="Calibri" w:cs="Calibri"/>
                <w:color w:val="808080" w:themeColor="background1" w:themeShade="80"/>
                <w:sz w:val="20"/>
              </w:rPr>
            </w:pPr>
            <w:r w:rsidRPr="00FA55E8">
              <w:rPr>
                <w:rFonts w:ascii="Calibri" w:hAnsi="Calibri" w:cs="Calibri"/>
                <w:color w:val="808080" w:themeColor="background1" w:themeShade="80"/>
                <w:sz w:val="20"/>
              </w:rPr>
              <w:t xml:space="preserve">We expect some decrease over autumn winter as online engagement reflects the level of visits on the ground. </w:t>
            </w:r>
          </w:p>
          <w:p w14:paraId="17FAE537" w14:textId="77777777" w:rsidR="000419B1" w:rsidRPr="00FA55E8" w:rsidRDefault="000419B1" w:rsidP="000419B1">
            <w:pPr>
              <w:jc w:val="both"/>
              <w:rPr>
                <w:rFonts w:ascii="Calibri" w:hAnsi="Calibri" w:cs="Calibri"/>
                <w:color w:val="808080" w:themeColor="background1" w:themeShade="80"/>
                <w:sz w:val="20"/>
              </w:rPr>
            </w:pPr>
          </w:p>
        </w:tc>
        <w:tc>
          <w:tcPr>
            <w:tcW w:w="3691" w:type="dxa"/>
            <w:tcBorders>
              <w:top w:val="single" w:sz="4" w:space="0" w:color="548DD4" w:themeColor="text2" w:themeTint="99"/>
              <w:bottom w:val="single" w:sz="4" w:space="0" w:color="548DD4" w:themeColor="text2" w:themeTint="99"/>
            </w:tcBorders>
            <w:vAlign w:val="center"/>
          </w:tcPr>
          <w:p w14:paraId="0F382408" w14:textId="56EA5F35" w:rsidR="000419B1" w:rsidRPr="00FA55E8" w:rsidRDefault="00CA780E" w:rsidP="00584BB7">
            <w:pPr>
              <w:jc w:val="both"/>
              <w:rPr>
                <w:rFonts w:ascii="Calibri" w:hAnsi="Calibri" w:cs="Calibri"/>
                <w:color w:val="808080" w:themeColor="background1" w:themeShade="80"/>
                <w:sz w:val="20"/>
              </w:rPr>
            </w:pPr>
            <w:r w:rsidRPr="00FA55E8">
              <w:rPr>
                <w:rFonts w:ascii="Calibri" w:hAnsi="Calibri" w:cs="Calibri"/>
                <w:color w:val="808080" w:themeColor="background1" w:themeShade="80"/>
                <w:sz w:val="20"/>
              </w:rPr>
              <w:t xml:space="preserve">Further investigation needed as to why the drop has been more significant this quarter. We will follow up with reserves where social media posts are lower than expected.  </w:t>
            </w:r>
          </w:p>
        </w:tc>
      </w:tr>
    </w:tbl>
    <w:p w14:paraId="4469AB71" w14:textId="77777777" w:rsidR="000419B1" w:rsidRDefault="000419B1" w:rsidP="000419B1">
      <w:pPr>
        <w:spacing w:after="160" w:line="259" w:lineRule="auto"/>
        <w:rPr>
          <w:rFonts w:ascii="Calibri" w:eastAsiaTheme="majorEastAsia" w:hAnsi="Calibri" w:cs="Calibri"/>
          <w:b/>
          <w:szCs w:val="26"/>
        </w:rPr>
      </w:pPr>
    </w:p>
    <w:p w14:paraId="24E2E44C" w14:textId="77777777" w:rsidR="000419B1" w:rsidRPr="00FB3B80" w:rsidRDefault="000419B1" w:rsidP="000419B1">
      <w:pPr>
        <w:pStyle w:val="Heading2"/>
        <w:shd w:val="clear" w:color="auto" w:fill="007DC3"/>
        <w:jc w:val="center"/>
        <w:rPr>
          <w:rFonts w:ascii="Calibri" w:hAnsi="Calibri" w:cs="Calibri"/>
        </w:rPr>
      </w:pPr>
      <w:r w:rsidRPr="00FB3B80">
        <w:rPr>
          <w:rFonts w:ascii="Calibri" w:hAnsi="Calibri" w:cs="Calibri"/>
        </w:rPr>
        <w:lastRenderedPageBreak/>
        <w:t>WE HAVE TRANSFORMED HOW WE WORK</w:t>
      </w:r>
    </w:p>
    <w:tbl>
      <w:tblPr>
        <w:tblStyle w:val="TableGrid"/>
        <w:tblW w:w="14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959"/>
        <w:gridCol w:w="2298"/>
        <w:gridCol w:w="3118"/>
        <w:gridCol w:w="996"/>
        <w:gridCol w:w="3544"/>
        <w:gridCol w:w="3691"/>
      </w:tblGrid>
      <w:tr w:rsidR="000419B1" w:rsidRPr="00F56679" w14:paraId="492C22CD" w14:textId="77777777" w:rsidTr="000C41B4">
        <w:trPr>
          <w:tblHeader/>
          <w:jc w:val="center"/>
        </w:trPr>
        <w:tc>
          <w:tcPr>
            <w:tcW w:w="959" w:type="dxa"/>
            <w:tcBorders>
              <w:bottom w:val="single" w:sz="4" w:space="0" w:color="548DD4" w:themeColor="text2" w:themeTint="99"/>
            </w:tcBorders>
          </w:tcPr>
          <w:p w14:paraId="2F5CEDB5" w14:textId="77777777" w:rsidR="000419B1" w:rsidRPr="00F56679" w:rsidRDefault="000419B1" w:rsidP="000419B1">
            <w:pPr>
              <w:jc w:val="center"/>
              <w:rPr>
                <w:rFonts w:ascii="Calibri" w:hAnsi="Calibri" w:cs="Calibri"/>
                <w:b/>
              </w:rPr>
            </w:pPr>
            <w:r>
              <w:rPr>
                <w:rFonts w:ascii="Calibri" w:hAnsi="Calibri" w:cs="Calibri"/>
                <w:b/>
              </w:rPr>
              <w:t>Score</w:t>
            </w:r>
          </w:p>
        </w:tc>
        <w:tc>
          <w:tcPr>
            <w:tcW w:w="2298" w:type="dxa"/>
            <w:tcBorders>
              <w:bottom w:val="single" w:sz="4" w:space="0" w:color="548DD4" w:themeColor="text2" w:themeTint="99"/>
            </w:tcBorders>
          </w:tcPr>
          <w:p w14:paraId="1B181824" w14:textId="77777777" w:rsidR="000419B1" w:rsidRPr="00F56679" w:rsidRDefault="000419B1" w:rsidP="000419B1">
            <w:pPr>
              <w:jc w:val="center"/>
              <w:rPr>
                <w:rFonts w:ascii="Calibri" w:hAnsi="Calibri" w:cs="Calibri"/>
                <w:b/>
              </w:rPr>
            </w:pPr>
            <w:r w:rsidRPr="00F56679">
              <w:rPr>
                <w:rFonts w:ascii="Calibri" w:hAnsi="Calibri" w:cs="Calibri"/>
                <w:b/>
              </w:rPr>
              <w:t>Measure</w:t>
            </w:r>
          </w:p>
        </w:tc>
        <w:tc>
          <w:tcPr>
            <w:tcW w:w="3118" w:type="dxa"/>
            <w:tcBorders>
              <w:bottom w:val="single" w:sz="4" w:space="0" w:color="548DD4" w:themeColor="text2" w:themeTint="99"/>
            </w:tcBorders>
          </w:tcPr>
          <w:p w14:paraId="0662D953" w14:textId="77777777" w:rsidR="000419B1" w:rsidRPr="00F56679" w:rsidRDefault="000419B1" w:rsidP="000419B1">
            <w:pPr>
              <w:jc w:val="center"/>
              <w:rPr>
                <w:rFonts w:ascii="Calibri" w:hAnsi="Calibri" w:cs="Calibri"/>
                <w:b/>
              </w:rPr>
            </w:pPr>
            <w:r>
              <w:rPr>
                <w:rFonts w:ascii="Calibri" w:hAnsi="Calibri" w:cs="Calibri"/>
                <w:b/>
              </w:rPr>
              <w:t>Performance Overview</w:t>
            </w:r>
          </w:p>
        </w:tc>
        <w:tc>
          <w:tcPr>
            <w:tcW w:w="996" w:type="dxa"/>
            <w:tcBorders>
              <w:bottom w:val="single" w:sz="4" w:space="0" w:color="548DD4" w:themeColor="text2" w:themeTint="99"/>
            </w:tcBorders>
          </w:tcPr>
          <w:p w14:paraId="1937FA21" w14:textId="77777777" w:rsidR="000419B1" w:rsidRPr="00F56679" w:rsidRDefault="000419B1" w:rsidP="000419B1">
            <w:pPr>
              <w:jc w:val="center"/>
              <w:rPr>
                <w:rFonts w:ascii="Calibri" w:hAnsi="Calibri" w:cs="Calibri"/>
                <w:b/>
              </w:rPr>
            </w:pPr>
            <w:r w:rsidRPr="00F56679">
              <w:rPr>
                <w:rFonts w:ascii="Calibri" w:hAnsi="Calibri" w:cs="Calibri"/>
                <w:b/>
              </w:rPr>
              <w:t>Actual</w:t>
            </w:r>
          </w:p>
        </w:tc>
        <w:tc>
          <w:tcPr>
            <w:tcW w:w="3544" w:type="dxa"/>
            <w:tcBorders>
              <w:bottom w:val="single" w:sz="4" w:space="0" w:color="548DD4" w:themeColor="text2" w:themeTint="99"/>
            </w:tcBorders>
          </w:tcPr>
          <w:p w14:paraId="13838794" w14:textId="77777777" w:rsidR="000419B1" w:rsidRPr="00F56679" w:rsidRDefault="000419B1" w:rsidP="000419B1">
            <w:pPr>
              <w:jc w:val="center"/>
              <w:rPr>
                <w:rFonts w:ascii="Calibri" w:hAnsi="Calibri" w:cs="Calibri"/>
                <w:b/>
              </w:rPr>
            </w:pPr>
            <w:r w:rsidRPr="00F56679">
              <w:rPr>
                <w:rFonts w:ascii="Calibri" w:hAnsi="Calibri" w:cs="Calibri"/>
                <w:b/>
              </w:rPr>
              <w:t>Cause</w:t>
            </w:r>
          </w:p>
        </w:tc>
        <w:tc>
          <w:tcPr>
            <w:tcW w:w="3691" w:type="dxa"/>
            <w:tcBorders>
              <w:bottom w:val="single" w:sz="4" w:space="0" w:color="548DD4" w:themeColor="text2" w:themeTint="99"/>
            </w:tcBorders>
          </w:tcPr>
          <w:p w14:paraId="37F4E619" w14:textId="77777777" w:rsidR="000419B1" w:rsidRPr="00F56679" w:rsidRDefault="000419B1" w:rsidP="000419B1">
            <w:pPr>
              <w:jc w:val="center"/>
              <w:rPr>
                <w:rFonts w:ascii="Calibri" w:hAnsi="Calibri" w:cs="Calibri"/>
                <w:b/>
              </w:rPr>
            </w:pPr>
            <w:r w:rsidRPr="00F56679">
              <w:rPr>
                <w:rFonts w:ascii="Calibri" w:hAnsi="Calibri" w:cs="Calibri"/>
                <w:b/>
              </w:rPr>
              <w:t>Response</w:t>
            </w:r>
          </w:p>
        </w:tc>
      </w:tr>
      <w:tr w:rsidR="000C41B4" w:rsidRPr="003A4D73" w14:paraId="1C340BFF" w14:textId="77777777" w:rsidTr="000C41B4">
        <w:trPr>
          <w:trHeight w:hRule="exact" w:val="1384"/>
          <w:jc w:val="center"/>
        </w:trPr>
        <w:tc>
          <w:tcPr>
            <w:tcW w:w="959" w:type="dxa"/>
            <w:tcBorders>
              <w:top w:val="single" w:sz="4" w:space="0" w:color="548DD4" w:themeColor="text2" w:themeTint="99"/>
              <w:bottom w:val="single" w:sz="4" w:space="0" w:color="548DD4" w:themeColor="text2" w:themeTint="99"/>
            </w:tcBorders>
            <w:vAlign w:val="center"/>
          </w:tcPr>
          <w:p w14:paraId="3D3FE485" w14:textId="0C5BD5CF" w:rsidR="000C41B4" w:rsidRPr="00930F18" w:rsidRDefault="000C41B4" w:rsidP="000C41B4">
            <w:pPr>
              <w:jc w:val="center"/>
              <w:rPr>
                <w:rFonts w:ascii="Calibri" w:hAnsi="Calibri" w:cs="Calibri"/>
                <w:b/>
                <w:color w:val="808080" w:themeColor="background1" w:themeShade="80"/>
              </w:rPr>
            </w:pPr>
            <w:r>
              <w:rPr>
                <w:rFonts w:ascii="Calibri" w:hAnsi="Calibri" w:cs="Calibri"/>
                <w:color w:val="808080" w:themeColor="background1" w:themeShade="80"/>
              </w:rPr>
              <w:t>N/A</w:t>
            </w:r>
          </w:p>
        </w:tc>
        <w:tc>
          <w:tcPr>
            <w:tcW w:w="2298" w:type="dxa"/>
            <w:tcBorders>
              <w:top w:val="single" w:sz="4" w:space="0" w:color="548DD4" w:themeColor="text2" w:themeTint="99"/>
              <w:bottom w:val="single" w:sz="4" w:space="0" w:color="548DD4" w:themeColor="text2" w:themeTint="99"/>
            </w:tcBorders>
            <w:vAlign w:val="center"/>
          </w:tcPr>
          <w:p w14:paraId="572E982F" w14:textId="65B350FD" w:rsidR="000C41B4" w:rsidRPr="00F2033F" w:rsidRDefault="00D753F5" w:rsidP="000C41B4">
            <w:pPr>
              <w:rPr>
                <w:rFonts w:ascii="Calibri" w:hAnsi="Calibri" w:cs="Calibri"/>
                <w:b/>
                <w:iCs/>
                <w:color w:val="808080" w:themeColor="background1" w:themeShade="80"/>
                <w:sz w:val="21"/>
                <w:szCs w:val="21"/>
              </w:rPr>
            </w:pPr>
            <w:hyperlink r:id="rId29" w:history="1">
              <w:r w:rsidR="000C41B4" w:rsidRPr="00F2033F">
                <w:rPr>
                  <w:rStyle w:val="Hyperlink"/>
                  <w:rFonts w:ascii="Calibri" w:hAnsi="Calibri" w:cs="Calibri"/>
                  <w:iCs/>
                  <w:color w:val="808080" w:themeColor="background1" w:themeShade="80"/>
                  <w:sz w:val="21"/>
                  <w:szCs w:val="21"/>
                </w:rPr>
                <w:t>Workforce diversity - Age</w:t>
              </w:r>
            </w:hyperlink>
          </w:p>
        </w:tc>
        <w:tc>
          <w:tcPr>
            <w:tcW w:w="3118" w:type="dxa"/>
            <w:tcBorders>
              <w:top w:val="single" w:sz="4" w:space="0" w:color="548DD4" w:themeColor="text2" w:themeTint="99"/>
              <w:bottom w:val="single" w:sz="4" w:space="0" w:color="548DD4" w:themeColor="text2" w:themeTint="99"/>
            </w:tcBorders>
            <w:vAlign w:val="center"/>
          </w:tcPr>
          <w:p w14:paraId="3191230F" w14:textId="73298A1D" w:rsidR="000C41B4" w:rsidRPr="003A4D73" w:rsidRDefault="000C41B4" w:rsidP="000C41B4">
            <w:pPr>
              <w:jc w:val="center"/>
              <w:rPr>
                <w:rFonts w:ascii="Calibri" w:hAnsi="Calibri" w:cs="Calibri"/>
              </w:rPr>
            </w:pPr>
            <w:r>
              <w:rPr>
                <w:rFonts w:ascii="Calibri" w:hAnsi="Calibri" w:cs="Calibri"/>
                <w:i/>
                <w:noProof/>
                <w:lang w:eastAsia="en-GB"/>
              </w:rPr>
              <w:drawing>
                <wp:inline distT="0" distB="0" distL="0" distR="0" wp14:anchorId="1BA47F76" wp14:editId="56238956">
                  <wp:extent cx="1916617" cy="464023"/>
                  <wp:effectExtent l="0" t="0" r="7620" b="0"/>
                  <wp:docPr id="18" name="Picture 18"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16617" cy="464023"/>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27FAC414" w14:textId="4933CA3B" w:rsidR="000C41B4" w:rsidRPr="003D306D" w:rsidRDefault="000C41B4" w:rsidP="000C41B4">
            <w:pPr>
              <w:jc w:val="center"/>
              <w:rPr>
                <w:rFonts w:ascii="Calibri" w:hAnsi="Calibri" w:cs="Calibri"/>
                <w:color w:val="808080" w:themeColor="background1" w:themeShade="80"/>
                <w:sz w:val="19"/>
                <w:szCs w:val="19"/>
              </w:rPr>
            </w:pPr>
          </w:p>
        </w:tc>
        <w:tc>
          <w:tcPr>
            <w:tcW w:w="3544" w:type="dxa"/>
            <w:tcBorders>
              <w:top w:val="single" w:sz="4" w:space="0" w:color="548DD4" w:themeColor="text2" w:themeTint="99"/>
              <w:bottom w:val="single" w:sz="4" w:space="0" w:color="548DD4" w:themeColor="text2" w:themeTint="99"/>
            </w:tcBorders>
            <w:vAlign w:val="center"/>
          </w:tcPr>
          <w:p w14:paraId="5A40EDA2" w14:textId="37083DAA" w:rsidR="000C41B4" w:rsidRPr="00FA55E8" w:rsidRDefault="0092028E" w:rsidP="0092028E">
            <w:pPr>
              <w:jc w:val="both"/>
              <w:rPr>
                <w:rFonts w:ascii="Calibri" w:hAnsi="Calibri" w:cs="Calibri"/>
                <w:color w:val="808080" w:themeColor="background1" w:themeShade="80"/>
                <w:sz w:val="20"/>
                <w:szCs w:val="20"/>
              </w:rPr>
            </w:pPr>
            <w:r w:rsidRPr="00FA55E8">
              <w:rPr>
                <w:color w:val="808080" w:themeColor="background1" w:themeShade="80"/>
                <w:sz w:val="20"/>
                <w:szCs w:val="20"/>
              </w:rPr>
              <w:t>Over the financial year compared to 21/22 there has been an increase all age ranges except 45-54 &amp; 65+, the most significant increase was in the age range 25-34 with a change of 93</w:t>
            </w:r>
          </w:p>
        </w:tc>
        <w:tc>
          <w:tcPr>
            <w:tcW w:w="3691" w:type="dxa"/>
            <w:tcBorders>
              <w:top w:val="single" w:sz="4" w:space="0" w:color="548DD4" w:themeColor="text2" w:themeTint="99"/>
              <w:bottom w:val="single" w:sz="4" w:space="0" w:color="548DD4" w:themeColor="text2" w:themeTint="99"/>
            </w:tcBorders>
            <w:vAlign w:val="center"/>
          </w:tcPr>
          <w:p w14:paraId="07E94CCD" w14:textId="6752E94D" w:rsidR="000C41B4" w:rsidRPr="00FA55E8" w:rsidRDefault="0092028E" w:rsidP="007420DE">
            <w:pPr>
              <w:jc w:val="both"/>
              <w:rPr>
                <w:color w:val="808080" w:themeColor="background1" w:themeShade="80"/>
                <w:sz w:val="20"/>
                <w:szCs w:val="20"/>
              </w:rPr>
            </w:pPr>
            <w:r w:rsidRPr="00FA55E8">
              <w:rPr>
                <w:color w:val="808080" w:themeColor="background1" w:themeShade="80"/>
                <w:sz w:val="20"/>
                <w:szCs w:val="20"/>
              </w:rPr>
              <w:t>In 23/24 as part of the People Programme, there will be a review of our talent acquisition and recruitment process and main streaming P</w:t>
            </w:r>
            <w:r w:rsidR="007420DE">
              <w:rPr>
                <w:color w:val="808080" w:themeColor="background1" w:themeShade="80"/>
                <w:sz w:val="20"/>
                <w:szCs w:val="20"/>
              </w:rPr>
              <w:t xml:space="preserve">rogramme for </w:t>
            </w:r>
            <w:r w:rsidRPr="00FA55E8">
              <w:rPr>
                <w:color w:val="808080" w:themeColor="background1" w:themeShade="80"/>
                <w:sz w:val="20"/>
                <w:szCs w:val="20"/>
              </w:rPr>
              <w:t>Y</w:t>
            </w:r>
            <w:r w:rsidR="007420DE">
              <w:rPr>
                <w:color w:val="808080" w:themeColor="background1" w:themeShade="80"/>
                <w:sz w:val="20"/>
                <w:szCs w:val="20"/>
              </w:rPr>
              <w:t xml:space="preserve">outh </w:t>
            </w:r>
            <w:r w:rsidRPr="00FA55E8">
              <w:rPr>
                <w:color w:val="808080" w:themeColor="background1" w:themeShade="80"/>
                <w:sz w:val="20"/>
                <w:szCs w:val="20"/>
              </w:rPr>
              <w:t>E</w:t>
            </w:r>
            <w:r w:rsidR="007420DE">
              <w:rPr>
                <w:color w:val="808080" w:themeColor="background1" w:themeShade="80"/>
                <w:sz w:val="20"/>
                <w:szCs w:val="20"/>
              </w:rPr>
              <w:t>mployment (PYE)</w:t>
            </w:r>
            <w:r w:rsidRPr="00FA55E8">
              <w:rPr>
                <w:color w:val="808080" w:themeColor="background1" w:themeShade="80"/>
                <w:sz w:val="20"/>
                <w:szCs w:val="20"/>
              </w:rPr>
              <w:t xml:space="preserve"> is key.</w:t>
            </w:r>
          </w:p>
        </w:tc>
      </w:tr>
      <w:tr w:rsidR="000C41B4" w:rsidRPr="003A4D73" w14:paraId="72774B2F" w14:textId="77777777" w:rsidTr="007420DE">
        <w:trPr>
          <w:trHeight w:hRule="exact" w:val="1020"/>
          <w:jc w:val="center"/>
        </w:trPr>
        <w:tc>
          <w:tcPr>
            <w:tcW w:w="959" w:type="dxa"/>
            <w:tcBorders>
              <w:top w:val="single" w:sz="4" w:space="0" w:color="548DD4" w:themeColor="text2" w:themeTint="99"/>
              <w:bottom w:val="single" w:sz="4" w:space="0" w:color="548DD4" w:themeColor="text2" w:themeTint="99"/>
            </w:tcBorders>
            <w:vAlign w:val="center"/>
          </w:tcPr>
          <w:p w14:paraId="13BCFFF8" w14:textId="62D8E8F8" w:rsidR="000C41B4" w:rsidRPr="00B36E02" w:rsidRDefault="000C41B4" w:rsidP="000C41B4">
            <w:pPr>
              <w:jc w:val="center"/>
              <w:rPr>
                <w:rFonts w:ascii="Calibri" w:hAnsi="Calibri" w:cs="Calibri"/>
                <w:b/>
                <w:color w:val="FF0000"/>
              </w:rPr>
            </w:pPr>
            <w:r w:rsidRPr="000E487D">
              <w:rPr>
                <w:rFonts w:ascii="Calibri" w:hAnsi="Calibri" w:cs="Calibri"/>
                <w:b/>
                <w:color w:val="F79646" w:themeColor="accent6"/>
              </w:rPr>
              <w:t>AMBER</w:t>
            </w:r>
          </w:p>
        </w:tc>
        <w:tc>
          <w:tcPr>
            <w:tcW w:w="2298" w:type="dxa"/>
            <w:tcBorders>
              <w:top w:val="single" w:sz="4" w:space="0" w:color="548DD4" w:themeColor="text2" w:themeTint="99"/>
              <w:bottom w:val="single" w:sz="4" w:space="0" w:color="548DD4" w:themeColor="text2" w:themeTint="99"/>
            </w:tcBorders>
            <w:vAlign w:val="center"/>
          </w:tcPr>
          <w:p w14:paraId="54B487C3" w14:textId="4104DA41" w:rsidR="000C41B4" w:rsidRPr="00F2033F" w:rsidRDefault="00D753F5" w:rsidP="000C41B4">
            <w:pPr>
              <w:rPr>
                <w:rFonts w:ascii="Calibri" w:hAnsi="Calibri" w:cs="Calibri"/>
                <w:b/>
                <w:iCs/>
                <w:color w:val="808080" w:themeColor="background1" w:themeShade="80"/>
                <w:sz w:val="21"/>
                <w:szCs w:val="21"/>
              </w:rPr>
            </w:pPr>
            <w:hyperlink r:id="rId31" w:history="1">
              <w:r w:rsidR="000C41B4" w:rsidRPr="00F2033F">
                <w:rPr>
                  <w:rStyle w:val="Hyperlink"/>
                  <w:rFonts w:ascii="Calibri" w:hAnsi="Calibri" w:cs="Calibri"/>
                  <w:b/>
                  <w:iCs/>
                  <w:color w:val="808080" w:themeColor="background1" w:themeShade="80"/>
                  <w:sz w:val="21"/>
                  <w:szCs w:val="21"/>
                </w:rPr>
                <w:t>Workforce diversity - Disability</w:t>
              </w:r>
            </w:hyperlink>
          </w:p>
        </w:tc>
        <w:tc>
          <w:tcPr>
            <w:tcW w:w="3118" w:type="dxa"/>
            <w:tcBorders>
              <w:top w:val="single" w:sz="4" w:space="0" w:color="548DD4" w:themeColor="text2" w:themeTint="99"/>
              <w:bottom w:val="single" w:sz="4" w:space="0" w:color="548DD4" w:themeColor="text2" w:themeTint="99"/>
            </w:tcBorders>
            <w:vAlign w:val="center"/>
          </w:tcPr>
          <w:p w14:paraId="2CC9264C" w14:textId="1455FAA0" w:rsidR="000C41B4" w:rsidRPr="003A4D73" w:rsidRDefault="000C41B4" w:rsidP="000C41B4">
            <w:pPr>
              <w:jc w:val="center"/>
              <w:rPr>
                <w:rFonts w:ascii="Calibri" w:hAnsi="Calibri" w:cs="Calibri"/>
              </w:rPr>
            </w:pPr>
            <w:r>
              <w:rPr>
                <w:rFonts w:ascii="Calibri" w:hAnsi="Calibri" w:cs="Calibri"/>
                <w:noProof/>
                <w:lang w:eastAsia="en-GB"/>
              </w:rPr>
              <w:drawing>
                <wp:inline distT="0" distB="0" distL="0" distR="0" wp14:anchorId="417C927C" wp14:editId="5C0A1FB6">
                  <wp:extent cx="1781033" cy="626599"/>
                  <wp:effectExtent l="0" t="0" r="0" b="2540"/>
                  <wp:docPr id="10" name="Picture 10"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2135" cy="641059"/>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3BCEFF03" w14:textId="76E4F910" w:rsidR="000C41B4" w:rsidRPr="00930F18" w:rsidRDefault="000C41B4" w:rsidP="000C41B4">
            <w:pPr>
              <w:jc w:val="center"/>
              <w:rPr>
                <w:rFonts w:ascii="Calibri" w:hAnsi="Calibri" w:cs="Calibri"/>
                <w:color w:val="808080" w:themeColor="background1" w:themeShade="80"/>
                <w:sz w:val="18"/>
                <w:szCs w:val="19"/>
              </w:rPr>
            </w:pPr>
          </w:p>
        </w:tc>
        <w:tc>
          <w:tcPr>
            <w:tcW w:w="3544" w:type="dxa"/>
            <w:tcBorders>
              <w:top w:val="single" w:sz="4" w:space="0" w:color="548DD4" w:themeColor="text2" w:themeTint="99"/>
              <w:bottom w:val="single" w:sz="4" w:space="0" w:color="548DD4" w:themeColor="text2" w:themeTint="99"/>
            </w:tcBorders>
            <w:vAlign w:val="center"/>
          </w:tcPr>
          <w:p w14:paraId="0F19E1EC" w14:textId="26F5D9BB" w:rsidR="000C41B4" w:rsidRPr="00FA55E8" w:rsidRDefault="0092028E" w:rsidP="0092028E">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Disclosure continues to remain low, further campaigns to encourage disclosure is key</w:t>
            </w:r>
          </w:p>
        </w:tc>
        <w:tc>
          <w:tcPr>
            <w:tcW w:w="3691" w:type="dxa"/>
            <w:tcBorders>
              <w:top w:val="single" w:sz="4" w:space="0" w:color="548DD4" w:themeColor="text2" w:themeTint="99"/>
              <w:bottom w:val="single" w:sz="4" w:space="0" w:color="548DD4" w:themeColor="text2" w:themeTint="99"/>
            </w:tcBorders>
            <w:vAlign w:val="center"/>
          </w:tcPr>
          <w:p w14:paraId="6EFCC750" w14:textId="2E2E1B37" w:rsidR="000C41B4" w:rsidRPr="00FA55E8" w:rsidRDefault="0092028E" w:rsidP="0092028E">
            <w:pPr>
              <w:jc w:val="both"/>
              <w:rPr>
                <w:color w:val="808080" w:themeColor="background1" w:themeShade="80"/>
                <w:sz w:val="20"/>
                <w:szCs w:val="20"/>
              </w:rPr>
            </w:pPr>
            <w:r w:rsidRPr="00FA55E8">
              <w:rPr>
                <w:color w:val="808080" w:themeColor="background1" w:themeShade="80"/>
                <w:sz w:val="20"/>
                <w:szCs w:val="20"/>
              </w:rPr>
              <w:t xml:space="preserve">In 2023/24, there will be continued work on </w:t>
            </w:r>
            <w:r w:rsidR="007420DE" w:rsidRPr="00FA55E8">
              <w:rPr>
                <w:rFonts w:ascii="Calibri" w:hAnsi="Calibri" w:cs="Calibri"/>
                <w:color w:val="808080"/>
                <w:sz w:val="20"/>
                <w:szCs w:val="20"/>
              </w:rPr>
              <w:t>E</w:t>
            </w:r>
            <w:r w:rsidR="007420DE">
              <w:rPr>
                <w:rFonts w:ascii="Calibri" w:hAnsi="Calibri" w:cs="Calibri"/>
                <w:color w:val="808080"/>
                <w:sz w:val="20"/>
                <w:szCs w:val="20"/>
              </w:rPr>
              <w:t xml:space="preserve">quality, </w:t>
            </w:r>
            <w:r w:rsidR="007420DE" w:rsidRPr="00FA55E8">
              <w:rPr>
                <w:rFonts w:ascii="Calibri" w:hAnsi="Calibri" w:cs="Calibri"/>
                <w:color w:val="808080"/>
                <w:sz w:val="20"/>
                <w:szCs w:val="20"/>
              </w:rPr>
              <w:t>D</w:t>
            </w:r>
            <w:r w:rsidR="007420DE">
              <w:rPr>
                <w:rFonts w:ascii="Calibri" w:hAnsi="Calibri" w:cs="Calibri"/>
                <w:color w:val="808080"/>
                <w:sz w:val="20"/>
                <w:szCs w:val="20"/>
              </w:rPr>
              <w:t xml:space="preserve">iversity &amp; Inclusion (EDI) </w:t>
            </w:r>
            <w:r w:rsidRPr="00FA55E8">
              <w:rPr>
                <w:color w:val="808080" w:themeColor="background1" w:themeShade="80"/>
                <w:sz w:val="20"/>
                <w:szCs w:val="20"/>
              </w:rPr>
              <w:t>actions and increasing disclosure through campaign and visible support.</w:t>
            </w:r>
          </w:p>
        </w:tc>
      </w:tr>
      <w:tr w:rsidR="000C41B4" w:rsidRPr="003A4D73" w14:paraId="40F93233" w14:textId="77777777" w:rsidTr="007420DE">
        <w:trPr>
          <w:trHeight w:hRule="exact" w:val="850"/>
          <w:jc w:val="center"/>
        </w:trPr>
        <w:tc>
          <w:tcPr>
            <w:tcW w:w="959" w:type="dxa"/>
            <w:tcBorders>
              <w:top w:val="single" w:sz="4" w:space="0" w:color="548DD4" w:themeColor="text2" w:themeTint="99"/>
              <w:bottom w:val="single" w:sz="4" w:space="0" w:color="548DD4" w:themeColor="text2" w:themeTint="99"/>
            </w:tcBorders>
            <w:vAlign w:val="center"/>
          </w:tcPr>
          <w:p w14:paraId="658C457B" w14:textId="2C15B69F" w:rsidR="000C41B4" w:rsidRPr="003A4D73" w:rsidRDefault="000C41B4" w:rsidP="000C41B4">
            <w:pPr>
              <w:jc w:val="center"/>
              <w:rPr>
                <w:rFonts w:ascii="Calibri" w:hAnsi="Calibri" w:cs="Calibri"/>
                <w:b/>
                <w:color w:val="FF0000"/>
              </w:rPr>
            </w:pPr>
            <w:r w:rsidRPr="000E487D">
              <w:rPr>
                <w:rFonts w:ascii="Calibri" w:hAnsi="Calibri" w:cs="Calibri"/>
                <w:b/>
                <w:color w:val="F79646" w:themeColor="accent6"/>
              </w:rPr>
              <w:t>AMBER</w:t>
            </w:r>
          </w:p>
        </w:tc>
        <w:tc>
          <w:tcPr>
            <w:tcW w:w="2298" w:type="dxa"/>
            <w:tcBorders>
              <w:top w:val="single" w:sz="4" w:space="0" w:color="548DD4" w:themeColor="text2" w:themeTint="99"/>
              <w:bottom w:val="single" w:sz="4" w:space="0" w:color="548DD4" w:themeColor="text2" w:themeTint="99"/>
            </w:tcBorders>
            <w:vAlign w:val="center"/>
          </w:tcPr>
          <w:p w14:paraId="51525FD1" w14:textId="551EF7AF" w:rsidR="000C41B4" w:rsidRPr="00F2033F" w:rsidRDefault="00D753F5" w:rsidP="000C41B4">
            <w:pPr>
              <w:rPr>
                <w:rFonts w:ascii="Calibri" w:hAnsi="Calibri" w:cs="Calibri"/>
                <w:b/>
                <w:iCs/>
                <w:color w:val="808080" w:themeColor="background1" w:themeShade="80"/>
                <w:sz w:val="21"/>
                <w:szCs w:val="21"/>
              </w:rPr>
            </w:pPr>
            <w:hyperlink r:id="rId33" w:history="1">
              <w:r w:rsidR="000C41B4" w:rsidRPr="00F2033F">
                <w:rPr>
                  <w:rStyle w:val="Hyperlink"/>
                  <w:rFonts w:ascii="Calibri" w:hAnsi="Calibri" w:cs="Calibri"/>
                  <w:b/>
                  <w:iCs/>
                  <w:color w:val="808080" w:themeColor="background1" w:themeShade="80"/>
                  <w:sz w:val="21"/>
                  <w:szCs w:val="21"/>
                </w:rPr>
                <w:t>Workforce diversity - Ethnicity</w:t>
              </w:r>
            </w:hyperlink>
          </w:p>
        </w:tc>
        <w:tc>
          <w:tcPr>
            <w:tcW w:w="3118" w:type="dxa"/>
            <w:tcBorders>
              <w:top w:val="single" w:sz="4" w:space="0" w:color="548DD4" w:themeColor="text2" w:themeTint="99"/>
              <w:bottom w:val="single" w:sz="4" w:space="0" w:color="548DD4" w:themeColor="text2" w:themeTint="99"/>
            </w:tcBorders>
            <w:vAlign w:val="center"/>
          </w:tcPr>
          <w:p w14:paraId="6032B07D" w14:textId="4027860B" w:rsidR="000C41B4" w:rsidRPr="003A4D73" w:rsidRDefault="000C41B4" w:rsidP="000C41B4">
            <w:pPr>
              <w:jc w:val="center"/>
              <w:rPr>
                <w:rFonts w:ascii="Calibri" w:hAnsi="Calibri" w:cs="Calibri"/>
              </w:rPr>
            </w:pPr>
            <w:r>
              <w:rPr>
                <w:rFonts w:ascii="Calibri" w:hAnsi="Calibri" w:cs="Calibri"/>
                <w:noProof/>
                <w:lang w:eastAsia="en-GB"/>
              </w:rPr>
              <w:drawing>
                <wp:inline distT="0" distB="0" distL="0" distR="0" wp14:anchorId="474E1C9A" wp14:editId="4D61C996">
                  <wp:extent cx="1920840" cy="409433"/>
                  <wp:effectExtent l="0" t="0" r="3810" b="0"/>
                  <wp:docPr id="11" name="Picture 11"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1748" cy="426679"/>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13A983E7" w14:textId="6CEDB927" w:rsidR="000C41B4" w:rsidRPr="00930F18" w:rsidRDefault="000C41B4" w:rsidP="000C41B4">
            <w:pPr>
              <w:jc w:val="center"/>
              <w:rPr>
                <w:rFonts w:ascii="Calibri" w:hAnsi="Calibri" w:cs="Calibri"/>
                <w:color w:val="808080" w:themeColor="background1" w:themeShade="80"/>
                <w:sz w:val="18"/>
                <w:szCs w:val="19"/>
              </w:rPr>
            </w:pPr>
          </w:p>
        </w:tc>
        <w:tc>
          <w:tcPr>
            <w:tcW w:w="3544" w:type="dxa"/>
            <w:tcBorders>
              <w:top w:val="single" w:sz="4" w:space="0" w:color="548DD4" w:themeColor="text2" w:themeTint="99"/>
              <w:bottom w:val="single" w:sz="4" w:space="0" w:color="548DD4" w:themeColor="text2" w:themeTint="99"/>
            </w:tcBorders>
            <w:vAlign w:val="center"/>
          </w:tcPr>
          <w:p w14:paraId="6935FC3F" w14:textId="784C3E97" w:rsidR="000C41B4" w:rsidRPr="00FA55E8" w:rsidRDefault="0092028E" w:rsidP="0092028E">
            <w:pPr>
              <w:jc w:val="both"/>
              <w:rPr>
                <w:rFonts w:ascii="Calibri" w:hAnsi="Calibri" w:cs="Calibri"/>
                <w:color w:val="808080" w:themeColor="background1" w:themeShade="80"/>
                <w:sz w:val="20"/>
                <w:szCs w:val="20"/>
              </w:rPr>
            </w:pPr>
            <w:r w:rsidRPr="00FA55E8">
              <w:rPr>
                <w:rFonts w:ascii="Calibri" w:hAnsi="Calibri" w:cs="Calibri"/>
                <w:color w:val="808080"/>
                <w:sz w:val="20"/>
                <w:szCs w:val="20"/>
              </w:rPr>
              <w:t>Cause remains cultural norms. We continue to work in Partnership to tackle these.</w:t>
            </w:r>
          </w:p>
        </w:tc>
        <w:tc>
          <w:tcPr>
            <w:tcW w:w="3691" w:type="dxa"/>
            <w:tcBorders>
              <w:top w:val="single" w:sz="4" w:space="0" w:color="548DD4" w:themeColor="text2" w:themeTint="99"/>
              <w:bottom w:val="single" w:sz="4" w:space="0" w:color="548DD4" w:themeColor="text2" w:themeTint="99"/>
            </w:tcBorders>
            <w:vAlign w:val="center"/>
          </w:tcPr>
          <w:p w14:paraId="571AFA17" w14:textId="50E3E7BB" w:rsidR="000C41B4" w:rsidRPr="00FA55E8" w:rsidRDefault="0092028E" w:rsidP="007420DE">
            <w:pPr>
              <w:jc w:val="both"/>
              <w:rPr>
                <w:sz w:val="20"/>
                <w:szCs w:val="20"/>
              </w:rPr>
            </w:pPr>
            <w:r w:rsidRPr="00FA55E8">
              <w:rPr>
                <w:rFonts w:ascii="Calibri" w:hAnsi="Calibri" w:cs="Calibri"/>
                <w:color w:val="808080"/>
                <w:sz w:val="20"/>
                <w:szCs w:val="20"/>
              </w:rPr>
              <w:t xml:space="preserve">In 2023/24, </w:t>
            </w:r>
            <w:r w:rsidR="007420DE">
              <w:rPr>
                <w:rFonts w:ascii="Calibri" w:hAnsi="Calibri" w:cs="Calibri"/>
                <w:color w:val="808080"/>
                <w:sz w:val="20"/>
                <w:szCs w:val="20"/>
              </w:rPr>
              <w:t>Ther</w:t>
            </w:r>
            <w:r w:rsidR="00584BB7">
              <w:rPr>
                <w:rFonts w:ascii="Calibri" w:hAnsi="Calibri" w:cs="Calibri"/>
                <w:color w:val="808080"/>
                <w:sz w:val="20"/>
                <w:szCs w:val="20"/>
              </w:rPr>
              <w:t xml:space="preserve">e will be continued work on EDI </w:t>
            </w:r>
            <w:r w:rsidRPr="00FA55E8">
              <w:rPr>
                <w:rFonts w:ascii="Calibri" w:hAnsi="Calibri" w:cs="Calibri"/>
                <w:color w:val="808080"/>
                <w:sz w:val="20"/>
                <w:szCs w:val="20"/>
              </w:rPr>
              <w:t>actions and increasing opportunities within diverse communities. </w:t>
            </w:r>
          </w:p>
        </w:tc>
      </w:tr>
      <w:tr w:rsidR="006D4551" w:rsidRPr="003A4D73" w14:paraId="730A6FF9" w14:textId="77777777" w:rsidTr="00FA55E8">
        <w:trPr>
          <w:trHeight w:hRule="exact" w:val="1796"/>
          <w:jc w:val="center"/>
        </w:trPr>
        <w:tc>
          <w:tcPr>
            <w:tcW w:w="959" w:type="dxa"/>
            <w:tcBorders>
              <w:top w:val="single" w:sz="4" w:space="0" w:color="548DD4" w:themeColor="text2" w:themeTint="99"/>
              <w:bottom w:val="single" w:sz="4" w:space="0" w:color="548DD4" w:themeColor="text2" w:themeTint="99"/>
            </w:tcBorders>
            <w:vAlign w:val="center"/>
          </w:tcPr>
          <w:p w14:paraId="3307B34F" w14:textId="77777777" w:rsidR="006D4551" w:rsidRPr="003A4D73" w:rsidRDefault="006D4551" w:rsidP="006D4551">
            <w:pPr>
              <w:jc w:val="center"/>
              <w:rPr>
                <w:rFonts w:ascii="Calibri" w:hAnsi="Calibri" w:cs="Calibri"/>
                <w:b/>
                <w:color w:val="FF0000"/>
              </w:rPr>
            </w:pPr>
            <w:r w:rsidRPr="002A1FFB">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49769CF0" w14:textId="77777777" w:rsidR="006D4551" w:rsidRPr="00675DB4" w:rsidRDefault="00D753F5" w:rsidP="006D4551">
            <w:pPr>
              <w:rPr>
                <w:rFonts w:ascii="Calibri" w:hAnsi="Calibri" w:cs="Calibri"/>
                <w:b/>
                <w:iCs/>
                <w:color w:val="808080" w:themeColor="background1" w:themeShade="80"/>
                <w:sz w:val="21"/>
                <w:szCs w:val="21"/>
              </w:rPr>
            </w:pPr>
            <w:hyperlink r:id="rId35" w:history="1">
              <w:r w:rsidR="006D4551" w:rsidRPr="00055F9E">
                <w:rPr>
                  <w:rStyle w:val="Hyperlink"/>
                  <w:rFonts w:ascii="Calibri" w:hAnsi="Calibri" w:cs="Calibri"/>
                  <w:b/>
                  <w:iCs/>
                  <w:color w:val="808080" w:themeColor="background1" w:themeShade="80"/>
                  <w:sz w:val="21"/>
                  <w:szCs w:val="21"/>
                </w:rPr>
                <w:t>Total emissions</w:t>
              </w:r>
            </w:hyperlink>
          </w:p>
        </w:tc>
        <w:tc>
          <w:tcPr>
            <w:tcW w:w="3118" w:type="dxa"/>
            <w:tcBorders>
              <w:top w:val="single" w:sz="4" w:space="0" w:color="548DD4" w:themeColor="text2" w:themeTint="99"/>
              <w:bottom w:val="single" w:sz="4" w:space="0" w:color="548DD4" w:themeColor="text2" w:themeTint="99"/>
            </w:tcBorders>
            <w:vAlign w:val="center"/>
          </w:tcPr>
          <w:p w14:paraId="666F88B7" w14:textId="38B9C355" w:rsidR="006D4551" w:rsidRPr="001F13D5" w:rsidRDefault="008A515F" w:rsidP="006D4551">
            <w:pPr>
              <w:jc w:val="center"/>
              <w:rPr>
                <w:rFonts w:ascii="Calibri" w:hAnsi="Calibri" w:cs="Calibri"/>
                <w:color w:val="808080" w:themeColor="background1" w:themeShade="80"/>
              </w:rPr>
            </w:pPr>
            <w:r>
              <w:rPr>
                <w:rFonts w:ascii="Calibri" w:hAnsi="Calibri" w:cs="Calibri"/>
                <w:i/>
                <w:noProof/>
                <w:lang w:eastAsia="en-GB"/>
              </w:rPr>
              <w:drawing>
                <wp:inline distT="0" distB="0" distL="0" distR="0" wp14:anchorId="498770CA" wp14:editId="206D59B9">
                  <wp:extent cx="1856095" cy="998536"/>
                  <wp:effectExtent l="0" t="0" r="0" b="0"/>
                  <wp:docPr id="20" name="Picture 20"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64139" cy="1056661"/>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5FDCB30A" w14:textId="3C303787" w:rsidR="006D4551" w:rsidRPr="001F13D5" w:rsidRDefault="00036CE2" w:rsidP="006D4551">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424,500</w:t>
            </w:r>
          </w:p>
        </w:tc>
        <w:tc>
          <w:tcPr>
            <w:tcW w:w="3544" w:type="dxa"/>
            <w:tcBorders>
              <w:top w:val="single" w:sz="4" w:space="0" w:color="548DD4" w:themeColor="text2" w:themeTint="99"/>
              <w:bottom w:val="single" w:sz="4" w:space="0" w:color="548DD4" w:themeColor="text2" w:themeTint="99"/>
            </w:tcBorders>
            <w:vAlign w:val="center"/>
          </w:tcPr>
          <w:p w14:paraId="30CD6951" w14:textId="0541C7CA" w:rsidR="006D4551" w:rsidRPr="00FA55E8" w:rsidRDefault="00C06BA4" w:rsidP="006D4551">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These fluctuations were due to Covid-19 regulations and so we have returned to normal levels pre-Covid and so in the future we are likely to increase emissions.</w:t>
            </w:r>
          </w:p>
        </w:tc>
        <w:tc>
          <w:tcPr>
            <w:tcW w:w="3691" w:type="dxa"/>
            <w:tcBorders>
              <w:top w:val="single" w:sz="4" w:space="0" w:color="548DD4" w:themeColor="text2" w:themeTint="99"/>
              <w:bottom w:val="single" w:sz="4" w:space="0" w:color="548DD4" w:themeColor="text2" w:themeTint="99"/>
            </w:tcBorders>
            <w:vAlign w:val="center"/>
          </w:tcPr>
          <w:p w14:paraId="534E045E" w14:textId="3ED57639" w:rsidR="006D4551" w:rsidRPr="00FA55E8" w:rsidRDefault="00C06BA4" w:rsidP="007420DE">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There is ongoing work through Net Zero Projects to reduce building emissions although this is a long process in early days. There is also work transitioning to an electric fle</w:t>
            </w:r>
            <w:r w:rsidR="00C87458">
              <w:rPr>
                <w:rFonts w:ascii="Calibri" w:hAnsi="Calibri" w:cs="Calibri"/>
                <w:color w:val="808080" w:themeColor="background1" w:themeShade="80"/>
                <w:sz w:val="20"/>
                <w:szCs w:val="20"/>
              </w:rPr>
              <w:t xml:space="preserve">et of vehicles. Organisational </w:t>
            </w:r>
            <w:r w:rsidR="007420DE">
              <w:rPr>
                <w:rFonts w:ascii="Calibri" w:hAnsi="Calibri" w:cs="Calibri"/>
                <w:color w:val="808080" w:themeColor="background1" w:themeShade="80"/>
                <w:sz w:val="20"/>
                <w:szCs w:val="20"/>
              </w:rPr>
              <w:t>approach will a</w:t>
            </w:r>
            <w:r w:rsidRPr="00FA55E8">
              <w:rPr>
                <w:rFonts w:ascii="Calibri" w:hAnsi="Calibri" w:cs="Calibri"/>
                <w:color w:val="808080" w:themeColor="background1" w:themeShade="80"/>
                <w:sz w:val="20"/>
                <w:szCs w:val="20"/>
              </w:rPr>
              <w:t>ffect travel emissions in the future.</w:t>
            </w:r>
          </w:p>
        </w:tc>
      </w:tr>
      <w:tr w:rsidR="006D4551" w:rsidRPr="003A4D73" w14:paraId="2489657A" w14:textId="77777777" w:rsidTr="00FA55E8">
        <w:trPr>
          <w:trHeight w:hRule="exact" w:val="2117"/>
          <w:jc w:val="center"/>
        </w:trPr>
        <w:tc>
          <w:tcPr>
            <w:tcW w:w="959" w:type="dxa"/>
            <w:tcBorders>
              <w:top w:val="single" w:sz="4" w:space="0" w:color="548DD4" w:themeColor="text2" w:themeTint="99"/>
              <w:bottom w:val="single" w:sz="4" w:space="0" w:color="548DD4" w:themeColor="text2" w:themeTint="99"/>
            </w:tcBorders>
            <w:vAlign w:val="center"/>
          </w:tcPr>
          <w:p w14:paraId="72769DE3" w14:textId="77777777" w:rsidR="006D4551" w:rsidRPr="003A4D73" w:rsidRDefault="006D4551" w:rsidP="006D4551">
            <w:pPr>
              <w:jc w:val="center"/>
              <w:rPr>
                <w:rFonts w:ascii="Calibri" w:hAnsi="Calibri" w:cs="Calibri"/>
                <w:b/>
                <w:color w:val="FF0000"/>
              </w:rPr>
            </w:pPr>
            <w:r w:rsidRPr="002A1FFB">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4B94062D" w14:textId="77777777" w:rsidR="006D4551" w:rsidRPr="00675DB4" w:rsidRDefault="00D753F5" w:rsidP="006D4551">
            <w:pPr>
              <w:rPr>
                <w:rFonts w:ascii="Calibri" w:hAnsi="Calibri" w:cs="Calibri"/>
                <w:b/>
                <w:iCs/>
                <w:color w:val="808080" w:themeColor="background1" w:themeShade="80"/>
                <w:sz w:val="21"/>
                <w:szCs w:val="21"/>
              </w:rPr>
            </w:pPr>
            <w:hyperlink r:id="rId37" w:history="1">
              <w:r w:rsidR="006D4551" w:rsidRPr="001F13D5">
                <w:rPr>
                  <w:rStyle w:val="Hyperlink"/>
                  <w:rFonts w:ascii="Calibri" w:hAnsi="Calibri" w:cs="Calibri"/>
                  <w:b/>
                  <w:iCs/>
                  <w:color w:val="808080" w:themeColor="background1" w:themeShade="80"/>
                  <w:sz w:val="21"/>
                  <w:szCs w:val="21"/>
                </w:rPr>
                <w:t>Reach in mainstream media</w:t>
              </w:r>
            </w:hyperlink>
          </w:p>
        </w:tc>
        <w:tc>
          <w:tcPr>
            <w:tcW w:w="3118" w:type="dxa"/>
            <w:tcBorders>
              <w:top w:val="single" w:sz="4" w:space="0" w:color="548DD4" w:themeColor="text2" w:themeTint="99"/>
              <w:bottom w:val="single" w:sz="4" w:space="0" w:color="548DD4" w:themeColor="text2" w:themeTint="99"/>
            </w:tcBorders>
            <w:vAlign w:val="center"/>
          </w:tcPr>
          <w:p w14:paraId="08BDB7CE" w14:textId="3C0AA138" w:rsidR="006D4551" w:rsidRPr="003A4D73" w:rsidRDefault="00036CE2" w:rsidP="006D4551">
            <w:pPr>
              <w:jc w:val="center"/>
              <w:rPr>
                <w:rFonts w:ascii="Calibri" w:hAnsi="Calibri" w:cs="Calibri"/>
              </w:rPr>
            </w:pPr>
            <w:r>
              <w:rPr>
                <w:rFonts w:ascii="Calibri" w:hAnsi="Calibri" w:cs="Calibri"/>
                <w:noProof/>
                <w:lang w:eastAsia="en-GB"/>
              </w:rPr>
              <w:drawing>
                <wp:inline distT="0" distB="0" distL="0" distR="0" wp14:anchorId="543817C8" wp14:editId="152B31AC">
                  <wp:extent cx="1911896" cy="552734"/>
                  <wp:effectExtent l="0" t="0" r="0" b="0"/>
                  <wp:docPr id="21" name="Picture 21"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21244" cy="555436"/>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057235FD" w14:textId="77777777" w:rsidR="008A515F" w:rsidRDefault="008A515F" w:rsidP="008A515F">
            <w:pPr>
              <w:rPr>
                <w:rFonts w:cs="Arial"/>
                <w:color w:val="808080"/>
                <w:sz w:val="20"/>
                <w:szCs w:val="20"/>
              </w:rPr>
            </w:pPr>
            <w:r>
              <w:rPr>
                <w:rFonts w:cs="Arial"/>
                <w:color w:val="808080"/>
                <w:sz w:val="20"/>
                <w:szCs w:val="20"/>
              </w:rPr>
              <w:t>228</w:t>
            </w:r>
          </w:p>
          <w:p w14:paraId="650B73AE" w14:textId="098DDFF7" w:rsidR="006D4551" w:rsidRPr="00B173B7" w:rsidRDefault="008A515F" w:rsidP="008A515F">
            <w:pPr>
              <w:jc w:val="center"/>
              <w:rPr>
                <w:rFonts w:ascii="Calibri" w:hAnsi="Calibri" w:cs="Calibri"/>
                <w:color w:val="808080" w:themeColor="background1" w:themeShade="80"/>
                <w:sz w:val="21"/>
                <w:szCs w:val="21"/>
              </w:rPr>
            </w:pPr>
            <w:r>
              <w:rPr>
                <w:rFonts w:ascii="Calibri" w:hAnsi="Calibri" w:cs="Calibri"/>
                <w:color w:val="808080" w:themeColor="background1" w:themeShade="80"/>
              </w:rPr>
              <w:t>Million</w:t>
            </w:r>
          </w:p>
        </w:tc>
        <w:tc>
          <w:tcPr>
            <w:tcW w:w="3544" w:type="dxa"/>
            <w:tcBorders>
              <w:top w:val="single" w:sz="4" w:space="0" w:color="548DD4" w:themeColor="text2" w:themeTint="99"/>
              <w:bottom w:val="single" w:sz="4" w:space="0" w:color="548DD4" w:themeColor="text2" w:themeTint="99"/>
            </w:tcBorders>
            <w:vAlign w:val="center"/>
          </w:tcPr>
          <w:p w14:paraId="58CBEB4C" w14:textId="7C9D1D59" w:rsidR="006D4551" w:rsidRPr="00FA55E8" w:rsidRDefault="006D4551" w:rsidP="00584BB7">
            <w:pPr>
              <w:jc w:val="both"/>
              <w:rPr>
                <w:rFonts w:ascii="Calibri" w:hAnsi="Calibri" w:cs="Calibri"/>
                <w:b/>
                <w:color w:val="808080" w:themeColor="background1" w:themeShade="80"/>
                <w:sz w:val="20"/>
                <w:szCs w:val="20"/>
              </w:rPr>
            </w:pPr>
            <w:r w:rsidRPr="00FA55E8">
              <w:rPr>
                <w:rFonts w:ascii="Calibri" w:hAnsi="Calibri" w:cs="Calibri"/>
                <w:color w:val="808080" w:themeColor="background1" w:themeShade="80"/>
                <w:sz w:val="20"/>
                <w:szCs w:val="20"/>
              </w:rPr>
              <w:t> </w:t>
            </w:r>
            <w:r w:rsidR="00036CE2" w:rsidRPr="00FA55E8">
              <w:rPr>
                <w:rFonts w:ascii="Calibri" w:hAnsi="Calibri" w:cs="Calibri"/>
                <w:color w:val="808080" w:themeColor="background1" w:themeShade="80"/>
                <w:sz w:val="20"/>
                <w:szCs w:val="20"/>
              </w:rPr>
              <w:t>These results continue the strong coverage trend of climate change and nature with similar but higher figures to Q1 (346m) and Q3 (361) but are down from Q2 (519m). This is line with expectations, as Q2 included all media coverage of the avian flu situation at its peak</w:t>
            </w:r>
          </w:p>
        </w:tc>
        <w:tc>
          <w:tcPr>
            <w:tcW w:w="3691" w:type="dxa"/>
            <w:tcBorders>
              <w:top w:val="single" w:sz="4" w:space="0" w:color="548DD4" w:themeColor="text2" w:themeTint="99"/>
              <w:bottom w:val="single" w:sz="4" w:space="0" w:color="548DD4" w:themeColor="text2" w:themeTint="99"/>
            </w:tcBorders>
            <w:vAlign w:val="center"/>
          </w:tcPr>
          <w:p w14:paraId="220E957B" w14:textId="0FD67E1E" w:rsidR="006D4551" w:rsidRPr="00441B0D" w:rsidRDefault="00441B0D" w:rsidP="00584BB7">
            <w:pPr>
              <w:jc w:val="both"/>
              <w:rPr>
                <w:rFonts w:ascii="Calibri" w:hAnsi="Calibri" w:cs="Calibri"/>
                <w:color w:val="808080" w:themeColor="background1" w:themeShade="80"/>
                <w:sz w:val="20"/>
                <w:szCs w:val="20"/>
              </w:rPr>
            </w:pPr>
            <w:r w:rsidRPr="00441B0D">
              <w:rPr>
                <w:rFonts w:ascii="Calibri" w:hAnsi="Calibri" w:cs="Calibri"/>
                <w:color w:val="808080" w:themeColor="background1" w:themeShade="80"/>
                <w:sz w:val="20"/>
                <w:szCs w:val="20"/>
              </w:rPr>
              <w:t>We will continue our work developing strong stories for the media, focussed particularly on biodiversity, marine and wildlife management and expect strong interest in climate change-related issues, HPMA, avian flu and deer management in part</w:t>
            </w:r>
            <w:r>
              <w:rPr>
                <w:rFonts w:ascii="Calibri" w:hAnsi="Calibri" w:cs="Calibri"/>
                <w:color w:val="808080" w:themeColor="background1" w:themeShade="80"/>
                <w:sz w:val="20"/>
                <w:szCs w:val="20"/>
              </w:rPr>
              <w:t>icular.</w:t>
            </w:r>
          </w:p>
        </w:tc>
      </w:tr>
      <w:tr w:rsidR="006D4551" w:rsidRPr="003A4D73" w14:paraId="12BE1F72" w14:textId="77777777" w:rsidTr="000C41B4">
        <w:trPr>
          <w:trHeight w:hRule="exact" w:val="1134"/>
          <w:jc w:val="center"/>
        </w:trPr>
        <w:tc>
          <w:tcPr>
            <w:tcW w:w="959" w:type="dxa"/>
            <w:tcBorders>
              <w:top w:val="single" w:sz="4" w:space="0" w:color="548DD4" w:themeColor="text2" w:themeTint="99"/>
              <w:bottom w:val="single" w:sz="4" w:space="0" w:color="548DD4" w:themeColor="text2" w:themeTint="99"/>
            </w:tcBorders>
            <w:vAlign w:val="center"/>
          </w:tcPr>
          <w:p w14:paraId="4606D256" w14:textId="77777777" w:rsidR="006D4551" w:rsidRPr="00520416" w:rsidRDefault="006D4551" w:rsidP="006D4551">
            <w:pPr>
              <w:jc w:val="center"/>
              <w:rPr>
                <w:rFonts w:ascii="Calibri" w:hAnsi="Calibri" w:cs="Calibri"/>
                <w:b/>
                <w:color w:val="808080" w:themeColor="background1" w:themeShade="80"/>
              </w:rPr>
            </w:pPr>
            <w:r w:rsidRPr="00851105">
              <w:rPr>
                <w:rFonts w:ascii="Calibri" w:hAnsi="Calibri" w:cs="Calibri"/>
                <w:b/>
                <w:color w:val="00B050"/>
              </w:rPr>
              <w:t>GREEN</w:t>
            </w:r>
          </w:p>
        </w:tc>
        <w:tc>
          <w:tcPr>
            <w:tcW w:w="2298" w:type="dxa"/>
            <w:tcBorders>
              <w:top w:val="single" w:sz="4" w:space="0" w:color="548DD4" w:themeColor="text2" w:themeTint="99"/>
              <w:bottom w:val="single" w:sz="4" w:space="0" w:color="548DD4" w:themeColor="text2" w:themeTint="99"/>
            </w:tcBorders>
            <w:vAlign w:val="center"/>
          </w:tcPr>
          <w:p w14:paraId="0EBFFEFE" w14:textId="77777777" w:rsidR="006D4551" w:rsidRPr="00675DB4" w:rsidRDefault="00D753F5" w:rsidP="006D4551">
            <w:pPr>
              <w:rPr>
                <w:rFonts w:ascii="Calibri" w:hAnsi="Calibri" w:cs="Calibri"/>
                <w:b/>
                <w:iCs/>
                <w:color w:val="808080" w:themeColor="background1" w:themeShade="80"/>
                <w:sz w:val="21"/>
                <w:szCs w:val="21"/>
              </w:rPr>
            </w:pPr>
            <w:hyperlink r:id="rId39" w:history="1">
              <w:r w:rsidR="006D4551" w:rsidRPr="00A0017B">
                <w:rPr>
                  <w:rStyle w:val="Hyperlink"/>
                  <w:rFonts w:ascii="Calibri" w:hAnsi="Calibri" w:cs="Calibri"/>
                  <w:b/>
                  <w:iCs/>
                  <w:color w:val="808080" w:themeColor="background1" w:themeShade="80"/>
                  <w:sz w:val="21"/>
                  <w:szCs w:val="21"/>
                </w:rPr>
                <w:t>Impact of public facing campaigns</w:t>
              </w:r>
            </w:hyperlink>
          </w:p>
        </w:tc>
        <w:tc>
          <w:tcPr>
            <w:tcW w:w="3118" w:type="dxa"/>
            <w:tcBorders>
              <w:top w:val="single" w:sz="4" w:space="0" w:color="548DD4" w:themeColor="text2" w:themeTint="99"/>
              <w:bottom w:val="single" w:sz="4" w:space="0" w:color="548DD4" w:themeColor="text2" w:themeTint="99"/>
            </w:tcBorders>
            <w:vAlign w:val="center"/>
          </w:tcPr>
          <w:p w14:paraId="76A61044" w14:textId="1BD946D2" w:rsidR="006D4551" w:rsidRPr="003A4D73" w:rsidRDefault="006D4551" w:rsidP="006D4551">
            <w:pPr>
              <w:jc w:val="center"/>
              <w:rPr>
                <w:rFonts w:ascii="Calibri" w:hAnsi="Calibri" w:cs="Calibri"/>
              </w:rPr>
            </w:pPr>
            <w:r>
              <w:rPr>
                <w:rFonts w:ascii="Calibri" w:hAnsi="Calibri" w:cs="Calibri"/>
                <w:noProof/>
                <w:lang w:eastAsia="en-GB"/>
              </w:rPr>
              <w:drawing>
                <wp:inline distT="0" distB="0" distL="0" distR="0" wp14:anchorId="2801F6E2" wp14:editId="42FDF196">
                  <wp:extent cx="1633220" cy="674370"/>
                  <wp:effectExtent l="0" t="0" r="5080" b="0"/>
                  <wp:docPr id="19" name="Picture 19"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3178" cy="686740"/>
                          </a:xfrm>
                          <a:prstGeom prst="rect">
                            <a:avLst/>
                          </a:prstGeom>
                          <a:noFill/>
                        </pic:spPr>
                      </pic:pic>
                    </a:graphicData>
                  </a:graphic>
                </wp:inline>
              </w:drawing>
            </w:r>
          </w:p>
        </w:tc>
        <w:tc>
          <w:tcPr>
            <w:tcW w:w="996" w:type="dxa"/>
            <w:tcBorders>
              <w:top w:val="single" w:sz="4" w:space="0" w:color="548DD4" w:themeColor="text2" w:themeTint="99"/>
              <w:bottom w:val="single" w:sz="4" w:space="0" w:color="548DD4" w:themeColor="text2" w:themeTint="99"/>
            </w:tcBorders>
            <w:vAlign w:val="center"/>
          </w:tcPr>
          <w:p w14:paraId="5BCAF12B" w14:textId="560344B4" w:rsidR="006D4551" w:rsidRPr="003D306D" w:rsidRDefault="00036CE2" w:rsidP="006D4551">
            <w:pPr>
              <w:jc w:val="center"/>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3.7 Million</w:t>
            </w:r>
          </w:p>
        </w:tc>
        <w:tc>
          <w:tcPr>
            <w:tcW w:w="3544" w:type="dxa"/>
            <w:tcBorders>
              <w:top w:val="single" w:sz="4" w:space="0" w:color="548DD4" w:themeColor="text2" w:themeTint="99"/>
              <w:bottom w:val="single" w:sz="4" w:space="0" w:color="548DD4" w:themeColor="text2" w:themeTint="99"/>
            </w:tcBorders>
            <w:vAlign w:val="center"/>
          </w:tcPr>
          <w:p w14:paraId="1392F131" w14:textId="77777777" w:rsidR="006D4551" w:rsidRPr="00FA55E8" w:rsidRDefault="006D4551" w:rsidP="006D4551">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Summer campaign covered Q1&amp;2. Very strong dwell time on campaign web pages and social media Click Through Rate</w:t>
            </w:r>
          </w:p>
        </w:tc>
        <w:tc>
          <w:tcPr>
            <w:tcW w:w="3691" w:type="dxa"/>
            <w:tcBorders>
              <w:top w:val="single" w:sz="4" w:space="0" w:color="548DD4" w:themeColor="text2" w:themeTint="99"/>
              <w:bottom w:val="single" w:sz="4" w:space="0" w:color="548DD4" w:themeColor="text2" w:themeTint="99"/>
            </w:tcBorders>
            <w:vAlign w:val="center"/>
          </w:tcPr>
          <w:p w14:paraId="073B8DDE" w14:textId="77777777" w:rsidR="006D4551" w:rsidRPr="00FA55E8" w:rsidRDefault="006D4551" w:rsidP="00584BB7">
            <w:pPr>
              <w:jc w:val="both"/>
              <w:rPr>
                <w:rFonts w:ascii="Calibri" w:hAnsi="Calibri" w:cs="Calibri"/>
                <w:color w:val="808080" w:themeColor="background1" w:themeShade="80"/>
                <w:sz w:val="20"/>
                <w:szCs w:val="20"/>
              </w:rPr>
            </w:pPr>
            <w:r w:rsidRPr="00FA55E8">
              <w:rPr>
                <w:rFonts w:ascii="Calibri" w:hAnsi="Calibri" w:cs="Calibri"/>
                <w:color w:val="808080" w:themeColor="background1" w:themeShade="80"/>
                <w:sz w:val="20"/>
                <w:szCs w:val="20"/>
              </w:rPr>
              <w:t>Social media and radio boosts to Click Through Rate and web traffic with continued targeted campaigns</w:t>
            </w:r>
          </w:p>
        </w:tc>
      </w:tr>
    </w:tbl>
    <w:p w14:paraId="156420CE" w14:textId="48D7BFBC" w:rsidR="000419B1" w:rsidRDefault="000419B1" w:rsidP="000419B1">
      <w:pPr>
        <w:rPr>
          <w:rFonts w:ascii="Calibri" w:hAnsi="Calibri" w:cs="Calibri"/>
          <w:szCs w:val="24"/>
        </w:rPr>
      </w:pPr>
    </w:p>
    <w:p w14:paraId="426D0D38" w14:textId="77777777" w:rsidR="00F550D1" w:rsidRPr="00F550D1" w:rsidRDefault="00F550D1" w:rsidP="00F550D1">
      <w:pPr>
        <w:keepNext/>
        <w:keepLines/>
        <w:spacing w:before="40" w:after="0" w:line="259" w:lineRule="auto"/>
        <w:outlineLvl w:val="1"/>
        <w:rPr>
          <w:rFonts w:ascii="Calibri" w:eastAsiaTheme="majorEastAsia" w:hAnsi="Calibri" w:cs="Calibri"/>
          <w:b/>
          <w:color w:val="007DC3"/>
          <w:szCs w:val="26"/>
        </w:rPr>
      </w:pPr>
      <w:r w:rsidRPr="00F550D1">
        <w:rPr>
          <w:rFonts w:ascii="Calibri" w:eastAsiaTheme="majorEastAsia" w:hAnsi="Calibri" w:cs="Calibri"/>
          <w:b/>
          <w:color w:val="007DC3"/>
          <w:szCs w:val="26"/>
        </w:rPr>
        <w:t>PERFORMANCE REPORT</w:t>
      </w:r>
    </w:p>
    <w:p w14:paraId="6CA0F23C" w14:textId="77777777" w:rsidR="00F550D1" w:rsidRPr="00F550D1" w:rsidRDefault="00F550D1" w:rsidP="00F550D1">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t>WE HAVE PROTECTED NATURE</w:t>
      </w:r>
    </w:p>
    <w:tbl>
      <w:tblPr>
        <w:tblStyle w:val="PlainTable13"/>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PROTECTED NATURE Q1 UPDATE"/>
      </w:tblPr>
      <w:tblGrid>
        <w:gridCol w:w="3544"/>
        <w:gridCol w:w="1559"/>
        <w:gridCol w:w="993"/>
        <w:gridCol w:w="8466"/>
      </w:tblGrid>
      <w:tr w:rsidR="00F550D1" w:rsidRPr="00F550D1" w14:paraId="58C27995" w14:textId="77777777" w:rsidTr="009E022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579E047" w14:textId="77777777" w:rsidR="00F550D1" w:rsidRPr="00F550D1" w:rsidRDefault="00F550D1" w:rsidP="00F550D1">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5F9E06FE" w14:textId="77777777" w:rsidR="00F550D1" w:rsidRPr="00F550D1" w:rsidRDefault="00F550D1"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4C7F1A36" w14:textId="77777777" w:rsidR="00F550D1" w:rsidRPr="00F550D1" w:rsidRDefault="00F550D1"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431D5E96" w14:textId="44482881" w:rsidR="00F550D1" w:rsidRPr="00F550D1" w:rsidRDefault="00C531FB"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Q4</w:t>
            </w:r>
            <w:r w:rsidR="00F550D1" w:rsidRPr="00F550D1">
              <w:rPr>
                <w:rFonts w:ascii="Calibri" w:hAnsi="Calibri" w:cs="Calibri"/>
                <w:szCs w:val="26"/>
              </w:rPr>
              <w:t xml:space="preserve"> UPDATE</w:t>
            </w:r>
          </w:p>
        </w:tc>
      </w:tr>
      <w:tr w:rsidR="00F550D1" w:rsidRPr="00F550D1" w14:paraId="7E87BB9C" w14:textId="77777777" w:rsidTr="009E022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7BF21D8" w14:textId="77777777" w:rsidR="00F550D1" w:rsidRPr="00F550D1" w:rsidRDefault="00F550D1" w:rsidP="00F550D1">
            <w:pPr>
              <w:rPr>
                <w:rFonts w:ascii="Calibri" w:hAnsi="Calibri" w:cs="Calibri"/>
                <w:b w:val="0"/>
                <w:color w:val="000000"/>
              </w:rPr>
            </w:pPr>
            <w:r w:rsidRPr="00F550D1">
              <w:rPr>
                <w:rFonts w:ascii="Calibri" w:hAnsi="Calibri" w:cs="Calibri"/>
                <w:b w:val="0"/>
                <w:color w:val="000000"/>
              </w:rPr>
              <w:t>Lead the delivery of 30% of land and sea being protected by 2030</w:t>
            </w:r>
          </w:p>
        </w:tc>
        <w:tc>
          <w:tcPr>
            <w:tcW w:w="1559" w:type="dxa"/>
            <w:vAlign w:val="center"/>
          </w:tcPr>
          <w:p w14:paraId="3A8237B5" w14:textId="77777777" w:rsidR="00F550D1" w:rsidRPr="00F550D1" w:rsidRDefault="00F550D1" w:rsidP="00F550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3" w:type="dxa"/>
            <w:shd w:val="clear" w:color="auto" w:fill="9BBB59" w:themeFill="accent3"/>
            <w:vAlign w:val="center"/>
          </w:tcPr>
          <w:p w14:paraId="309FE53C" w14:textId="77777777" w:rsidR="00F550D1" w:rsidRPr="00F550D1" w:rsidRDefault="00F550D1" w:rsidP="00F550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F550D1">
              <w:rPr>
                <w:rFonts w:ascii="Calibri" w:hAnsi="Calibri" w:cs="Calibri"/>
                <w:b/>
              </w:rPr>
              <w:t>GREEN</w:t>
            </w:r>
          </w:p>
        </w:tc>
        <w:tc>
          <w:tcPr>
            <w:tcW w:w="8466" w:type="dxa"/>
            <w:vAlign w:val="center"/>
          </w:tcPr>
          <w:p w14:paraId="4EB527C7" w14:textId="77777777" w:rsidR="00393BD7" w:rsidRPr="00393BD7" w:rsidRDefault="00393BD7" w:rsidP="003E7B6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National Parks - advice finalised and published (target met) with support to Scottish Government in taking forward the next steps under way.</w:t>
            </w:r>
          </w:p>
          <w:p w14:paraId="16C3CA19" w14:textId="77777777" w:rsidR="00393BD7" w:rsidRPr="00393BD7" w:rsidRDefault="00393BD7" w:rsidP="003E7B6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30x30 and Nature Networks: Framework consultation planned for Q1 2023. On target to achieve this. Ready to move to next Phase of work (Policy development, Legislation, Systems, Approach).</w:t>
            </w:r>
          </w:p>
          <w:p w14:paraId="702CDB86" w14:textId="77777777" w:rsidR="00393BD7" w:rsidRPr="00393BD7" w:rsidRDefault="00393BD7" w:rsidP="003E7B6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Marine protection: Consultation on Highly Protected Marine Areas (HMPA) policy framework and site selection guidelines completed including online stakeholder events. </w:t>
            </w:r>
          </w:p>
          <w:p w14:paraId="03EE9799" w14:textId="77777777" w:rsidR="00393BD7" w:rsidRPr="00393BD7" w:rsidRDefault="00393BD7" w:rsidP="003E7B6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HPMA strategic group established between NatureScot and Marine Scotland (MS), to develop shared oversight and understanding of risks.  </w:t>
            </w:r>
          </w:p>
          <w:p w14:paraId="558F8900" w14:textId="733A7C0E" w:rsidR="00F550D1" w:rsidRPr="00F550D1" w:rsidRDefault="00393BD7" w:rsidP="003E7B6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Special Protected Areas management advice delayed.  Deadline for Marine Protected Areas &amp; Priority Marine Features work – revised from March 2024 to end 2024.  </w:t>
            </w:r>
          </w:p>
        </w:tc>
      </w:tr>
      <w:tr w:rsidR="00F550D1" w:rsidRPr="00F550D1" w14:paraId="729A5448" w14:textId="77777777" w:rsidTr="009E022E">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8353E1E" w14:textId="77777777" w:rsidR="00F550D1" w:rsidRPr="00F550D1" w:rsidRDefault="00F550D1" w:rsidP="00F550D1">
            <w:pPr>
              <w:rPr>
                <w:rFonts w:ascii="Calibri" w:hAnsi="Calibri" w:cs="Calibri"/>
                <w:b w:val="0"/>
                <w:color w:val="000000"/>
              </w:rPr>
            </w:pPr>
            <w:r w:rsidRPr="00F550D1">
              <w:rPr>
                <w:rFonts w:ascii="Calibri" w:hAnsi="Calibri" w:cs="Calibri"/>
                <w:b w:val="0"/>
                <w:color w:val="000000"/>
              </w:rPr>
              <w:lastRenderedPageBreak/>
              <w:t>Build stronger collaboration reducing the impacts of deer and modernise our wildlife management and underpinning licencing functions to enable a net zero and nature positive future</w:t>
            </w:r>
          </w:p>
        </w:tc>
        <w:tc>
          <w:tcPr>
            <w:tcW w:w="1559" w:type="dxa"/>
            <w:vAlign w:val="center"/>
          </w:tcPr>
          <w:p w14:paraId="6D9CD4D8" w14:textId="77777777" w:rsidR="00F550D1" w:rsidRPr="00F550D1" w:rsidRDefault="00F550D1" w:rsidP="00F550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3" w:type="dxa"/>
            <w:shd w:val="clear" w:color="auto" w:fill="9BBB59" w:themeFill="accent3"/>
            <w:vAlign w:val="center"/>
          </w:tcPr>
          <w:p w14:paraId="349E5B67" w14:textId="77777777" w:rsidR="00F550D1" w:rsidRPr="00F550D1" w:rsidRDefault="00F550D1" w:rsidP="00F550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F550D1">
              <w:rPr>
                <w:rFonts w:ascii="Calibri" w:hAnsi="Calibri" w:cs="Calibri"/>
                <w:b/>
              </w:rPr>
              <w:t>G</w:t>
            </w:r>
            <w:r w:rsidRPr="00F550D1">
              <w:rPr>
                <w:rFonts w:ascii="Calibri" w:hAnsi="Calibri" w:cs="Calibri"/>
                <w:b/>
                <w:shd w:val="clear" w:color="auto" w:fill="9BBB59" w:themeFill="accent3"/>
              </w:rPr>
              <w:t>REE</w:t>
            </w:r>
            <w:r w:rsidRPr="00F550D1">
              <w:rPr>
                <w:rFonts w:ascii="Calibri" w:hAnsi="Calibri" w:cs="Calibri"/>
                <w:b/>
              </w:rPr>
              <w:t>N</w:t>
            </w:r>
          </w:p>
        </w:tc>
        <w:tc>
          <w:tcPr>
            <w:tcW w:w="8466" w:type="dxa"/>
            <w:vAlign w:val="center"/>
          </w:tcPr>
          <w:p w14:paraId="40AAE6EC" w14:textId="289BCAAE" w:rsidR="002D216A" w:rsidRPr="00C531FB" w:rsidRDefault="002D216A" w:rsidP="003E7B62">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The</w:t>
            </w:r>
            <w:r w:rsidR="007F5150">
              <w:rPr>
                <w:rFonts w:ascii="Calibri" w:hAnsi="Calibri" w:cs="Calibri"/>
                <w:color w:val="000000"/>
                <w:szCs w:val="24"/>
              </w:rPr>
              <w:t xml:space="preserve"> </w:t>
            </w:r>
            <w:r w:rsidRPr="00C531FB">
              <w:rPr>
                <w:rFonts w:ascii="Calibri" w:hAnsi="Calibri" w:cs="Calibri"/>
                <w:color w:val="000000"/>
                <w:szCs w:val="24"/>
              </w:rPr>
              <w:t xml:space="preserve">Strategic </w:t>
            </w:r>
            <w:r>
              <w:rPr>
                <w:rFonts w:ascii="Calibri" w:hAnsi="Calibri" w:cs="Calibri"/>
                <w:color w:val="000000"/>
                <w:szCs w:val="24"/>
              </w:rPr>
              <w:t xml:space="preserve">Deer </w:t>
            </w:r>
            <w:r w:rsidRPr="00C531FB">
              <w:rPr>
                <w:rFonts w:ascii="Calibri" w:hAnsi="Calibri" w:cs="Calibri"/>
                <w:color w:val="000000"/>
                <w:szCs w:val="24"/>
              </w:rPr>
              <w:t xml:space="preserve">Board </w:t>
            </w:r>
            <w:r>
              <w:rPr>
                <w:rFonts w:ascii="Calibri" w:hAnsi="Calibri" w:cs="Calibri"/>
                <w:color w:val="000000"/>
                <w:szCs w:val="24"/>
              </w:rPr>
              <w:t>is now well established</w:t>
            </w:r>
            <w:r w:rsidR="007F5150">
              <w:rPr>
                <w:rFonts w:ascii="Calibri" w:hAnsi="Calibri" w:cs="Calibri"/>
                <w:color w:val="000000"/>
                <w:szCs w:val="24"/>
              </w:rPr>
              <w:t xml:space="preserve"> </w:t>
            </w:r>
            <w:r w:rsidRPr="00C531FB">
              <w:rPr>
                <w:rFonts w:ascii="Calibri" w:hAnsi="Calibri" w:cs="Calibri"/>
                <w:color w:val="000000"/>
                <w:szCs w:val="24"/>
              </w:rPr>
              <w:t xml:space="preserve">with </w:t>
            </w:r>
            <w:r>
              <w:rPr>
                <w:rFonts w:ascii="Calibri" w:hAnsi="Calibri" w:cs="Calibri"/>
                <w:color w:val="000000"/>
                <w:szCs w:val="24"/>
              </w:rPr>
              <w:t xml:space="preserve">follow up engagement with Deer Management Round Table. </w:t>
            </w:r>
            <w:r w:rsidRPr="00C531FB">
              <w:rPr>
                <w:rFonts w:ascii="Calibri" w:hAnsi="Calibri" w:cs="Calibri"/>
                <w:color w:val="000000"/>
                <w:szCs w:val="24"/>
              </w:rPr>
              <w:t>Legislati</w:t>
            </w:r>
            <w:r>
              <w:rPr>
                <w:rFonts w:ascii="Calibri" w:hAnsi="Calibri" w:cs="Calibri"/>
                <w:color w:val="000000"/>
                <w:szCs w:val="24"/>
              </w:rPr>
              <w:t>ve proposals and incentive options are progressing</w:t>
            </w:r>
            <w:r w:rsidRPr="00C531FB">
              <w:rPr>
                <w:rFonts w:ascii="Calibri" w:hAnsi="Calibri" w:cs="Calibri"/>
                <w:color w:val="000000"/>
                <w:szCs w:val="24"/>
              </w:rPr>
              <w:t xml:space="preserve"> </w:t>
            </w:r>
            <w:r>
              <w:rPr>
                <w:rFonts w:ascii="Calibri" w:hAnsi="Calibri" w:cs="Calibri"/>
                <w:color w:val="000000"/>
                <w:szCs w:val="24"/>
              </w:rPr>
              <w:t>for</w:t>
            </w:r>
            <w:r w:rsidRPr="00C531FB">
              <w:rPr>
                <w:rFonts w:ascii="Calibri" w:hAnsi="Calibri" w:cs="Calibri"/>
                <w:color w:val="000000"/>
                <w:szCs w:val="24"/>
              </w:rPr>
              <w:t xml:space="preserve"> Ministerial steer. Operational </w:t>
            </w:r>
            <w:r>
              <w:rPr>
                <w:rFonts w:ascii="Calibri" w:hAnsi="Calibri" w:cs="Calibri"/>
                <w:color w:val="000000"/>
                <w:szCs w:val="24"/>
              </w:rPr>
              <w:t xml:space="preserve">Priorities have been agreed </w:t>
            </w:r>
            <w:r w:rsidRPr="00C531FB">
              <w:rPr>
                <w:rFonts w:ascii="Calibri" w:hAnsi="Calibri" w:cs="Calibri"/>
                <w:color w:val="000000"/>
                <w:szCs w:val="24"/>
              </w:rPr>
              <w:t>to achieve 10 deer/ km in D</w:t>
            </w:r>
            <w:r>
              <w:rPr>
                <w:rFonts w:ascii="Calibri" w:hAnsi="Calibri" w:cs="Calibri"/>
                <w:color w:val="000000"/>
                <w:szCs w:val="24"/>
              </w:rPr>
              <w:t xml:space="preserve">eer </w:t>
            </w:r>
            <w:r w:rsidRPr="00C531FB">
              <w:rPr>
                <w:rFonts w:ascii="Calibri" w:hAnsi="Calibri" w:cs="Calibri"/>
                <w:color w:val="000000"/>
                <w:szCs w:val="24"/>
              </w:rPr>
              <w:t>M</w:t>
            </w:r>
            <w:r>
              <w:rPr>
                <w:rFonts w:ascii="Calibri" w:hAnsi="Calibri" w:cs="Calibri"/>
                <w:color w:val="000000"/>
                <w:szCs w:val="24"/>
              </w:rPr>
              <w:t xml:space="preserve">anagement </w:t>
            </w:r>
            <w:r w:rsidRPr="00C531FB">
              <w:rPr>
                <w:rFonts w:ascii="Calibri" w:hAnsi="Calibri" w:cs="Calibri"/>
                <w:color w:val="000000"/>
                <w:szCs w:val="24"/>
              </w:rPr>
              <w:t>G</w:t>
            </w:r>
            <w:r>
              <w:rPr>
                <w:rFonts w:ascii="Calibri" w:hAnsi="Calibri" w:cs="Calibri"/>
                <w:color w:val="000000"/>
                <w:szCs w:val="24"/>
              </w:rPr>
              <w:t>roup</w:t>
            </w:r>
            <w:r w:rsidRPr="00C531FB">
              <w:rPr>
                <w:rFonts w:ascii="Calibri" w:hAnsi="Calibri" w:cs="Calibri"/>
                <w:color w:val="000000"/>
                <w:szCs w:val="24"/>
              </w:rPr>
              <w:t xml:space="preserve">s </w:t>
            </w:r>
            <w:r>
              <w:rPr>
                <w:rFonts w:ascii="Calibri" w:hAnsi="Calibri" w:cs="Calibri"/>
                <w:color w:val="000000"/>
                <w:szCs w:val="24"/>
              </w:rPr>
              <w:t>with</w:t>
            </w:r>
            <w:r w:rsidRPr="00C531FB">
              <w:rPr>
                <w:rFonts w:ascii="Calibri" w:hAnsi="Calibri" w:cs="Calibri"/>
                <w:color w:val="000000"/>
                <w:szCs w:val="24"/>
              </w:rPr>
              <w:t xml:space="preserve"> highest densities. Regulatory measures utilised in Loch </w:t>
            </w:r>
            <w:proofErr w:type="spellStart"/>
            <w:r w:rsidRPr="00C531FB">
              <w:rPr>
                <w:rFonts w:ascii="Calibri" w:hAnsi="Calibri" w:cs="Calibri"/>
                <w:color w:val="000000"/>
                <w:szCs w:val="24"/>
              </w:rPr>
              <w:t>Choire</w:t>
            </w:r>
            <w:proofErr w:type="spellEnd"/>
            <w:r w:rsidRPr="00C531FB">
              <w:rPr>
                <w:rFonts w:ascii="Calibri" w:hAnsi="Calibri" w:cs="Calibri"/>
                <w:color w:val="000000"/>
                <w:szCs w:val="24"/>
              </w:rPr>
              <w:t xml:space="preserve"> and S7 agreement </w:t>
            </w:r>
            <w:r>
              <w:rPr>
                <w:rFonts w:ascii="Calibri" w:hAnsi="Calibri" w:cs="Calibri"/>
                <w:color w:val="000000"/>
                <w:szCs w:val="24"/>
              </w:rPr>
              <w:t xml:space="preserve">secured </w:t>
            </w:r>
            <w:r w:rsidRPr="00C531FB">
              <w:rPr>
                <w:rFonts w:ascii="Calibri" w:hAnsi="Calibri" w:cs="Calibri"/>
                <w:color w:val="000000"/>
                <w:szCs w:val="24"/>
              </w:rPr>
              <w:t xml:space="preserve">at </w:t>
            </w:r>
            <w:proofErr w:type="spellStart"/>
            <w:r w:rsidRPr="00C531FB">
              <w:rPr>
                <w:rFonts w:ascii="Calibri" w:hAnsi="Calibri" w:cs="Calibri"/>
                <w:color w:val="000000"/>
                <w:szCs w:val="24"/>
              </w:rPr>
              <w:t>Caenlochan</w:t>
            </w:r>
            <w:proofErr w:type="spellEnd"/>
            <w:r w:rsidRPr="00C531FB">
              <w:rPr>
                <w:rFonts w:ascii="Calibri" w:hAnsi="Calibri" w:cs="Calibri"/>
                <w:color w:val="000000"/>
                <w:szCs w:val="24"/>
              </w:rPr>
              <w:t>.</w:t>
            </w:r>
          </w:p>
          <w:p w14:paraId="7769B95B" w14:textId="77777777" w:rsidR="002D216A" w:rsidRPr="00C531FB" w:rsidRDefault="002D216A" w:rsidP="003E7B62">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 xml:space="preserve">The </w:t>
            </w:r>
            <w:r w:rsidRPr="00C531FB">
              <w:rPr>
                <w:rFonts w:ascii="Calibri" w:hAnsi="Calibri" w:cs="Calibri"/>
                <w:color w:val="000000"/>
                <w:szCs w:val="24"/>
              </w:rPr>
              <w:t>Huntin</w:t>
            </w:r>
            <w:r>
              <w:rPr>
                <w:rFonts w:ascii="Calibri" w:hAnsi="Calibri" w:cs="Calibri"/>
                <w:color w:val="000000"/>
                <w:szCs w:val="24"/>
              </w:rPr>
              <w:t xml:space="preserve">g with Dogs Bill has concluded and </w:t>
            </w:r>
            <w:r w:rsidRPr="00C531FB">
              <w:rPr>
                <w:rFonts w:ascii="Calibri" w:hAnsi="Calibri" w:cs="Calibri"/>
                <w:color w:val="000000"/>
                <w:szCs w:val="24"/>
              </w:rPr>
              <w:t>our licensing approach and guidance</w:t>
            </w:r>
            <w:r>
              <w:rPr>
                <w:rFonts w:ascii="Calibri" w:hAnsi="Calibri" w:cs="Calibri"/>
                <w:color w:val="000000"/>
                <w:szCs w:val="24"/>
              </w:rPr>
              <w:t xml:space="preserve"> is nearing completion</w:t>
            </w:r>
            <w:r w:rsidRPr="00C531FB">
              <w:rPr>
                <w:rFonts w:ascii="Calibri" w:hAnsi="Calibri" w:cs="Calibri"/>
                <w:color w:val="000000"/>
                <w:szCs w:val="24"/>
              </w:rPr>
              <w:t xml:space="preserve">. </w:t>
            </w:r>
          </w:p>
          <w:p w14:paraId="2DF8DF28" w14:textId="00F5373C" w:rsidR="002D216A" w:rsidRPr="00C531FB" w:rsidRDefault="007F5150" w:rsidP="003E7B62">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Online l</w:t>
            </w:r>
            <w:r w:rsidR="002D216A" w:rsidRPr="00C531FB">
              <w:rPr>
                <w:rFonts w:ascii="Calibri" w:hAnsi="Calibri" w:cs="Calibri"/>
                <w:color w:val="000000"/>
                <w:szCs w:val="24"/>
              </w:rPr>
              <w:t xml:space="preserve">icensing progressing but </w:t>
            </w:r>
            <w:r w:rsidR="002D216A">
              <w:rPr>
                <w:rFonts w:ascii="Calibri" w:hAnsi="Calibri" w:cs="Calibri"/>
                <w:color w:val="000000"/>
                <w:szCs w:val="24"/>
              </w:rPr>
              <w:t xml:space="preserve">competing demands for limited staff </w:t>
            </w:r>
            <w:r w:rsidR="002D216A" w:rsidRPr="00C531FB">
              <w:rPr>
                <w:rFonts w:ascii="Calibri" w:hAnsi="Calibri" w:cs="Calibri"/>
                <w:color w:val="000000"/>
                <w:szCs w:val="24"/>
              </w:rPr>
              <w:t>resourc</w:t>
            </w:r>
            <w:r w:rsidR="002D216A">
              <w:rPr>
                <w:rFonts w:ascii="Calibri" w:hAnsi="Calibri" w:cs="Calibri"/>
                <w:color w:val="000000"/>
                <w:szCs w:val="24"/>
              </w:rPr>
              <w:t>e</w:t>
            </w:r>
            <w:r w:rsidR="002D216A" w:rsidRPr="00C531FB">
              <w:rPr>
                <w:rFonts w:ascii="Calibri" w:hAnsi="Calibri" w:cs="Calibri"/>
                <w:color w:val="000000"/>
                <w:szCs w:val="24"/>
              </w:rPr>
              <w:t xml:space="preserve"> </w:t>
            </w:r>
            <w:r w:rsidR="002D216A">
              <w:rPr>
                <w:rFonts w:ascii="Calibri" w:hAnsi="Calibri" w:cs="Calibri"/>
                <w:color w:val="000000"/>
                <w:szCs w:val="24"/>
              </w:rPr>
              <w:t xml:space="preserve">has slowed </w:t>
            </w:r>
            <w:r w:rsidR="002D216A" w:rsidRPr="00C531FB">
              <w:rPr>
                <w:rFonts w:ascii="Calibri" w:hAnsi="Calibri" w:cs="Calibri"/>
                <w:color w:val="000000"/>
                <w:szCs w:val="24"/>
              </w:rPr>
              <w:t>progress. General licence restrictions have been put in place on 3 properties.</w:t>
            </w:r>
          </w:p>
          <w:p w14:paraId="3F95C830" w14:textId="1AA0EA8C" w:rsidR="002D216A" w:rsidRPr="00C531FB" w:rsidRDefault="002D216A" w:rsidP="003E7B62">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C531FB">
              <w:rPr>
                <w:rFonts w:ascii="Calibri" w:hAnsi="Calibri" w:cs="Calibri"/>
                <w:color w:val="000000"/>
                <w:szCs w:val="24"/>
              </w:rPr>
              <w:t xml:space="preserve">Scottish Beaver Advisory Group </w:t>
            </w:r>
            <w:r w:rsidR="007F5150">
              <w:rPr>
                <w:rFonts w:ascii="Calibri" w:hAnsi="Calibri" w:cs="Calibri"/>
                <w:color w:val="000000"/>
                <w:szCs w:val="24"/>
              </w:rPr>
              <w:t>has been established</w:t>
            </w:r>
            <w:r w:rsidRPr="00C531FB">
              <w:rPr>
                <w:rFonts w:ascii="Calibri" w:hAnsi="Calibri" w:cs="Calibri"/>
                <w:color w:val="000000"/>
                <w:szCs w:val="24"/>
              </w:rPr>
              <w:t xml:space="preserve"> and will meet</w:t>
            </w:r>
            <w:r>
              <w:rPr>
                <w:rFonts w:ascii="Calibri" w:hAnsi="Calibri" w:cs="Calibri"/>
                <w:color w:val="000000"/>
                <w:szCs w:val="24"/>
              </w:rPr>
              <w:t xml:space="preserve"> on a</w:t>
            </w:r>
            <w:r w:rsidR="007F5150">
              <w:rPr>
                <w:rFonts w:ascii="Calibri" w:hAnsi="Calibri" w:cs="Calibri"/>
                <w:color w:val="000000"/>
                <w:szCs w:val="24"/>
              </w:rPr>
              <w:t xml:space="preserve"> </w:t>
            </w:r>
            <w:r w:rsidRPr="00C531FB">
              <w:rPr>
                <w:rFonts w:ascii="Calibri" w:hAnsi="Calibri" w:cs="Calibri"/>
                <w:color w:val="000000"/>
                <w:szCs w:val="24"/>
              </w:rPr>
              <w:t>quarterly basis. Trapping and translocations hav</w:t>
            </w:r>
            <w:r>
              <w:rPr>
                <w:rFonts w:ascii="Calibri" w:hAnsi="Calibri" w:cs="Calibri"/>
                <w:color w:val="000000"/>
                <w:szCs w:val="24"/>
              </w:rPr>
              <w:t xml:space="preserve">e increased over the year, </w:t>
            </w:r>
            <w:r w:rsidRPr="00C531FB">
              <w:rPr>
                <w:rFonts w:ascii="Calibri" w:hAnsi="Calibri" w:cs="Calibri"/>
                <w:color w:val="000000"/>
                <w:szCs w:val="24"/>
              </w:rPr>
              <w:t xml:space="preserve">figures </w:t>
            </w:r>
            <w:r>
              <w:rPr>
                <w:rFonts w:ascii="Calibri" w:hAnsi="Calibri" w:cs="Calibri"/>
                <w:color w:val="000000"/>
                <w:szCs w:val="24"/>
              </w:rPr>
              <w:t>are due to be</w:t>
            </w:r>
            <w:r w:rsidR="007F5150">
              <w:rPr>
                <w:rFonts w:ascii="Calibri" w:hAnsi="Calibri" w:cs="Calibri"/>
                <w:color w:val="000000"/>
                <w:szCs w:val="24"/>
              </w:rPr>
              <w:t xml:space="preserve"> </w:t>
            </w:r>
            <w:r w:rsidRPr="00C531FB">
              <w:rPr>
                <w:rFonts w:ascii="Calibri" w:hAnsi="Calibri" w:cs="Calibri"/>
                <w:color w:val="000000"/>
                <w:szCs w:val="24"/>
              </w:rPr>
              <w:t>published end Q1.</w:t>
            </w:r>
          </w:p>
          <w:p w14:paraId="40C221E0" w14:textId="702DBE4A" w:rsidR="00F550D1" w:rsidRPr="00F550D1" w:rsidRDefault="002D216A" w:rsidP="003E7B62">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C531FB">
              <w:rPr>
                <w:rFonts w:ascii="Calibri" w:hAnsi="Calibri" w:cs="Calibri"/>
                <w:color w:val="000000"/>
                <w:szCs w:val="24"/>
              </w:rPr>
              <w:t>Ongoing work to support Scottish Task Force on HPAI with plans for monitoring impact and effects being taken forwar</w:t>
            </w:r>
            <w:r>
              <w:rPr>
                <w:rFonts w:ascii="Calibri" w:hAnsi="Calibri" w:cs="Calibri"/>
                <w:color w:val="000000"/>
                <w:szCs w:val="24"/>
              </w:rPr>
              <w:t>d.</w:t>
            </w:r>
          </w:p>
        </w:tc>
      </w:tr>
      <w:tr w:rsidR="00F550D1" w:rsidRPr="00F550D1" w14:paraId="5CAFD0A9" w14:textId="77777777" w:rsidTr="009E022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5A03A0E" w14:textId="77777777" w:rsidR="00F550D1" w:rsidRPr="00F550D1" w:rsidRDefault="00F550D1" w:rsidP="00F550D1">
            <w:pPr>
              <w:rPr>
                <w:rFonts w:ascii="Calibri" w:hAnsi="Calibri" w:cs="Calibri"/>
                <w:b w:val="0"/>
                <w:color w:val="000000"/>
              </w:rPr>
            </w:pPr>
            <w:r w:rsidRPr="00F550D1">
              <w:rPr>
                <w:rFonts w:ascii="Calibri" w:hAnsi="Calibri" w:cs="Calibri"/>
                <w:b w:val="0"/>
                <w:color w:val="000000"/>
              </w:rPr>
              <w:lastRenderedPageBreak/>
              <w:t>Engage and influence planning and other regulatory systems to ensure they deliver for nature and climate</w:t>
            </w:r>
          </w:p>
        </w:tc>
        <w:tc>
          <w:tcPr>
            <w:tcW w:w="1559" w:type="dxa"/>
            <w:vAlign w:val="center"/>
          </w:tcPr>
          <w:p w14:paraId="0EDFF425" w14:textId="77777777" w:rsidR="00F550D1" w:rsidRPr="00F550D1" w:rsidRDefault="00F550D1" w:rsidP="00F550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3" w:type="dxa"/>
            <w:shd w:val="clear" w:color="auto" w:fill="9BBB59" w:themeFill="accent3"/>
            <w:vAlign w:val="center"/>
          </w:tcPr>
          <w:p w14:paraId="40A5E6BD" w14:textId="77777777" w:rsidR="00F550D1" w:rsidRPr="00F550D1" w:rsidRDefault="00F550D1" w:rsidP="00F550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50D1">
              <w:rPr>
                <w:rFonts w:ascii="Calibri" w:hAnsi="Calibri" w:cs="Calibri"/>
                <w:b/>
              </w:rPr>
              <w:t>GREEN</w:t>
            </w:r>
          </w:p>
        </w:tc>
        <w:tc>
          <w:tcPr>
            <w:tcW w:w="8466" w:type="dxa"/>
            <w:vAlign w:val="center"/>
          </w:tcPr>
          <w:p w14:paraId="24E3B6B9" w14:textId="0C32FF51" w:rsidR="002D216A" w:rsidRDefault="002D216A" w:rsidP="003E7B62">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1FB">
              <w:rPr>
                <w:rFonts w:ascii="Calibri" w:hAnsi="Calibri" w:cs="Calibri"/>
              </w:rPr>
              <w:t xml:space="preserve">The primary point of slippage is the </w:t>
            </w:r>
            <w:proofErr w:type="spellStart"/>
            <w:r w:rsidRPr="00C531FB">
              <w:rPr>
                <w:rFonts w:ascii="Calibri" w:hAnsi="Calibri" w:cs="Calibri"/>
              </w:rPr>
              <w:t>N</w:t>
            </w:r>
            <w:r>
              <w:rPr>
                <w:rFonts w:ascii="Calibri" w:hAnsi="Calibri" w:cs="Calibri"/>
              </w:rPr>
              <w:t>aturePlanner</w:t>
            </w:r>
            <w:proofErr w:type="spellEnd"/>
            <w:r>
              <w:rPr>
                <w:rFonts w:ascii="Calibri" w:hAnsi="Calibri" w:cs="Calibri"/>
              </w:rPr>
              <w:t xml:space="preserve">/Informed Decision </w:t>
            </w:r>
            <w:r w:rsidRPr="00C531FB">
              <w:rPr>
                <w:rFonts w:ascii="Calibri" w:hAnsi="Calibri" w:cs="Calibri"/>
              </w:rPr>
              <w:t>project pilot which has been delayed by a combination of NatureScot’s internal IT issues and time needed to encourage Scottish Forestry on board to participate.  Th</w:t>
            </w:r>
            <w:r>
              <w:rPr>
                <w:rFonts w:ascii="Calibri" w:hAnsi="Calibri" w:cs="Calibri"/>
              </w:rPr>
              <w:t>e</w:t>
            </w:r>
            <w:r w:rsidR="007F5150">
              <w:rPr>
                <w:rFonts w:ascii="Calibri" w:hAnsi="Calibri" w:cs="Calibri"/>
              </w:rPr>
              <w:t xml:space="preserve"> </w:t>
            </w:r>
            <w:r w:rsidRPr="00C531FB">
              <w:rPr>
                <w:rFonts w:ascii="Calibri" w:hAnsi="Calibri" w:cs="Calibri"/>
              </w:rPr>
              <w:t xml:space="preserve">scheduled timescale for the project now likely to extend to end of Q2 </w:t>
            </w:r>
            <w:r>
              <w:rPr>
                <w:rFonts w:ascii="Calibri" w:hAnsi="Calibri" w:cs="Calibri"/>
              </w:rPr>
              <w:t>2023/24.</w:t>
            </w:r>
          </w:p>
          <w:p w14:paraId="4EE5ABE0" w14:textId="77777777" w:rsidR="002D216A" w:rsidRDefault="002D216A" w:rsidP="003E7B62">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1FB">
              <w:rPr>
                <w:rFonts w:ascii="Calibri" w:hAnsi="Calibri" w:cs="Calibri"/>
              </w:rPr>
              <w:t>Good progress has been made on working through the policy implications of N</w:t>
            </w:r>
            <w:r>
              <w:rPr>
                <w:rFonts w:ascii="Calibri" w:hAnsi="Calibri" w:cs="Calibri"/>
              </w:rPr>
              <w:t xml:space="preserve">ational </w:t>
            </w:r>
            <w:r w:rsidRPr="00C531FB">
              <w:rPr>
                <w:rFonts w:ascii="Calibri" w:hAnsi="Calibri" w:cs="Calibri"/>
              </w:rPr>
              <w:t>P</w:t>
            </w:r>
            <w:r>
              <w:rPr>
                <w:rFonts w:ascii="Calibri" w:hAnsi="Calibri" w:cs="Calibri"/>
              </w:rPr>
              <w:t xml:space="preserve">lanning </w:t>
            </w:r>
            <w:r w:rsidRPr="00C531FB">
              <w:rPr>
                <w:rFonts w:ascii="Calibri" w:hAnsi="Calibri" w:cs="Calibri"/>
              </w:rPr>
              <w:t>F</w:t>
            </w:r>
            <w:r>
              <w:rPr>
                <w:rFonts w:ascii="Calibri" w:hAnsi="Calibri" w:cs="Calibri"/>
              </w:rPr>
              <w:t xml:space="preserve">ramework </w:t>
            </w:r>
            <w:r w:rsidRPr="00C531FB">
              <w:rPr>
                <w:rFonts w:ascii="Calibri" w:hAnsi="Calibri" w:cs="Calibri"/>
              </w:rPr>
              <w:t xml:space="preserve">4 </w:t>
            </w:r>
            <w:r>
              <w:rPr>
                <w:rFonts w:ascii="Calibri" w:hAnsi="Calibri" w:cs="Calibri"/>
              </w:rPr>
              <w:t xml:space="preserve">(NPF4) </w:t>
            </w:r>
            <w:r w:rsidRPr="00C531FB">
              <w:rPr>
                <w:rFonts w:ascii="Calibri" w:hAnsi="Calibri" w:cs="Calibri"/>
              </w:rPr>
              <w:t>and what our approach to cas</w:t>
            </w:r>
            <w:r>
              <w:rPr>
                <w:rFonts w:ascii="Calibri" w:hAnsi="Calibri" w:cs="Calibri"/>
              </w:rPr>
              <w:t xml:space="preserve">ework in particular needs to be.  </w:t>
            </w:r>
            <w:r w:rsidRPr="00C531FB">
              <w:rPr>
                <w:rFonts w:ascii="Calibri" w:hAnsi="Calibri" w:cs="Calibri"/>
              </w:rPr>
              <w:t>Interim guida</w:t>
            </w:r>
            <w:r>
              <w:rPr>
                <w:rFonts w:ascii="Calibri" w:hAnsi="Calibri" w:cs="Calibri"/>
              </w:rPr>
              <w:t>nce on casework has been issued.</w:t>
            </w:r>
          </w:p>
          <w:p w14:paraId="5BFF93F4" w14:textId="77777777" w:rsidR="002D216A" w:rsidRDefault="002D216A" w:rsidP="003E7B62">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1FB">
              <w:rPr>
                <w:rFonts w:ascii="Calibri" w:hAnsi="Calibri" w:cs="Calibri"/>
              </w:rPr>
              <w:t xml:space="preserve">We have formally withdrawn from a number of current or ongoing Inquiries on the basis of the change to policy on Wild Land and also withdrawn a number of objections.  Participation in </w:t>
            </w:r>
            <w:proofErr w:type="spellStart"/>
            <w:r w:rsidRPr="00C531FB">
              <w:rPr>
                <w:rFonts w:ascii="Calibri" w:hAnsi="Calibri" w:cs="Calibri"/>
              </w:rPr>
              <w:t>Narachan</w:t>
            </w:r>
            <w:proofErr w:type="spellEnd"/>
            <w:r w:rsidRPr="00C531FB">
              <w:rPr>
                <w:rFonts w:ascii="Calibri" w:hAnsi="Calibri" w:cs="Calibri"/>
              </w:rPr>
              <w:t xml:space="preserve"> windfarm inquiry affecting NSA resource should be co</w:t>
            </w:r>
            <w:r>
              <w:rPr>
                <w:rFonts w:ascii="Calibri" w:hAnsi="Calibri" w:cs="Calibri"/>
              </w:rPr>
              <w:t xml:space="preserve">mpleted by end of Q4.  </w:t>
            </w:r>
          </w:p>
          <w:p w14:paraId="76DBE0D6" w14:textId="6F329103" w:rsidR="002D216A" w:rsidRDefault="002D216A" w:rsidP="003E7B62">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1FB">
              <w:rPr>
                <w:rFonts w:ascii="Calibri" w:hAnsi="Calibri" w:cs="Calibri"/>
              </w:rPr>
              <w:t xml:space="preserve">S36 applications – in principle discussions agreed that we </w:t>
            </w:r>
            <w:r>
              <w:rPr>
                <w:rFonts w:ascii="Calibri" w:hAnsi="Calibri" w:cs="Calibri"/>
              </w:rPr>
              <w:t>will</w:t>
            </w:r>
            <w:r w:rsidRPr="00C531FB">
              <w:rPr>
                <w:rFonts w:ascii="Calibri" w:hAnsi="Calibri" w:cs="Calibri"/>
              </w:rPr>
              <w:t xml:space="preserve"> streamline input an</w:t>
            </w:r>
            <w:r>
              <w:rPr>
                <w:rFonts w:ascii="Calibri" w:hAnsi="Calibri" w:cs="Calibri"/>
              </w:rPr>
              <w:t xml:space="preserve">d acknowledgement </w:t>
            </w:r>
            <w:r w:rsidR="007F5150">
              <w:rPr>
                <w:rFonts w:ascii="Calibri" w:hAnsi="Calibri" w:cs="Calibri"/>
              </w:rPr>
              <w:t>that we</w:t>
            </w:r>
            <w:r w:rsidRPr="00C531FB">
              <w:rPr>
                <w:rFonts w:ascii="Calibri" w:hAnsi="Calibri" w:cs="Calibri"/>
              </w:rPr>
              <w:t xml:space="preserve"> can’t supply the service E</w:t>
            </w:r>
            <w:r>
              <w:rPr>
                <w:rFonts w:ascii="Calibri" w:hAnsi="Calibri" w:cs="Calibri"/>
              </w:rPr>
              <w:t xml:space="preserve">nergy </w:t>
            </w:r>
            <w:r w:rsidRPr="00C531FB">
              <w:rPr>
                <w:rFonts w:ascii="Calibri" w:hAnsi="Calibri" w:cs="Calibri"/>
              </w:rPr>
              <w:t>C</w:t>
            </w:r>
            <w:r>
              <w:rPr>
                <w:rFonts w:ascii="Calibri" w:hAnsi="Calibri" w:cs="Calibri"/>
              </w:rPr>
              <w:t xml:space="preserve">onsents </w:t>
            </w:r>
            <w:r w:rsidRPr="00C531FB">
              <w:rPr>
                <w:rFonts w:ascii="Calibri" w:hAnsi="Calibri" w:cs="Calibri"/>
              </w:rPr>
              <w:t>U</w:t>
            </w:r>
            <w:r>
              <w:rPr>
                <w:rFonts w:ascii="Calibri" w:hAnsi="Calibri" w:cs="Calibri"/>
              </w:rPr>
              <w:t xml:space="preserve">nit (ECU) </w:t>
            </w:r>
            <w:r w:rsidR="007F5150">
              <w:rPr>
                <w:rFonts w:ascii="Calibri" w:hAnsi="Calibri" w:cs="Calibri"/>
              </w:rPr>
              <w:t>have relied on</w:t>
            </w:r>
            <w:r w:rsidRPr="00C531FB">
              <w:rPr>
                <w:rFonts w:ascii="Calibri" w:hAnsi="Calibri" w:cs="Calibri"/>
              </w:rPr>
              <w:t xml:space="preserve">.  Example letters for planning cases being collated to provide assurance </w:t>
            </w:r>
            <w:r>
              <w:rPr>
                <w:rFonts w:ascii="Calibri" w:hAnsi="Calibri" w:cs="Calibri"/>
              </w:rPr>
              <w:t xml:space="preserve">this </w:t>
            </w:r>
            <w:r w:rsidRPr="00C531FB">
              <w:rPr>
                <w:rFonts w:ascii="Calibri" w:hAnsi="Calibri" w:cs="Calibri"/>
              </w:rPr>
              <w:t xml:space="preserve">will deliver the value that ECU actually need.  </w:t>
            </w:r>
          </w:p>
          <w:p w14:paraId="6C4D72D7" w14:textId="77777777" w:rsidR="002D216A" w:rsidRDefault="002D216A" w:rsidP="003E7B62">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1FB">
              <w:rPr>
                <w:rFonts w:ascii="Calibri" w:hAnsi="Calibri" w:cs="Calibri"/>
              </w:rPr>
              <w:t>Posit</w:t>
            </w:r>
            <w:r>
              <w:rPr>
                <w:rFonts w:ascii="Calibri" w:hAnsi="Calibri" w:cs="Calibri"/>
              </w:rPr>
              <w:t>ive Effects for Biodiversity - </w:t>
            </w:r>
            <w:r w:rsidRPr="00C531FB">
              <w:rPr>
                <w:rFonts w:ascii="Calibri" w:hAnsi="Calibri" w:cs="Calibri"/>
              </w:rPr>
              <w:t>Work needed to clearly manage expectations of others as to our engagement on individual propo</w:t>
            </w:r>
            <w:r>
              <w:rPr>
                <w:rFonts w:ascii="Calibri" w:hAnsi="Calibri" w:cs="Calibri"/>
              </w:rPr>
              <w:t>sals</w:t>
            </w:r>
            <w:r w:rsidRPr="00C531FB">
              <w:rPr>
                <w:rFonts w:ascii="Calibri" w:hAnsi="Calibri" w:cs="Calibri"/>
              </w:rPr>
              <w:t xml:space="preserve">.  We have had regular engagement and comment as part of the oversight of Scottish Government’s SRUC commission on biodiversity metric.  Ongoing risk associated with possible assumption by industry that positive effects represent business as usual.  </w:t>
            </w:r>
          </w:p>
          <w:p w14:paraId="52FA0572" w14:textId="723BA11B" w:rsidR="00F550D1" w:rsidRPr="00F550D1" w:rsidRDefault="002D216A" w:rsidP="003E7B62">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531FB">
              <w:rPr>
                <w:rFonts w:ascii="Calibri" w:hAnsi="Calibri" w:cs="Calibri"/>
              </w:rPr>
              <w:t>Development Planning – discussions with L</w:t>
            </w:r>
            <w:r>
              <w:rPr>
                <w:rFonts w:ascii="Calibri" w:hAnsi="Calibri" w:cs="Calibri"/>
              </w:rPr>
              <w:t xml:space="preserve">ocal </w:t>
            </w:r>
            <w:r w:rsidRPr="00C531FB">
              <w:rPr>
                <w:rFonts w:ascii="Calibri" w:hAnsi="Calibri" w:cs="Calibri"/>
              </w:rPr>
              <w:t>A</w:t>
            </w:r>
            <w:r>
              <w:rPr>
                <w:rFonts w:ascii="Calibri" w:hAnsi="Calibri" w:cs="Calibri"/>
              </w:rPr>
              <w:t>uthoritie</w:t>
            </w:r>
            <w:r w:rsidRPr="00C531FB">
              <w:rPr>
                <w:rFonts w:ascii="Calibri" w:hAnsi="Calibri" w:cs="Calibri"/>
              </w:rPr>
              <w:t>s on nature network requirements and beginning of L</w:t>
            </w:r>
            <w:r>
              <w:rPr>
                <w:rFonts w:ascii="Calibri" w:hAnsi="Calibri" w:cs="Calibri"/>
              </w:rPr>
              <w:t xml:space="preserve">ocal </w:t>
            </w:r>
            <w:r w:rsidRPr="00C531FB">
              <w:rPr>
                <w:rFonts w:ascii="Calibri" w:hAnsi="Calibri" w:cs="Calibri"/>
              </w:rPr>
              <w:t>D</w:t>
            </w:r>
            <w:r>
              <w:rPr>
                <w:rFonts w:ascii="Calibri" w:hAnsi="Calibri" w:cs="Calibri"/>
              </w:rPr>
              <w:t xml:space="preserve">elivery </w:t>
            </w:r>
            <w:r w:rsidRPr="00C531FB">
              <w:rPr>
                <w:rFonts w:ascii="Calibri" w:hAnsi="Calibri" w:cs="Calibri"/>
              </w:rPr>
              <w:t>P</w:t>
            </w:r>
            <w:r>
              <w:rPr>
                <w:rFonts w:ascii="Calibri" w:hAnsi="Calibri" w:cs="Calibri"/>
              </w:rPr>
              <w:t>lan</w:t>
            </w:r>
            <w:r w:rsidRPr="00C531FB">
              <w:rPr>
                <w:rFonts w:ascii="Calibri" w:hAnsi="Calibri" w:cs="Calibri"/>
              </w:rPr>
              <w:t xml:space="preserve"> drafting process.</w:t>
            </w:r>
          </w:p>
        </w:tc>
      </w:tr>
      <w:tr w:rsidR="00F550D1" w:rsidRPr="00F550D1" w14:paraId="59E9E9B1" w14:textId="77777777" w:rsidTr="009E022E">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5FE4D2F6" w14:textId="77777777" w:rsidR="00F550D1" w:rsidRPr="00F550D1" w:rsidRDefault="00F550D1" w:rsidP="00F550D1">
            <w:pPr>
              <w:rPr>
                <w:rFonts w:ascii="Calibri" w:hAnsi="Calibri" w:cs="Calibri"/>
                <w:b w:val="0"/>
                <w:color w:val="000000"/>
              </w:rPr>
            </w:pPr>
            <w:r w:rsidRPr="00F550D1">
              <w:rPr>
                <w:rFonts w:ascii="Calibri" w:hAnsi="Calibri" w:cs="Calibri"/>
                <w:b w:val="0"/>
                <w:color w:val="000000"/>
              </w:rPr>
              <w:lastRenderedPageBreak/>
              <w:t>Influence the transformation of marine management through new marine planning, protection and fisheries management frameworks, and working with the marine renewable energy sector</w:t>
            </w:r>
          </w:p>
        </w:tc>
        <w:tc>
          <w:tcPr>
            <w:tcW w:w="1559" w:type="dxa"/>
            <w:vAlign w:val="center"/>
          </w:tcPr>
          <w:p w14:paraId="687E12F6" w14:textId="77777777" w:rsidR="00F550D1" w:rsidRPr="00F550D1" w:rsidRDefault="00F550D1" w:rsidP="00F550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3" w:type="dxa"/>
            <w:shd w:val="clear" w:color="auto" w:fill="9BBB59" w:themeFill="accent3"/>
            <w:vAlign w:val="center"/>
          </w:tcPr>
          <w:p w14:paraId="47AA6146" w14:textId="77777777" w:rsidR="00F550D1" w:rsidRPr="00F550D1" w:rsidRDefault="00F550D1" w:rsidP="00F550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550D1">
              <w:rPr>
                <w:rFonts w:ascii="Calibri" w:hAnsi="Calibri" w:cs="Calibri"/>
                <w:b/>
              </w:rPr>
              <w:t>GREEN</w:t>
            </w:r>
          </w:p>
        </w:tc>
        <w:tc>
          <w:tcPr>
            <w:tcW w:w="8466" w:type="dxa"/>
            <w:vAlign w:val="center"/>
          </w:tcPr>
          <w:p w14:paraId="6BE9ED57" w14:textId="77777777" w:rsidR="00393BD7" w:rsidRPr="00393BD7" w:rsidRDefault="00393BD7"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Formal advice submitted on Berwick Bank Offshore Wind Farm application, including on the first marine derogation case in Scotland for seabird impacts. </w:t>
            </w:r>
          </w:p>
          <w:p w14:paraId="08432476" w14:textId="77777777" w:rsidR="00393BD7" w:rsidRPr="00393BD7" w:rsidRDefault="00393BD7"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Wider marine energy casework load is escalating rapidly and we are discussing additional staff capacity and resourcing issues with Marine Scotland. </w:t>
            </w:r>
          </w:p>
          <w:p w14:paraId="12DA6E1B" w14:textId="77777777" w:rsidR="00393BD7" w:rsidRPr="00393BD7" w:rsidRDefault="00393BD7"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Work has begun to scope the vision and objectives for National Marine Plan 2. We have provided Marine Scotland with advice to inform the vision &amp; objectives, use of marine natural capital approaches in Strategic Environmental Assessments and on assessing cumulative impacts.</w:t>
            </w:r>
          </w:p>
          <w:p w14:paraId="6E62A892" w14:textId="60BEADDD" w:rsidR="003C2E42" w:rsidRPr="003C2E42" w:rsidRDefault="00393BD7"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We helped to shape a Blue Economy Vision and Delivery Plan which recognise that economy and wellbeing are embedded within nature.</w:t>
            </w:r>
          </w:p>
        </w:tc>
      </w:tr>
    </w:tbl>
    <w:p w14:paraId="7DB7007E" w14:textId="77777777" w:rsidR="00F550D1" w:rsidRPr="00F550D1" w:rsidRDefault="00F550D1" w:rsidP="00F550D1">
      <w:pPr>
        <w:keepNext/>
        <w:keepLines/>
        <w:spacing w:before="40" w:after="0" w:line="259" w:lineRule="auto"/>
        <w:jc w:val="center"/>
        <w:outlineLvl w:val="1"/>
        <w:rPr>
          <w:rFonts w:ascii="Calibri" w:eastAsiaTheme="majorEastAsia" w:hAnsi="Calibri" w:cs="Calibri"/>
          <w:b/>
          <w:szCs w:val="26"/>
        </w:rPr>
      </w:pPr>
    </w:p>
    <w:p w14:paraId="709ACFC4" w14:textId="77777777" w:rsidR="00F550D1" w:rsidRPr="00F550D1" w:rsidRDefault="00F550D1" w:rsidP="00F550D1">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t>WE HAVE RESTORED NATURE</w:t>
      </w:r>
    </w:p>
    <w:tbl>
      <w:tblPr>
        <w:tblStyle w:val="PlainTable13"/>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RESTORED NATURE Q1 UPDATE"/>
      </w:tblPr>
      <w:tblGrid>
        <w:gridCol w:w="3544"/>
        <w:gridCol w:w="1559"/>
        <w:gridCol w:w="993"/>
        <w:gridCol w:w="8466"/>
      </w:tblGrid>
      <w:tr w:rsidR="00F550D1" w:rsidRPr="00F550D1" w14:paraId="251FF948" w14:textId="77777777" w:rsidTr="009E022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E2184EA" w14:textId="77777777" w:rsidR="00F550D1" w:rsidRPr="00F550D1" w:rsidRDefault="00F550D1" w:rsidP="00F550D1">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66F508CE" w14:textId="77777777" w:rsidR="00F550D1" w:rsidRPr="00F550D1" w:rsidRDefault="00F550D1"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615FB428" w14:textId="77777777" w:rsidR="00F550D1" w:rsidRPr="00F550D1" w:rsidRDefault="00F550D1"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2F8F3CE5" w14:textId="6C9C79F5" w:rsidR="00F550D1" w:rsidRPr="00F550D1" w:rsidRDefault="00C531FB"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Q4</w:t>
            </w:r>
            <w:r w:rsidR="00F550D1" w:rsidRPr="00F550D1">
              <w:rPr>
                <w:rFonts w:ascii="Calibri" w:hAnsi="Calibri" w:cs="Calibri"/>
                <w:szCs w:val="26"/>
              </w:rPr>
              <w:t xml:space="preserve"> UPDATE</w:t>
            </w:r>
          </w:p>
        </w:tc>
      </w:tr>
      <w:tr w:rsidR="00F550D1" w:rsidRPr="00F550D1" w14:paraId="20CF1E59" w14:textId="77777777" w:rsidTr="009E022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56AAFBB2"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t>Co-lead the production of the new Scottish Biodiversity Strategy (SBS) and develop targets to include in a new Natural Environment Bill</w:t>
            </w:r>
          </w:p>
        </w:tc>
        <w:tc>
          <w:tcPr>
            <w:tcW w:w="1559" w:type="dxa"/>
            <w:vAlign w:val="center"/>
          </w:tcPr>
          <w:p w14:paraId="7886D2DF" w14:textId="77777777" w:rsidR="00F550D1" w:rsidRPr="00F550D1" w:rsidRDefault="00F550D1" w:rsidP="00F550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3" w:type="dxa"/>
            <w:shd w:val="clear" w:color="auto" w:fill="9BBB59" w:themeFill="accent3"/>
            <w:vAlign w:val="center"/>
          </w:tcPr>
          <w:p w14:paraId="6754B4D6" w14:textId="77777777" w:rsidR="00F550D1" w:rsidRPr="00F550D1" w:rsidRDefault="00F550D1" w:rsidP="00F550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1177E3B2" w14:textId="77777777" w:rsidR="00393BD7" w:rsidRPr="00393BD7" w:rsidRDefault="00393BD7" w:rsidP="003E7B62">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On schedule to consult on the Delivery Plan in Q1 of 23/24.  Plans have been developed through close working with Scottish Government Policy leads and Rural and Environment Science and Analytical Services Division (RESAS).  </w:t>
            </w:r>
          </w:p>
          <w:p w14:paraId="3F66DAA9" w14:textId="77777777" w:rsidR="00393BD7" w:rsidRPr="00393BD7" w:rsidRDefault="00393BD7" w:rsidP="003E7B62">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Work on-going with SG colleagues to develop the timeline for the timing of the </w:t>
            </w:r>
            <w:proofErr w:type="spellStart"/>
            <w:r w:rsidRPr="00393BD7">
              <w:rPr>
                <w:rFonts w:ascii="Calibri" w:hAnsi="Calibri" w:cs="Calibri"/>
                <w:color w:val="000000"/>
                <w:szCs w:val="24"/>
              </w:rPr>
              <w:t>the</w:t>
            </w:r>
            <w:proofErr w:type="spellEnd"/>
            <w:r w:rsidRPr="00393BD7">
              <w:rPr>
                <w:rFonts w:ascii="Calibri" w:hAnsi="Calibri" w:cs="Calibri"/>
                <w:color w:val="000000"/>
                <w:szCs w:val="24"/>
              </w:rPr>
              <w:t xml:space="preserve"> Natural Environment Bill. </w:t>
            </w:r>
          </w:p>
          <w:p w14:paraId="37AA7173" w14:textId="67DF6BAB" w:rsidR="00F550D1" w:rsidRPr="00F550D1" w:rsidRDefault="00393BD7" w:rsidP="003E7B62">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Publication of the final Biodiversity </w:t>
            </w:r>
            <w:proofErr w:type="spellStart"/>
            <w:r w:rsidRPr="00393BD7">
              <w:rPr>
                <w:rFonts w:ascii="Calibri" w:hAnsi="Calibri" w:cs="Calibri"/>
                <w:color w:val="000000"/>
                <w:szCs w:val="24"/>
              </w:rPr>
              <w:t>RouteMap</w:t>
            </w:r>
            <w:proofErr w:type="spellEnd"/>
            <w:r w:rsidRPr="00393BD7">
              <w:rPr>
                <w:rFonts w:ascii="Calibri" w:hAnsi="Calibri" w:cs="Calibri"/>
                <w:color w:val="000000"/>
                <w:szCs w:val="24"/>
              </w:rPr>
              <w:t xml:space="preserve"> report detailing more than 70 projects for the previous Biodiversity Strategy.</w:t>
            </w:r>
          </w:p>
        </w:tc>
      </w:tr>
      <w:tr w:rsidR="00F550D1" w:rsidRPr="00F550D1" w14:paraId="487D0F87" w14:textId="77777777" w:rsidTr="009E022E">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4CC0071"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lastRenderedPageBreak/>
              <w:t>Scale up Peatland Restoration by delivering Peatland ACTION funding to projects</w:t>
            </w:r>
          </w:p>
        </w:tc>
        <w:tc>
          <w:tcPr>
            <w:tcW w:w="1559" w:type="dxa"/>
            <w:vAlign w:val="center"/>
          </w:tcPr>
          <w:p w14:paraId="6139CD29" w14:textId="77777777" w:rsidR="00F550D1" w:rsidRPr="00F550D1" w:rsidRDefault="00F550D1" w:rsidP="00F550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3" w:type="dxa"/>
            <w:shd w:val="clear" w:color="auto" w:fill="F79646" w:themeFill="accent6"/>
            <w:vAlign w:val="center"/>
          </w:tcPr>
          <w:p w14:paraId="01807D22" w14:textId="2B5B6F39" w:rsidR="00F550D1" w:rsidRPr="00F550D1" w:rsidRDefault="009E022E" w:rsidP="00F550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AMBER</w:t>
            </w:r>
          </w:p>
          <w:p w14:paraId="394D2FA8" w14:textId="77777777" w:rsidR="00F550D1" w:rsidRPr="00F550D1" w:rsidRDefault="00F550D1" w:rsidP="00F550D1">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8466" w:type="dxa"/>
            <w:vAlign w:val="center"/>
          </w:tcPr>
          <w:p w14:paraId="3AD676AC" w14:textId="3CDDFF8B" w:rsidR="002D216A" w:rsidRPr="002D216A" w:rsidRDefault="002D216A"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Work continues to dr</w:t>
            </w:r>
            <w:r>
              <w:rPr>
                <w:rFonts w:ascii="Calibri" w:hAnsi="Calibri" w:cs="Calibri"/>
                <w:color w:val="000000"/>
                <w:szCs w:val="24"/>
              </w:rPr>
              <w:t xml:space="preserve">ive up demand for restoration, </w:t>
            </w:r>
            <w:r w:rsidRPr="002D216A">
              <w:rPr>
                <w:rFonts w:ascii="Calibri" w:hAnsi="Calibri" w:cs="Calibri"/>
                <w:color w:val="000000"/>
                <w:szCs w:val="24"/>
              </w:rPr>
              <w:t>raising awareness through a variety of conferences, publications and workshops.</w:t>
            </w:r>
          </w:p>
          <w:p w14:paraId="509370E9" w14:textId="576BA7DB" w:rsidR="002D216A" w:rsidRPr="002D216A" w:rsidRDefault="002D216A"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We have</w:t>
            </w:r>
            <w:r>
              <w:rPr>
                <w:rFonts w:ascii="Calibri" w:hAnsi="Calibri" w:cs="Calibri"/>
                <w:color w:val="000000"/>
                <w:szCs w:val="24"/>
              </w:rPr>
              <w:t xml:space="preserve"> </w:t>
            </w:r>
            <w:r w:rsidRPr="002D216A">
              <w:rPr>
                <w:rFonts w:ascii="Calibri" w:hAnsi="Calibri" w:cs="Calibri"/>
                <w:color w:val="000000"/>
                <w:szCs w:val="24"/>
              </w:rPr>
              <w:t>commissioned an expanded programme of feasibility studies; rolled out of new entrants scheme, supported new Scottish Rural College (SRUC) training course and published a new technical compendium;</w:t>
            </w:r>
          </w:p>
          <w:p w14:paraId="435F7EF9" w14:textId="16961398" w:rsidR="002D216A" w:rsidRPr="002D216A" w:rsidRDefault="002D216A"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We have</w:t>
            </w:r>
            <w:r>
              <w:rPr>
                <w:rFonts w:ascii="Calibri" w:hAnsi="Calibri" w:cs="Calibri"/>
                <w:color w:val="000000"/>
                <w:szCs w:val="24"/>
              </w:rPr>
              <w:t xml:space="preserve"> </w:t>
            </w:r>
            <w:r w:rsidRPr="002D216A">
              <w:rPr>
                <w:rFonts w:ascii="Calibri" w:hAnsi="Calibri" w:cs="Calibri"/>
                <w:color w:val="000000"/>
                <w:szCs w:val="24"/>
              </w:rPr>
              <w:t>conclude</w:t>
            </w:r>
            <w:r>
              <w:rPr>
                <w:rFonts w:ascii="Calibri" w:hAnsi="Calibri" w:cs="Calibri"/>
                <w:color w:val="000000"/>
                <w:szCs w:val="24"/>
              </w:rPr>
              <w:t>d</w:t>
            </w:r>
            <w:r w:rsidRPr="002D216A">
              <w:rPr>
                <w:rFonts w:ascii="Calibri" w:hAnsi="Calibri" w:cs="Calibri"/>
                <w:color w:val="000000"/>
                <w:szCs w:val="24"/>
              </w:rPr>
              <w:t xml:space="preserve"> delivery of restoration on 51 projects putting over 4700 ha on road to recovery; </w:t>
            </w:r>
          </w:p>
          <w:p w14:paraId="4196F89D" w14:textId="77777777" w:rsidR="002D216A" w:rsidRPr="002D216A" w:rsidRDefault="002D216A"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 xml:space="preserve"> helped with revisions/guidance on new version of Peatland Code </w:t>
            </w:r>
          </w:p>
          <w:p w14:paraId="2AF65DE6" w14:textId="57CC76ED" w:rsidR="00F550D1" w:rsidRPr="00F550D1" w:rsidRDefault="002D216A" w:rsidP="003E7B6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 xml:space="preserve"> Budgets have been submitted for 2023/24 to 25/26; and we have initiated recruitment of additional posts to support acceleration of restoration.</w:t>
            </w:r>
          </w:p>
        </w:tc>
      </w:tr>
      <w:tr w:rsidR="00F550D1" w:rsidRPr="00F550D1" w14:paraId="6E017749" w14:textId="77777777" w:rsidTr="009E022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0C9991F"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t>Lead, enable and convene others around the development of ambitious and coherent actions to restore nature.  Deliver a major Nature Restoration Fund (NRF) targeted at high impact nature recovery projects and seeding greater investment from the private sector</w:t>
            </w:r>
          </w:p>
        </w:tc>
        <w:tc>
          <w:tcPr>
            <w:tcW w:w="1559" w:type="dxa"/>
            <w:vAlign w:val="center"/>
          </w:tcPr>
          <w:p w14:paraId="5103DD07" w14:textId="77777777" w:rsidR="00F550D1" w:rsidRPr="00F550D1" w:rsidRDefault="00F550D1" w:rsidP="00F550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3" w:type="dxa"/>
            <w:shd w:val="clear" w:color="auto" w:fill="9BBB59" w:themeFill="accent3"/>
            <w:vAlign w:val="center"/>
          </w:tcPr>
          <w:p w14:paraId="1C433A2D" w14:textId="77777777" w:rsidR="00F550D1" w:rsidRPr="00F550D1" w:rsidRDefault="00F550D1" w:rsidP="00F550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rPr>
              <w:t>GREEN</w:t>
            </w:r>
            <w:r w:rsidRPr="00F550D1">
              <w:rPr>
                <w:rFonts w:ascii="Calibri" w:hAnsi="Calibri" w:cs="Calibri"/>
                <w:b/>
                <w:szCs w:val="24"/>
              </w:rPr>
              <w:t xml:space="preserve"> </w:t>
            </w:r>
          </w:p>
        </w:tc>
        <w:tc>
          <w:tcPr>
            <w:tcW w:w="8466" w:type="dxa"/>
            <w:vAlign w:val="center"/>
          </w:tcPr>
          <w:p w14:paraId="0CC082CF" w14:textId="77777777" w:rsidR="00485D76" w:rsidRDefault="009E022E" w:rsidP="003E7B62">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E022E">
              <w:rPr>
                <w:rFonts w:ascii="Calibri" w:hAnsi="Calibri" w:cs="Calibri"/>
                <w:color w:val="000000"/>
                <w:szCs w:val="24"/>
              </w:rPr>
              <w:t>Grant offers from the Transforming Nature round have been sent to successful applicants and signed by them. The award of money</w:t>
            </w:r>
            <w:r>
              <w:rPr>
                <w:rFonts w:ascii="Calibri" w:hAnsi="Calibri" w:cs="Calibri"/>
                <w:color w:val="000000"/>
                <w:szCs w:val="24"/>
              </w:rPr>
              <w:t xml:space="preserve"> </w:t>
            </w:r>
            <w:r w:rsidRPr="009E022E">
              <w:rPr>
                <w:rFonts w:ascii="Calibri" w:hAnsi="Calibri" w:cs="Calibri"/>
                <w:color w:val="000000"/>
                <w:szCs w:val="24"/>
              </w:rPr>
              <w:t xml:space="preserve">to successful applicants was announced by the Minister on 24th Feb.  </w:t>
            </w:r>
          </w:p>
          <w:p w14:paraId="3919DE93" w14:textId="25D5BB6C" w:rsidR="00485D76" w:rsidRDefault="009E022E" w:rsidP="003E7B62">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E022E">
              <w:rPr>
                <w:rFonts w:ascii="Calibri" w:hAnsi="Calibri" w:cs="Calibri"/>
                <w:color w:val="000000"/>
                <w:szCs w:val="24"/>
              </w:rPr>
              <w:t>The first meeting of the N</w:t>
            </w:r>
            <w:r w:rsidR="00230933">
              <w:rPr>
                <w:rFonts w:ascii="Calibri" w:hAnsi="Calibri" w:cs="Calibri"/>
                <w:color w:val="000000"/>
                <w:szCs w:val="24"/>
              </w:rPr>
              <w:t xml:space="preserve">ature </w:t>
            </w:r>
            <w:r w:rsidRPr="009E022E">
              <w:rPr>
                <w:rFonts w:ascii="Calibri" w:hAnsi="Calibri" w:cs="Calibri"/>
                <w:color w:val="000000"/>
                <w:szCs w:val="24"/>
              </w:rPr>
              <w:t>R</w:t>
            </w:r>
            <w:r w:rsidR="00230933">
              <w:rPr>
                <w:rFonts w:ascii="Calibri" w:hAnsi="Calibri" w:cs="Calibri"/>
                <w:color w:val="000000"/>
                <w:szCs w:val="24"/>
              </w:rPr>
              <w:t xml:space="preserve">estoration </w:t>
            </w:r>
            <w:r w:rsidRPr="009E022E">
              <w:rPr>
                <w:rFonts w:ascii="Calibri" w:hAnsi="Calibri" w:cs="Calibri"/>
                <w:color w:val="000000"/>
                <w:szCs w:val="24"/>
              </w:rPr>
              <w:t>F</w:t>
            </w:r>
            <w:r w:rsidR="00230933">
              <w:rPr>
                <w:rFonts w:ascii="Calibri" w:hAnsi="Calibri" w:cs="Calibri"/>
                <w:color w:val="000000"/>
                <w:szCs w:val="24"/>
              </w:rPr>
              <w:t>und</w:t>
            </w:r>
            <w:r w:rsidRPr="009E022E">
              <w:rPr>
                <w:rFonts w:ascii="Calibri" w:hAnsi="Calibri" w:cs="Calibri"/>
                <w:color w:val="000000"/>
                <w:szCs w:val="24"/>
              </w:rPr>
              <w:t xml:space="preserve"> oversight b</w:t>
            </w:r>
            <w:r w:rsidR="00485D76">
              <w:rPr>
                <w:rFonts w:ascii="Calibri" w:hAnsi="Calibri" w:cs="Calibri"/>
                <w:color w:val="000000"/>
                <w:szCs w:val="24"/>
              </w:rPr>
              <w:t xml:space="preserve">oard will be held on 9th March. </w:t>
            </w:r>
          </w:p>
          <w:p w14:paraId="5A1B8D1D" w14:textId="23A62D05" w:rsidR="00F550D1" w:rsidRPr="00F550D1" w:rsidRDefault="009E022E" w:rsidP="003E7B62">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9E022E">
              <w:rPr>
                <w:rFonts w:ascii="Calibri" w:hAnsi="Calibri" w:cs="Calibri"/>
                <w:color w:val="000000"/>
                <w:szCs w:val="24"/>
              </w:rPr>
              <w:t xml:space="preserve">The next round of Expressions of interest for the Helping Nature fund has been launched.  </w:t>
            </w:r>
          </w:p>
        </w:tc>
      </w:tr>
      <w:tr w:rsidR="00F550D1" w:rsidRPr="00F550D1" w14:paraId="52446F10" w14:textId="77777777" w:rsidTr="009E022E">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94A1EFC"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t>Demonstrate how agriculture can be transformed with new approaches to deliver targeted outcomes for nature and climate</w:t>
            </w:r>
          </w:p>
        </w:tc>
        <w:tc>
          <w:tcPr>
            <w:tcW w:w="1559" w:type="dxa"/>
            <w:vAlign w:val="center"/>
          </w:tcPr>
          <w:p w14:paraId="3B937FF1" w14:textId="77777777" w:rsidR="00F550D1" w:rsidRPr="00F550D1" w:rsidRDefault="00F550D1" w:rsidP="00F550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24A00496" w14:textId="77777777" w:rsidR="00F550D1" w:rsidRPr="00F550D1" w:rsidRDefault="00F550D1" w:rsidP="00F550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3BC8B649" w14:textId="42B9C45E" w:rsidR="002D216A" w:rsidRPr="002D216A" w:rsidRDefault="002D216A" w:rsidP="003E7B62">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Biodiversity App tender progressing to accommodate an additional SG governance requirement (discovery phase) before SG approve capacity for App to engage with their Land Parcel Information System (LPIS).</w:t>
            </w:r>
          </w:p>
          <w:p w14:paraId="60AFC5CF" w14:textId="1E05EB5C" w:rsidR="00F550D1" w:rsidRPr="00F550D1" w:rsidRDefault="002D216A" w:rsidP="003E7B62">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Piloting Outcome Based Approach Scheme (POBAS) score card farmer testing completed and project reports are being compiled.</w:t>
            </w:r>
          </w:p>
        </w:tc>
      </w:tr>
    </w:tbl>
    <w:p w14:paraId="2665A2FD" w14:textId="77777777" w:rsidR="00F550D1" w:rsidRPr="00F550D1" w:rsidRDefault="00F550D1" w:rsidP="00F550D1">
      <w:pPr>
        <w:keepNext/>
        <w:keepLines/>
        <w:spacing w:before="40" w:after="0" w:line="259" w:lineRule="auto"/>
        <w:outlineLvl w:val="1"/>
        <w:rPr>
          <w:rFonts w:ascii="Calibri" w:eastAsiaTheme="majorEastAsia" w:hAnsi="Calibri" w:cs="Calibri"/>
          <w:b/>
          <w:szCs w:val="26"/>
        </w:rPr>
      </w:pPr>
    </w:p>
    <w:p w14:paraId="242A8626" w14:textId="77777777" w:rsidR="00F550D1" w:rsidRPr="00F550D1" w:rsidRDefault="00F550D1" w:rsidP="00F550D1">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t>THE VALUE OF NATURE IS RECOGNISED</w:t>
      </w:r>
    </w:p>
    <w:tbl>
      <w:tblPr>
        <w:tblStyle w:val="PlainTable13"/>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VALUE OF NATURE IS RECOGNISED Q1 UPDATE"/>
      </w:tblPr>
      <w:tblGrid>
        <w:gridCol w:w="3544"/>
        <w:gridCol w:w="1559"/>
        <w:gridCol w:w="993"/>
        <w:gridCol w:w="8466"/>
      </w:tblGrid>
      <w:tr w:rsidR="00F550D1" w:rsidRPr="00F550D1" w14:paraId="07578C1A" w14:textId="77777777" w:rsidTr="00485D76">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E69292A" w14:textId="77777777" w:rsidR="00F550D1" w:rsidRPr="00F550D1" w:rsidRDefault="00F550D1" w:rsidP="00F550D1">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735CDD10" w14:textId="77777777" w:rsidR="00F550D1" w:rsidRPr="00F550D1" w:rsidRDefault="00F550D1"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4C99A07A" w14:textId="77777777" w:rsidR="00F550D1" w:rsidRPr="00F550D1" w:rsidRDefault="00F550D1"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3CAE574A" w14:textId="11F6525A" w:rsidR="00F550D1" w:rsidRPr="00F550D1" w:rsidRDefault="00C531FB"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Q4</w:t>
            </w:r>
            <w:r w:rsidR="00F550D1" w:rsidRPr="00F550D1">
              <w:rPr>
                <w:rFonts w:ascii="Calibri" w:hAnsi="Calibri" w:cs="Calibri"/>
                <w:szCs w:val="26"/>
              </w:rPr>
              <w:t xml:space="preserve"> UPDATE</w:t>
            </w:r>
          </w:p>
        </w:tc>
      </w:tr>
      <w:tr w:rsidR="00F550D1" w:rsidRPr="00F550D1" w14:paraId="344DC0C5" w14:textId="77777777" w:rsidTr="00485D7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4A6693B"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t>Inspire people to connect with nature, increasing appreciation of nature’s value through impactful delivery and communication of our work</w:t>
            </w:r>
          </w:p>
        </w:tc>
        <w:tc>
          <w:tcPr>
            <w:tcW w:w="1559" w:type="dxa"/>
            <w:vAlign w:val="center"/>
          </w:tcPr>
          <w:p w14:paraId="3F1FE795" w14:textId="35A749E3" w:rsidR="00F550D1" w:rsidRPr="00F550D1" w:rsidRDefault="00482BAA" w:rsidP="00F550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Nick Halfhide</w:t>
            </w:r>
          </w:p>
        </w:tc>
        <w:tc>
          <w:tcPr>
            <w:tcW w:w="993" w:type="dxa"/>
            <w:shd w:val="clear" w:color="auto" w:fill="9BBB59" w:themeFill="accent3"/>
            <w:vAlign w:val="center"/>
          </w:tcPr>
          <w:p w14:paraId="46040F3A" w14:textId="77777777" w:rsidR="00F550D1" w:rsidRPr="00F550D1" w:rsidRDefault="00F550D1" w:rsidP="00F550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6892ACAE" w14:textId="77777777" w:rsidR="00393BD7" w:rsidRPr="00393BD7" w:rsidRDefault="00393BD7" w:rsidP="003E7B62">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 xml:space="preserve">Make Space </w:t>
            </w:r>
            <w:proofErr w:type="gramStart"/>
            <w:r w:rsidRPr="00393BD7">
              <w:rPr>
                <w:rFonts w:ascii="Calibri" w:hAnsi="Calibri" w:cs="Calibri"/>
                <w:color w:val="000000"/>
                <w:szCs w:val="24"/>
              </w:rPr>
              <w:t>For</w:t>
            </w:r>
            <w:proofErr w:type="gramEnd"/>
            <w:r w:rsidRPr="00393BD7">
              <w:rPr>
                <w:rFonts w:ascii="Calibri" w:hAnsi="Calibri" w:cs="Calibri"/>
                <w:color w:val="000000"/>
                <w:szCs w:val="24"/>
              </w:rPr>
              <w:t xml:space="preserve"> Nature (MSFN) campaign delivered, consistently exceeding the NatureScot campaign KPIs and delivering 104,840 website visits over the year and 8.5k downloads of the 25 podcast library. </w:t>
            </w:r>
          </w:p>
          <w:p w14:paraId="5DF778A2" w14:textId="77777777" w:rsidR="00393BD7" w:rsidRPr="00393BD7" w:rsidRDefault="00393BD7" w:rsidP="003E7B62">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Better Places Fund 2022 delivered support to circa 150 seasonal rangers across Scotland contributing to a successful visitor management season, with 2023 fund launched with further funding from SG</w:t>
            </w:r>
          </w:p>
          <w:p w14:paraId="79DBCE7E" w14:textId="77777777" w:rsidR="00393BD7" w:rsidRPr="00393BD7" w:rsidRDefault="00393BD7" w:rsidP="003E7B62">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National Access Forum Guidance on wildlife disturbance finalised and key messages developed for promotion throughout 2023</w:t>
            </w:r>
          </w:p>
          <w:p w14:paraId="604E3B81" w14:textId="008DAA58" w:rsidR="00F550D1" w:rsidRPr="00F550D1" w:rsidRDefault="00393BD7" w:rsidP="003E7B62">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393BD7">
              <w:rPr>
                <w:rFonts w:ascii="Calibri" w:hAnsi="Calibri" w:cs="Calibri"/>
                <w:color w:val="000000"/>
                <w:szCs w:val="24"/>
              </w:rPr>
              <w:t>SOAC spring campaign (paid social media and radio) underway, work with social media influencers in progress, communications plan for 2023/24 drafted.  SOAC highlights for 2022/3 include: a refreshed resources for schools launched: SOAC on-line education pack; Phase 2 summer radio activity reached over 1.3m adults and social media (paid-for) delivered over 1.8m impressions; and continuing work with partners to increase impact and reach – e.g. Ramblers Scotland’s video campaigns targeting late teens and young adults aged 16-24.</w:t>
            </w:r>
          </w:p>
        </w:tc>
      </w:tr>
      <w:tr w:rsidR="00F550D1" w:rsidRPr="00F550D1" w14:paraId="16D902E0" w14:textId="77777777" w:rsidTr="00485D76">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5E9178A"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lastRenderedPageBreak/>
              <w:t>Influence the regulatory, policy, market and institutional infrastructure needed to stimulate private sector investment into nature</w:t>
            </w:r>
          </w:p>
        </w:tc>
        <w:tc>
          <w:tcPr>
            <w:tcW w:w="1559" w:type="dxa"/>
            <w:vAlign w:val="center"/>
          </w:tcPr>
          <w:p w14:paraId="7A38D807" w14:textId="77777777" w:rsidR="00F550D1" w:rsidRPr="00F550D1" w:rsidRDefault="00F550D1" w:rsidP="00F550D1">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71C48F02" w14:textId="77777777" w:rsidR="00F550D1" w:rsidRPr="00F550D1" w:rsidRDefault="00F550D1" w:rsidP="00F550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12DBA7AD" w14:textId="77777777" w:rsidR="002D216A" w:rsidRPr="002D216A" w:rsidRDefault="002D216A" w:rsidP="003E7B62">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 xml:space="preserve">Investment Ready Nature Scotland (IRNS) - Claims concluded. We will bring the projects together and begin to establish Community of Practice to learn from progress made and challenges faced. </w:t>
            </w:r>
          </w:p>
          <w:p w14:paraId="0FBC5704" w14:textId="77777777" w:rsidR="002D216A" w:rsidRPr="002D216A" w:rsidRDefault="002D216A" w:rsidP="003E7B62">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 xml:space="preserve">Hampden &amp; Co - Ministerial announcement in January. The Upper Tweed scoping report completed. </w:t>
            </w:r>
          </w:p>
          <w:p w14:paraId="4762ECA6" w14:textId="77777777" w:rsidR="002D216A" w:rsidRPr="002D216A" w:rsidRDefault="002D216A" w:rsidP="003E7B62">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 xml:space="preserve">Scottish Marine Environmental Enhancement Fund (SMEEF) - Project development/baseline survey grant round successfully completed with £245k of private finance distributed to 10 projects. Web developers working on presentation. Reputational risk associated with contributions from oil and gas industry is being addressed in a ministerial submission. </w:t>
            </w:r>
          </w:p>
          <w:p w14:paraId="391D7EFC" w14:textId="77777777" w:rsidR="002D216A" w:rsidRPr="002D216A" w:rsidRDefault="002D216A" w:rsidP="003E7B62">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 xml:space="preserve">FIRNS </w:t>
            </w:r>
            <w:proofErr w:type="gramStart"/>
            <w:r w:rsidRPr="002D216A">
              <w:rPr>
                <w:rFonts w:ascii="Calibri" w:hAnsi="Calibri" w:cs="Calibri"/>
                <w:color w:val="000000"/>
                <w:szCs w:val="24"/>
              </w:rPr>
              <w:t>-  Launched</w:t>
            </w:r>
            <w:proofErr w:type="gramEnd"/>
            <w:r w:rsidRPr="002D216A">
              <w:rPr>
                <w:rFonts w:ascii="Calibri" w:hAnsi="Calibri" w:cs="Calibri"/>
                <w:color w:val="000000"/>
                <w:szCs w:val="24"/>
              </w:rPr>
              <w:t xml:space="preserve"> by Ministerial announcement in January. Gateway activity begun - raising awareness and understanding and encouraging/preparing potential grant applicants. Grant scheme ready for first expressions of interest in April 2023. Recruitment to Funding Team underway. </w:t>
            </w:r>
          </w:p>
          <w:p w14:paraId="3E4FCF85" w14:textId="3B9D6BDA" w:rsidR="00F550D1" w:rsidRPr="00F550D1" w:rsidRDefault="002D216A" w:rsidP="003E7B62">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It is not yet clear what milestones will be set for the 'landscape scale private investment in peatland pilot' but we are working, with SG, to develop criteria for candidate restoration projects and the design of the blended finance mechanism. New Peatland Investment Manager post will take this on once in post. We will develop our thinking on the resources (FTE, skills and knowledge) that we require to progress this objective. Work underway.</w:t>
            </w:r>
          </w:p>
        </w:tc>
      </w:tr>
      <w:tr w:rsidR="00F550D1" w:rsidRPr="00F550D1" w14:paraId="2934394A" w14:textId="77777777" w:rsidTr="00485D7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E5011E3"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t>Drive the establishment of Natural Capital as an integral part of public and private business planning and investment decisions at national, landscape and landholding/business scales</w:t>
            </w:r>
          </w:p>
        </w:tc>
        <w:tc>
          <w:tcPr>
            <w:tcW w:w="1559" w:type="dxa"/>
            <w:vAlign w:val="center"/>
          </w:tcPr>
          <w:p w14:paraId="00CAE206" w14:textId="77777777" w:rsidR="00F550D1" w:rsidRPr="00F550D1" w:rsidRDefault="00F550D1" w:rsidP="00F550D1">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024DA845" w14:textId="77777777" w:rsidR="00F550D1" w:rsidRPr="00F550D1" w:rsidRDefault="00F550D1" w:rsidP="00F550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5E47A4EE" w14:textId="77777777" w:rsidR="002D216A" w:rsidRPr="002D216A" w:rsidRDefault="002D216A" w:rsidP="003E7B62">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 xml:space="preserve">Priority public land hotspots were agreed early in Q4, and work groups set up to progress these. Next step is to agree future governance, priority and aims. </w:t>
            </w:r>
          </w:p>
          <w:p w14:paraId="7D8F160C" w14:textId="77777777" w:rsidR="002D216A" w:rsidRPr="002D216A" w:rsidRDefault="002D216A" w:rsidP="003E7B62">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 xml:space="preserve">We have advised the Borderlands natural capital programme which includes 5 </w:t>
            </w:r>
            <w:proofErr w:type="gramStart"/>
            <w:r w:rsidRPr="002D216A">
              <w:rPr>
                <w:rFonts w:ascii="Calibri" w:hAnsi="Calibri" w:cs="Calibri"/>
                <w:color w:val="000000"/>
                <w:szCs w:val="24"/>
              </w:rPr>
              <w:t>projects(</w:t>
            </w:r>
            <w:proofErr w:type="gramEnd"/>
            <w:r w:rsidRPr="002D216A">
              <w:rPr>
                <w:rFonts w:ascii="Calibri" w:hAnsi="Calibri" w:cs="Calibri"/>
                <w:color w:val="000000"/>
                <w:szCs w:val="24"/>
              </w:rPr>
              <w:t xml:space="preserve"> testing treasury Green book NC guidance) and helped steer the </w:t>
            </w:r>
            <w:proofErr w:type="spellStart"/>
            <w:r w:rsidRPr="002D216A">
              <w:rPr>
                <w:rFonts w:ascii="Calibri" w:hAnsi="Calibri" w:cs="Calibri"/>
                <w:color w:val="000000"/>
                <w:szCs w:val="24"/>
              </w:rPr>
              <w:t>Hunterston</w:t>
            </w:r>
            <w:proofErr w:type="spellEnd"/>
            <w:r w:rsidRPr="002D216A">
              <w:rPr>
                <w:rFonts w:ascii="Calibri" w:hAnsi="Calibri" w:cs="Calibri"/>
                <w:color w:val="000000"/>
                <w:szCs w:val="24"/>
              </w:rPr>
              <w:t xml:space="preserve"> Strategic Development on their recent Natural Capital Assessment. Scottish Water are also progressing a number of natural capital based initiatives </w:t>
            </w:r>
          </w:p>
          <w:p w14:paraId="6FEB193D" w14:textId="754DD785" w:rsidR="00F550D1" w:rsidRPr="00F550D1" w:rsidRDefault="002D216A" w:rsidP="003E7B62">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D216A">
              <w:rPr>
                <w:rFonts w:ascii="Calibri" w:hAnsi="Calibri" w:cs="Calibri"/>
                <w:color w:val="000000"/>
                <w:szCs w:val="24"/>
              </w:rPr>
              <w:t>Further stakeholder workshops on Landscape Tool development - stakeholder group engagement on going sufficient to test tool once developed.</w:t>
            </w:r>
          </w:p>
        </w:tc>
      </w:tr>
      <w:tr w:rsidR="00F550D1" w:rsidRPr="00F550D1" w14:paraId="43B95BFD" w14:textId="77777777" w:rsidTr="00485D76">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538696BC"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lastRenderedPageBreak/>
              <w:t>Promote understanding and awareness of skills and capacity needs for the nature based sector</w:t>
            </w:r>
          </w:p>
        </w:tc>
        <w:tc>
          <w:tcPr>
            <w:tcW w:w="1559" w:type="dxa"/>
            <w:vAlign w:val="center"/>
          </w:tcPr>
          <w:p w14:paraId="6D5195BE" w14:textId="77777777" w:rsidR="00F550D1" w:rsidRPr="00F550D1" w:rsidRDefault="00F550D1" w:rsidP="00F550D1">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Nick Halfhide</w:t>
            </w:r>
          </w:p>
        </w:tc>
        <w:tc>
          <w:tcPr>
            <w:tcW w:w="993" w:type="dxa"/>
            <w:shd w:val="clear" w:color="auto" w:fill="9BBB59" w:themeFill="accent3"/>
            <w:vAlign w:val="center"/>
          </w:tcPr>
          <w:p w14:paraId="6DEA85FE" w14:textId="77777777" w:rsidR="00F550D1" w:rsidRPr="00F550D1" w:rsidRDefault="00F550D1" w:rsidP="00F550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210ABAAB" w14:textId="77777777" w:rsidR="00393BD7" w:rsidRPr="00393BD7" w:rsidRDefault="00393BD7" w:rsidP="003E7B62">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93BD7">
              <w:rPr>
                <w:rFonts w:ascii="Calibri" w:hAnsi="Calibri" w:cs="Calibri"/>
                <w:szCs w:val="24"/>
              </w:rPr>
              <w:t>Nature Restoration Jobs and Skills Conference held with 350 registrations, 8 External Speakers, Ministerial attendance.</w:t>
            </w:r>
          </w:p>
          <w:p w14:paraId="33A8006C" w14:textId="77777777" w:rsidR="00393BD7" w:rsidRPr="00393BD7" w:rsidRDefault="00393BD7" w:rsidP="003E7B62">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93BD7">
              <w:rPr>
                <w:rFonts w:ascii="Calibri" w:hAnsi="Calibri" w:cs="Calibri"/>
                <w:szCs w:val="24"/>
              </w:rPr>
              <w:t>Nature Restoration Skills Week –23 Training Events delivered, including 12 in person events. Total of 350 people trained.</w:t>
            </w:r>
          </w:p>
          <w:p w14:paraId="4F2501F4" w14:textId="77777777" w:rsidR="00393BD7" w:rsidRPr="00393BD7" w:rsidRDefault="00393BD7" w:rsidP="003E7B62">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93BD7">
              <w:rPr>
                <w:rFonts w:ascii="Calibri" w:hAnsi="Calibri" w:cs="Calibri"/>
                <w:szCs w:val="24"/>
              </w:rPr>
              <w:t>Nature-based Jobs Showcase – 6 schools attended online event.</w:t>
            </w:r>
          </w:p>
          <w:p w14:paraId="59C8DBDC" w14:textId="77777777" w:rsidR="00393BD7" w:rsidRPr="00393BD7" w:rsidRDefault="00393BD7" w:rsidP="003E7B62">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93BD7">
              <w:rPr>
                <w:rFonts w:ascii="Calibri" w:hAnsi="Calibri" w:cs="Calibri"/>
                <w:szCs w:val="24"/>
              </w:rPr>
              <w:t>Working with Rivers Project - 12 placements recruited for 6 months with 11 employers each funded through Graduate Career Advantage Scotland (GCAS).</w:t>
            </w:r>
          </w:p>
          <w:p w14:paraId="09A7682F" w14:textId="1817ED51" w:rsidR="00393BD7" w:rsidRPr="00393BD7" w:rsidRDefault="00393BD7" w:rsidP="003E7B62">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93BD7">
              <w:rPr>
                <w:rFonts w:ascii="Calibri" w:hAnsi="Calibri" w:cs="Calibri"/>
                <w:szCs w:val="24"/>
              </w:rPr>
              <w:t>Make Your Mark volunteer campaign refreshed and nature-branded.</w:t>
            </w:r>
          </w:p>
          <w:p w14:paraId="76547DB5" w14:textId="52F8EF8E" w:rsidR="00393BD7" w:rsidRPr="00393BD7" w:rsidRDefault="00393BD7" w:rsidP="003E7B62">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93BD7">
              <w:rPr>
                <w:rFonts w:ascii="Calibri" w:hAnsi="Calibri" w:cs="Calibri"/>
                <w:szCs w:val="24"/>
              </w:rPr>
              <w:t xml:space="preserve">Over 20,000 volunteers supported through NatureScot funding for TCV, </w:t>
            </w:r>
            <w:proofErr w:type="spellStart"/>
            <w:r w:rsidRPr="00393BD7">
              <w:rPr>
                <w:rFonts w:ascii="Calibri" w:hAnsi="Calibri" w:cs="Calibri"/>
                <w:szCs w:val="24"/>
              </w:rPr>
              <w:t>YoungScot</w:t>
            </w:r>
            <w:proofErr w:type="spellEnd"/>
            <w:r w:rsidRPr="00393BD7">
              <w:rPr>
                <w:rFonts w:ascii="Calibri" w:hAnsi="Calibri" w:cs="Calibri"/>
                <w:szCs w:val="24"/>
              </w:rPr>
              <w:t xml:space="preserve">, John Muir Trust and Volunteer Matters and other </w:t>
            </w:r>
            <w:proofErr w:type="spellStart"/>
            <w:r w:rsidRPr="00393BD7">
              <w:rPr>
                <w:rFonts w:ascii="Calibri" w:hAnsi="Calibri" w:cs="Calibri"/>
                <w:szCs w:val="24"/>
              </w:rPr>
              <w:t>eNGOs</w:t>
            </w:r>
            <w:proofErr w:type="spellEnd"/>
            <w:r w:rsidRPr="00393BD7">
              <w:rPr>
                <w:rFonts w:ascii="Calibri" w:hAnsi="Calibri" w:cs="Calibri"/>
                <w:szCs w:val="24"/>
              </w:rPr>
              <w:t>.</w:t>
            </w:r>
          </w:p>
          <w:p w14:paraId="5C51A87B" w14:textId="418150B8" w:rsidR="00F550D1" w:rsidRPr="00F550D1" w:rsidRDefault="00F550D1" w:rsidP="001332B9">
            <w:pPr>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r>
    </w:tbl>
    <w:p w14:paraId="6CD6FD5B" w14:textId="301D9A4A" w:rsidR="00F550D1" w:rsidRPr="00F550D1" w:rsidRDefault="00F550D1" w:rsidP="00F550D1">
      <w:pPr>
        <w:spacing w:after="160" w:line="259" w:lineRule="auto"/>
        <w:rPr>
          <w:rFonts w:ascii="Calibri" w:eastAsiaTheme="majorEastAsia" w:hAnsi="Calibri" w:cs="Calibri"/>
          <w:b/>
          <w:szCs w:val="26"/>
        </w:rPr>
      </w:pPr>
    </w:p>
    <w:p w14:paraId="0EC26D3E" w14:textId="77777777" w:rsidR="00F550D1" w:rsidRPr="00F550D1" w:rsidRDefault="00F550D1" w:rsidP="00F550D1">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lastRenderedPageBreak/>
        <w:t>WE HAVE TRANSFORMED HOW WE WORK</w:t>
      </w:r>
    </w:p>
    <w:tbl>
      <w:tblPr>
        <w:tblStyle w:val="PlainTable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 HAVE TRANSFORMED HOW WE WORK Q1 UPDATE"/>
      </w:tblPr>
      <w:tblGrid>
        <w:gridCol w:w="3402"/>
        <w:gridCol w:w="1701"/>
        <w:gridCol w:w="993"/>
        <w:gridCol w:w="8309"/>
      </w:tblGrid>
      <w:tr w:rsidR="00F550D1" w:rsidRPr="00F550D1" w14:paraId="3043A749" w14:textId="77777777" w:rsidTr="001332B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3E5ADA0" w14:textId="2E9A761A" w:rsidR="00F550D1" w:rsidRPr="00F550D1" w:rsidRDefault="00034B4C" w:rsidP="00034B4C">
            <w:pPr>
              <w:rPr>
                <w:rFonts w:ascii="Calibri" w:hAnsi="Calibri" w:cs="Calibri"/>
                <w:szCs w:val="26"/>
              </w:rPr>
            </w:pPr>
            <w:r>
              <w:rPr>
                <w:rFonts w:ascii="Calibri" w:hAnsi="Calibri" w:cs="Calibri"/>
                <w:szCs w:val="26"/>
              </w:rPr>
              <w:t xml:space="preserve"> </w:t>
            </w:r>
            <w:r w:rsidR="00F550D1" w:rsidRPr="00F550D1">
              <w:rPr>
                <w:rFonts w:ascii="Calibri" w:hAnsi="Calibri" w:cs="Calibri"/>
                <w:szCs w:val="26"/>
              </w:rPr>
              <w:t>CORPORATE PLAN OBJECTIVE</w:t>
            </w:r>
          </w:p>
        </w:tc>
        <w:tc>
          <w:tcPr>
            <w:tcW w:w="1701" w:type="dxa"/>
            <w:vAlign w:val="center"/>
          </w:tcPr>
          <w:p w14:paraId="2D42C59E" w14:textId="77777777" w:rsidR="00F550D1" w:rsidRPr="00F550D1" w:rsidRDefault="00F550D1"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75A406DA" w14:textId="77777777" w:rsidR="00F550D1" w:rsidRPr="00F550D1" w:rsidRDefault="00F550D1"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309" w:type="dxa"/>
            <w:vAlign w:val="center"/>
          </w:tcPr>
          <w:p w14:paraId="30A7CBD6" w14:textId="66B143CE" w:rsidR="00F550D1" w:rsidRPr="00F550D1" w:rsidRDefault="007420DE" w:rsidP="00F550D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Q4</w:t>
            </w:r>
            <w:r w:rsidR="00F550D1" w:rsidRPr="00F550D1">
              <w:rPr>
                <w:rFonts w:ascii="Calibri" w:hAnsi="Calibri" w:cs="Calibri"/>
                <w:szCs w:val="26"/>
              </w:rPr>
              <w:t xml:space="preserve"> UPDATE</w:t>
            </w:r>
          </w:p>
        </w:tc>
      </w:tr>
      <w:tr w:rsidR="00F550D1" w:rsidRPr="00F550D1" w14:paraId="360DA9D1" w14:textId="77777777" w:rsidTr="001332B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2E756D7E"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t>Deliver new ways of working to stimulate achievement of our ambitions</w:t>
            </w:r>
          </w:p>
        </w:tc>
        <w:tc>
          <w:tcPr>
            <w:tcW w:w="1701" w:type="dxa"/>
            <w:vAlign w:val="center"/>
          </w:tcPr>
          <w:p w14:paraId="69F649AC" w14:textId="77777777" w:rsidR="00F550D1" w:rsidRPr="00F550D1" w:rsidRDefault="00F550D1" w:rsidP="00F550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28752F97" w14:textId="77777777" w:rsidR="00F550D1" w:rsidRPr="00F550D1" w:rsidRDefault="00F550D1" w:rsidP="00F550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309" w:type="dxa"/>
            <w:vAlign w:val="center"/>
          </w:tcPr>
          <w:p w14:paraId="75A23000" w14:textId="77777777" w:rsidR="007420DE" w:rsidRPr="007420DE" w:rsidRDefault="007420DE" w:rsidP="003E7B6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A strong quarter, and overall very good progress this year across all the programmes of work to enable new ways of working, despite resource &amp; capacity challenges.</w:t>
            </w:r>
          </w:p>
          <w:p w14:paraId="6A186F73" w14:textId="33A889A4" w:rsidR="007420DE" w:rsidRPr="007420DE" w:rsidRDefault="007420DE" w:rsidP="003E7B6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 xml:space="preserve">Workplaces – Edinburgh business case completed and submitted to SG. Recommendation to move to Meadowbank House is the focus of staff engagement and we are now moving to the implementation phase. Work on </w:t>
            </w:r>
            <w:r w:rsidR="00F240B0">
              <w:rPr>
                <w:rFonts w:ascii="Calibri" w:hAnsi="Calibri" w:cs="Calibri"/>
                <w:szCs w:val="24"/>
              </w:rPr>
              <w:t xml:space="preserve">Perth and Inverness </w:t>
            </w:r>
            <w:r w:rsidRPr="007420DE">
              <w:rPr>
                <w:rFonts w:ascii="Calibri" w:hAnsi="Calibri" w:cs="Calibri"/>
                <w:szCs w:val="24"/>
              </w:rPr>
              <w:t>business case</w:t>
            </w:r>
            <w:r w:rsidR="00F240B0">
              <w:rPr>
                <w:rFonts w:ascii="Calibri" w:hAnsi="Calibri" w:cs="Calibri"/>
                <w:szCs w:val="24"/>
              </w:rPr>
              <w:t>s has</w:t>
            </w:r>
            <w:r w:rsidRPr="007420DE">
              <w:rPr>
                <w:rFonts w:ascii="Calibri" w:hAnsi="Calibri" w:cs="Calibri"/>
                <w:szCs w:val="24"/>
              </w:rPr>
              <w:t xml:space="preserve"> been delayed due to this, however recruitment of a Programme Manager should mitigate further delays.</w:t>
            </w:r>
          </w:p>
          <w:p w14:paraId="46788DEE" w14:textId="77777777" w:rsidR="007420DE" w:rsidRPr="007420DE" w:rsidRDefault="007420DE" w:rsidP="003E7B6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 xml:space="preserve">Network security – all 888 windows laptops are now being protected, filtered and monitored by the new </w:t>
            </w:r>
            <w:proofErr w:type="spellStart"/>
            <w:r w:rsidRPr="007420DE">
              <w:rPr>
                <w:rFonts w:ascii="Calibri" w:hAnsi="Calibri" w:cs="Calibri"/>
                <w:szCs w:val="24"/>
              </w:rPr>
              <w:t>Zscaler</w:t>
            </w:r>
            <w:proofErr w:type="spellEnd"/>
            <w:r w:rsidRPr="007420DE">
              <w:rPr>
                <w:rFonts w:ascii="Calibri" w:hAnsi="Calibri" w:cs="Calibri"/>
                <w:szCs w:val="24"/>
              </w:rPr>
              <w:t xml:space="preserve"> service. Rollout of the ZPA service has now been deferred to 23/24, as the recent network problems and investigations have significantly impacted progress.</w:t>
            </w:r>
          </w:p>
          <w:p w14:paraId="19E9C6AB" w14:textId="77777777" w:rsidR="007420DE" w:rsidRPr="007420DE" w:rsidRDefault="007420DE" w:rsidP="003E7B6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 xml:space="preserve">Cloud Migration - We have renewed our license with Oracle, saving £82.8k. We are also making good progress with enabling our single sign-on/multifactor authentication for Fusion. Work is ongoing on designing the move of our GIS provision to a Cloud Service. We anticipate saving c£25k through decommissioning kit and licence rationalisation as a result. </w:t>
            </w:r>
          </w:p>
          <w:p w14:paraId="3877547B" w14:textId="77777777" w:rsidR="007420DE" w:rsidRPr="007420DE" w:rsidRDefault="007420DE" w:rsidP="003E7B6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 xml:space="preserve">We have implemented our unified </w:t>
            </w:r>
            <w:proofErr w:type="spellStart"/>
            <w:r w:rsidRPr="007420DE">
              <w:rPr>
                <w:rFonts w:ascii="Calibri" w:hAnsi="Calibri" w:cs="Calibri"/>
                <w:szCs w:val="24"/>
              </w:rPr>
              <w:t>comms</w:t>
            </w:r>
            <w:proofErr w:type="spellEnd"/>
            <w:r w:rsidRPr="007420DE">
              <w:rPr>
                <w:rFonts w:ascii="Calibri" w:hAnsi="Calibri" w:cs="Calibri"/>
                <w:szCs w:val="24"/>
              </w:rPr>
              <w:t xml:space="preserve"> approach, moving </w:t>
            </w:r>
            <w:proofErr w:type="spellStart"/>
            <w:r w:rsidRPr="007420DE">
              <w:rPr>
                <w:rFonts w:ascii="Calibri" w:hAnsi="Calibri" w:cs="Calibri"/>
                <w:szCs w:val="24"/>
              </w:rPr>
              <w:t>eMail</w:t>
            </w:r>
            <w:proofErr w:type="spellEnd"/>
            <w:r w:rsidRPr="007420DE">
              <w:rPr>
                <w:rFonts w:ascii="Calibri" w:hAnsi="Calibri" w:cs="Calibri"/>
                <w:szCs w:val="24"/>
              </w:rPr>
              <w:t xml:space="preserve"> to the cloud, rolling out soft phones and new handsets.</w:t>
            </w:r>
          </w:p>
          <w:p w14:paraId="54F0BBAA" w14:textId="77777777" w:rsidR="007420DE" w:rsidRPr="007420DE" w:rsidRDefault="007420DE" w:rsidP="003E7B6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We are making good progress on moving our Objective document and records management system to the cloud. Implementation is on track for Q1.</w:t>
            </w:r>
          </w:p>
          <w:p w14:paraId="325C3F73" w14:textId="77777777" w:rsidR="007420DE" w:rsidRPr="007420DE" w:rsidRDefault="007420DE" w:rsidP="003E7B6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 xml:space="preserve">Net-zero - further electrification of our fleet and installation of photovoltaic panels at Golspie. This now has an A+ energy certificate rating and a negative score making it officially our first net-zero office. </w:t>
            </w:r>
          </w:p>
          <w:p w14:paraId="71F7448C" w14:textId="17FAFEB0" w:rsidR="001332B9" w:rsidRPr="00F550D1" w:rsidRDefault="007420DE" w:rsidP="003E7B6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We achieved sign-off the 21/22 Annual Report and Accounts in December. We commenced our Business Intelligence project bringing a new skill set to aid our strategic decision making.</w:t>
            </w:r>
          </w:p>
        </w:tc>
      </w:tr>
      <w:tr w:rsidR="00F550D1" w:rsidRPr="00F550D1" w14:paraId="0EE0F142" w14:textId="77777777" w:rsidTr="001332B9">
        <w:trPr>
          <w:cantSplit/>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538939D"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lastRenderedPageBreak/>
              <w:t>Transform our individual and collective leadership capability</w:t>
            </w:r>
          </w:p>
        </w:tc>
        <w:tc>
          <w:tcPr>
            <w:tcW w:w="1701" w:type="dxa"/>
            <w:vAlign w:val="center"/>
          </w:tcPr>
          <w:p w14:paraId="2683BBF6" w14:textId="77777777" w:rsidR="00F550D1" w:rsidRPr="00F550D1" w:rsidRDefault="00F550D1" w:rsidP="00F550D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26CEA29D" w14:textId="77777777" w:rsidR="00F550D1" w:rsidRPr="00F550D1" w:rsidRDefault="00F550D1" w:rsidP="00F550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b/>
                <w:szCs w:val="24"/>
              </w:rPr>
              <w:t>GREEN</w:t>
            </w:r>
          </w:p>
        </w:tc>
        <w:tc>
          <w:tcPr>
            <w:tcW w:w="8309" w:type="dxa"/>
            <w:vAlign w:val="center"/>
          </w:tcPr>
          <w:p w14:paraId="1F35C988" w14:textId="77777777" w:rsidR="007420DE" w:rsidRPr="007420DE" w:rsidRDefault="007420DE" w:rsidP="003E7B62">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420DE">
              <w:rPr>
                <w:rFonts w:ascii="Calibri" w:hAnsi="Calibri" w:cs="Calibri"/>
                <w:szCs w:val="24"/>
              </w:rPr>
              <w:t>People Strategy and delivery programme due to be finalised in early Q1. Minor slippage.</w:t>
            </w:r>
          </w:p>
          <w:p w14:paraId="6D8125B8" w14:textId="05391C9F" w:rsidR="007420DE" w:rsidRPr="007420DE" w:rsidRDefault="007420DE" w:rsidP="003E7B62">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420DE">
              <w:rPr>
                <w:rFonts w:ascii="Calibri" w:hAnsi="Calibri" w:cs="Calibri"/>
                <w:szCs w:val="24"/>
              </w:rPr>
              <w:t>Learning framework publicised and also new learning packs created for managers and employees.</w:t>
            </w:r>
          </w:p>
          <w:p w14:paraId="0E90F058" w14:textId="77777777" w:rsidR="007420DE" w:rsidRPr="007420DE" w:rsidRDefault="007420DE" w:rsidP="003E7B62">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420DE">
              <w:rPr>
                <w:rFonts w:ascii="Calibri" w:hAnsi="Calibri" w:cs="Calibri"/>
                <w:szCs w:val="24"/>
              </w:rPr>
              <w:t xml:space="preserve">We are working on the transition of the organisation design work in to the wider organisational development programme. </w:t>
            </w:r>
          </w:p>
          <w:p w14:paraId="656FD8E7" w14:textId="6961140B" w:rsidR="00F550D1" w:rsidRPr="00F550D1" w:rsidRDefault="007420DE" w:rsidP="003E7B62">
            <w:pPr>
              <w:numPr>
                <w:ilvl w:val="0"/>
                <w:numId w:val="12"/>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7420DE">
              <w:rPr>
                <w:rFonts w:ascii="Calibri" w:hAnsi="Calibri" w:cs="Calibri"/>
                <w:szCs w:val="24"/>
              </w:rPr>
              <w:t xml:space="preserve">Although no set budget allocation for Programme for Youth Employment, work continues on improving the offering and how we can mainstream this into core vacancies.  </w:t>
            </w:r>
          </w:p>
        </w:tc>
      </w:tr>
      <w:tr w:rsidR="00F550D1" w:rsidRPr="00F550D1" w14:paraId="53813163" w14:textId="77777777" w:rsidTr="001332B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694348F" w14:textId="77777777" w:rsidR="00F550D1" w:rsidRPr="00F550D1" w:rsidRDefault="00F550D1" w:rsidP="00F550D1">
            <w:pPr>
              <w:rPr>
                <w:rFonts w:ascii="Calibri" w:hAnsi="Calibri" w:cs="Calibri"/>
                <w:b w:val="0"/>
                <w:color w:val="000000"/>
                <w:szCs w:val="24"/>
              </w:rPr>
            </w:pPr>
            <w:r w:rsidRPr="00F550D1">
              <w:rPr>
                <w:rFonts w:ascii="Calibri" w:hAnsi="Calibri" w:cs="Calibri"/>
                <w:b w:val="0"/>
                <w:color w:val="000000"/>
                <w:szCs w:val="24"/>
              </w:rPr>
              <w:t>Sustain our focus on developing a happy and resilient workforce</w:t>
            </w:r>
          </w:p>
        </w:tc>
        <w:tc>
          <w:tcPr>
            <w:tcW w:w="1701" w:type="dxa"/>
            <w:vAlign w:val="center"/>
          </w:tcPr>
          <w:p w14:paraId="5EB14C01" w14:textId="77777777" w:rsidR="00F550D1" w:rsidRPr="00F550D1" w:rsidRDefault="00F550D1" w:rsidP="00F550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52BDBE72" w14:textId="77777777" w:rsidR="00F550D1" w:rsidRPr="00F550D1" w:rsidRDefault="00F550D1" w:rsidP="00F550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b/>
                <w:szCs w:val="24"/>
              </w:rPr>
              <w:t>GREEN</w:t>
            </w:r>
          </w:p>
        </w:tc>
        <w:tc>
          <w:tcPr>
            <w:tcW w:w="8309" w:type="dxa"/>
            <w:vAlign w:val="center"/>
          </w:tcPr>
          <w:p w14:paraId="5E511168" w14:textId="1B8FBCA9" w:rsidR="007420DE" w:rsidRPr="007420DE" w:rsidRDefault="007420DE" w:rsidP="003E7B62">
            <w:pPr>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Equality Report completed endorsed by Board. Due to be published by end of April.</w:t>
            </w:r>
          </w:p>
          <w:p w14:paraId="6715A7B5" w14:textId="1AF7DB06" w:rsidR="007420DE" w:rsidRPr="007420DE" w:rsidRDefault="007420DE" w:rsidP="003E7B62">
            <w:pPr>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Employee Assistance Programme review underway.</w:t>
            </w:r>
          </w:p>
          <w:p w14:paraId="4C9A38C8" w14:textId="44CFBE4B" w:rsidR="00F550D1" w:rsidRPr="00F550D1" w:rsidRDefault="007420DE" w:rsidP="003E7B62">
            <w:pPr>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7420DE">
              <w:rPr>
                <w:rFonts w:ascii="Calibri" w:hAnsi="Calibri" w:cs="Calibri"/>
                <w:szCs w:val="24"/>
              </w:rPr>
              <w:t>People policy suites have slipped (minor). To be picked up in Q1</w:t>
            </w:r>
            <w:r w:rsidR="001332B9" w:rsidRPr="001332B9">
              <w:rPr>
                <w:rFonts w:ascii="Calibri" w:hAnsi="Calibri" w:cs="Calibri"/>
                <w:szCs w:val="24"/>
              </w:rPr>
              <w:t>.</w:t>
            </w:r>
          </w:p>
        </w:tc>
      </w:tr>
    </w:tbl>
    <w:p w14:paraId="0E0F8580" w14:textId="77777777" w:rsidR="000419B1" w:rsidRPr="00A65145" w:rsidRDefault="000419B1" w:rsidP="000419B1">
      <w:pPr>
        <w:rPr>
          <w:color w:val="000000" w:themeColor="text1"/>
        </w:rPr>
      </w:pPr>
    </w:p>
    <w:p w14:paraId="04812618" w14:textId="36BB8A8A" w:rsidR="000419B1" w:rsidRPr="00230933" w:rsidRDefault="000419B1" w:rsidP="003E7B62">
      <w:pPr>
        <w:pStyle w:val="ListParagraph"/>
        <w:numPr>
          <w:ilvl w:val="0"/>
          <w:numId w:val="1"/>
        </w:numPr>
        <w:rPr>
          <w:rFonts w:ascii="Calibri" w:eastAsia="Calibri" w:hAnsi="Calibri" w:cs="Calibri"/>
          <w:color w:val="000000" w:themeColor="text1"/>
          <w:szCs w:val="24"/>
        </w:rPr>
      </w:pPr>
      <w:r w:rsidRPr="00230933">
        <w:rPr>
          <w:rFonts w:ascii="Calibri" w:eastAsia="Calibri" w:hAnsi="Calibri" w:cs="Calibri"/>
          <w:color w:val="000000" w:themeColor="text1"/>
          <w:szCs w:val="24"/>
        </w:rPr>
        <w:t xml:space="preserve">Over the last quarter we are on track to achieve 14 out of the 15 Corporate Plan objectives, the reasons for the slippage can be noted in the above tables.  There is </w:t>
      </w:r>
      <w:r w:rsidR="0049286B">
        <w:rPr>
          <w:rFonts w:ascii="Calibri" w:eastAsia="Calibri" w:hAnsi="Calibri" w:cs="Calibri"/>
          <w:color w:val="000000" w:themeColor="text1"/>
          <w:szCs w:val="24"/>
        </w:rPr>
        <w:t>only one objective marked as amber</w:t>
      </w:r>
      <w:r w:rsidRPr="00230933">
        <w:rPr>
          <w:rFonts w:ascii="Calibri" w:eastAsia="Calibri" w:hAnsi="Calibri" w:cs="Calibri"/>
          <w:color w:val="000000" w:themeColor="text1"/>
          <w:szCs w:val="24"/>
        </w:rPr>
        <w:t xml:space="preserve"> at this point:</w:t>
      </w:r>
      <w:r w:rsidRPr="00230933">
        <w:rPr>
          <w:rFonts w:ascii="Calibri" w:eastAsia="Calibri" w:hAnsi="Calibri" w:cs="Calibri"/>
          <w:color w:val="000000" w:themeColor="text1"/>
          <w:szCs w:val="24"/>
        </w:rPr>
        <w:tab/>
      </w:r>
    </w:p>
    <w:p w14:paraId="699F08BC" w14:textId="25DA73A6" w:rsidR="000419B1" w:rsidRPr="0049286B" w:rsidRDefault="000419B1" w:rsidP="003E7B62">
      <w:pPr>
        <w:pStyle w:val="ListParagraph"/>
        <w:numPr>
          <w:ilvl w:val="1"/>
          <w:numId w:val="1"/>
        </w:numPr>
        <w:ind w:left="643"/>
        <w:rPr>
          <w:rFonts w:ascii="Calibri" w:eastAsia="Calibri" w:hAnsi="Calibri" w:cs="Calibri"/>
          <w:color w:val="000000" w:themeColor="text1"/>
          <w:szCs w:val="24"/>
        </w:rPr>
      </w:pPr>
      <w:r w:rsidRPr="00230933">
        <w:rPr>
          <w:rFonts w:ascii="Calibri" w:hAnsi="Calibri" w:cs="Calibri"/>
          <w:color w:val="000000" w:themeColor="text1"/>
          <w:szCs w:val="24"/>
        </w:rPr>
        <w:t>Scale up Peatland Restoration by delivering Peatland ACTION funding to projects</w:t>
      </w:r>
    </w:p>
    <w:p w14:paraId="4893668B" w14:textId="28AB7251" w:rsidR="0049286B" w:rsidRPr="00230933" w:rsidRDefault="0049286B" w:rsidP="003E7B62">
      <w:pPr>
        <w:pStyle w:val="ListParagraph"/>
        <w:numPr>
          <w:ilvl w:val="2"/>
          <w:numId w:val="1"/>
        </w:numPr>
        <w:rPr>
          <w:rFonts w:ascii="Calibri" w:eastAsia="Calibri" w:hAnsi="Calibri" w:cs="Calibri"/>
          <w:color w:val="000000" w:themeColor="text1"/>
          <w:szCs w:val="24"/>
        </w:rPr>
      </w:pPr>
      <w:r>
        <w:rPr>
          <w:rFonts w:ascii="Calibri" w:hAnsi="Calibri" w:cs="Calibri"/>
          <w:color w:val="000000" w:themeColor="text1"/>
          <w:szCs w:val="24"/>
        </w:rPr>
        <w:t>This is as a result of a reduced hectare target and Peatland Code delays.</w:t>
      </w:r>
    </w:p>
    <w:p w14:paraId="357A17A6" w14:textId="18F9F5FE" w:rsidR="00003504" w:rsidRDefault="00003504" w:rsidP="00003504">
      <w:pPr>
        <w:rPr>
          <w:rFonts w:ascii="Calibri" w:eastAsia="Calibri" w:hAnsi="Calibri" w:cs="Calibri"/>
          <w:color w:val="000000" w:themeColor="text1"/>
          <w:szCs w:val="24"/>
        </w:rPr>
      </w:pPr>
    </w:p>
    <w:p w14:paraId="485EBEE8" w14:textId="77777777" w:rsidR="00003504" w:rsidRPr="00003504" w:rsidRDefault="00003504" w:rsidP="00003504">
      <w:pPr>
        <w:rPr>
          <w:rFonts w:ascii="Calibri" w:eastAsia="Calibri" w:hAnsi="Calibri" w:cs="Calibri"/>
          <w:color w:val="000000" w:themeColor="text1"/>
          <w:szCs w:val="24"/>
        </w:rPr>
        <w:sectPr w:rsidR="00003504" w:rsidRPr="00003504" w:rsidSect="000419B1">
          <w:pgSz w:w="16838" w:h="11906" w:orient="landscape"/>
          <w:pgMar w:top="1440" w:right="993" w:bottom="1440" w:left="1440" w:header="567" w:footer="708" w:gutter="0"/>
          <w:cols w:space="708"/>
          <w:docGrid w:linePitch="360"/>
        </w:sectPr>
      </w:pPr>
    </w:p>
    <w:p w14:paraId="34C2580A" w14:textId="77777777" w:rsidR="00953894" w:rsidRDefault="00953894" w:rsidP="00953894">
      <w:pPr>
        <w:pStyle w:val="Heading2"/>
        <w:rPr>
          <w:rFonts w:ascii="Calibri" w:hAnsi="Calibri" w:cs="Calibri"/>
          <w:color w:val="5E8CC0"/>
        </w:rPr>
      </w:pPr>
      <w:r>
        <w:rPr>
          <w:rFonts w:ascii="Calibri" w:hAnsi="Calibri" w:cs="Calibri"/>
          <w:color w:val="5E8CC0"/>
        </w:rPr>
        <w:lastRenderedPageBreak/>
        <w:t>FINANCE</w:t>
      </w: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953894" w14:paraId="45305C2D" w14:textId="77777777" w:rsidTr="00953894">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EB839B9"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000000" w:themeColor="text1"/>
                <w:kern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C8B29A1"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000000" w:themeColor="text1"/>
                <w:kern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21C8BA8A"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000000" w:themeColor="text1"/>
                <w:kern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2CA90AB0"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000000" w:themeColor="text1"/>
                <w:kern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6C0BD182"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000000" w:themeColor="text1"/>
                <w:kern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C7164AF"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000000" w:themeColor="text1"/>
                <w:kern w:val="24"/>
                <w:szCs w:val="24"/>
                <w:lang w:eastAsia="en-GB"/>
              </w:rPr>
              <w:t>Rating</w:t>
            </w:r>
          </w:p>
        </w:tc>
      </w:tr>
      <w:tr w:rsidR="00953894" w14:paraId="6FB4E070" w14:textId="77777777" w:rsidTr="00733EC2">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B4CF294"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Cs/>
                <w:color w:val="000000" w:themeColor="dark1"/>
                <w:kern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0202F581"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6911255"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58.3</w:t>
            </w:r>
          </w:p>
        </w:tc>
        <w:tc>
          <w:tcPr>
            <w:tcW w:w="118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67910C3"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56.6</w:t>
            </w:r>
          </w:p>
        </w:tc>
        <w:tc>
          <w:tcPr>
            <w:tcW w:w="139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D84D711"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kern w:val="24"/>
                <w:szCs w:val="24"/>
                <w:lang w:eastAsia="en-GB"/>
              </w:rPr>
              <w:t>1.7</w:t>
            </w:r>
          </w:p>
        </w:tc>
        <w:tc>
          <w:tcPr>
            <w:tcW w:w="1701"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C3B72ED"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F79646" w:themeColor="accent6"/>
                <w:kern w:val="24"/>
                <w:szCs w:val="24"/>
                <w:lang w:eastAsia="en-GB"/>
              </w:rPr>
              <w:t>MINOR SLIPPAGE</w:t>
            </w:r>
          </w:p>
        </w:tc>
      </w:tr>
      <w:tr w:rsidR="00953894" w14:paraId="62592105" w14:textId="77777777" w:rsidTr="00733EC2">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09130993" w14:textId="77777777" w:rsidR="00953894" w:rsidRDefault="00953894">
            <w:pPr>
              <w:spacing w:line="256" w:lineRule="auto"/>
              <w:jc w:val="center"/>
              <w:rPr>
                <w:rFonts w:ascii="Calibri" w:eastAsia="Times New Roman" w:hAnsi="Calibri" w:cs="Calibri"/>
                <w:szCs w:val="24"/>
                <w:lang w:eastAsia="en-GB"/>
              </w:rPr>
            </w:pPr>
            <w:r>
              <w:rPr>
                <w:rFonts w:ascii="Calibri" w:eastAsiaTheme="minorEastAsia" w:hAnsi="Calibri" w:cs="Calibri"/>
                <w:bCs/>
                <w:color w:val="000000" w:themeColor="dark1"/>
                <w:kern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3A62FAA2"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5%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0235F578"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2.3</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6B169D2F"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2.0</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5D9914CD" w14:textId="1775D711" w:rsidR="00953894" w:rsidRDefault="00EA7660">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0.2</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54BFEFA3"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FF0000"/>
                <w:kern w:val="24"/>
                <w:szCs w:val="24"/>
                <w:lang w:eastAsia="en-GB"/>
              </w:rPr>
              <w:t>MAJOR SLIPPAGE</w:t>
            </w:r>
          </w:p>
        </w:tc>
      </w:tr>
      <w:tr w:rsidR="00953894" w14:paraId="73FB7466" w14:textId="77777777" w:rsidTr="00733EC2">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1054B0BC" w14:textId="77777777" w:rsidR="00953894" w:rsidRDefault="00953894">
            <w:pPr>
              <w:spacing w:line="256" w:lineRule="auto"/>
              <w:jc w:val="center"/>
              <w:rPr>
                <w:rFonts w:ascii="Calibri" w:eastAsiaTheme="minorEastAsia" w:hAnsi="Calibri" w:cs="Calibri"/>
                <w:bCs/>
                <w:color w:val="000000" w:themeColor="dark1"/>
                <w:kern w:val="24"/>
                <w:szCs w:val="24"/>
                <w:lang w:eastAsia="en-GB"/>
              </w:rPr>
            </w:pPr>
            <w:r>
              <w:rPr>
                <w:rFonts w:ascii="Calibri" w:eastAsiaTheme="minorEastAsia" w:hAnsi="Calibri" w:cs="Calibri"/>
                <w:bCs/>
                <w:color w:val="000000" w:themeColor="dark1"/>
                <w:kern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1C0CCFB3"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5%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288D0BB" w14:textId="77777777" w:rsidR="00953894" w:rsidRDefault="00953894">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11.6</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5BC7372" w14:textId="4BF558CE" w:rsidR="00953894" w:rsidRDefault="00EA7660">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11.8</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9A5AA43" w14:textId="78C84BB6" w:rsidR="00953894" w:rsidRDefault="00EA7660">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FF0000"/>
                <w:kern w:val="24"/>
                <w:szCs w:val="24"/>
                <w:lang w:eastAsia="en-GB"/>
              </w:rPr>
              <w:t>(0.2</w:t>
            </w:r>
            <w:r w:rsidR="00953894">
              <w:rPr>
                <w:rFonts w:ascii="Calibri" w:eastAsia="Times New Roman" w:hAnsi="Calibri" w:cs="Calibri"/>
                <w:color w:val="FF0000"/>
                <w:kern w:val="24"/>
                <w:szCs w:val="24"/>
                <w:lang w:eastAsia="en-GB"/>
              </w:rPr>
              <w:t>)</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1381C1FB" w14:textId="77777777" w:rsidR="00953894" w:rsidRDefault="00953894">
            <w:pPr>
              <w:spacing w:line="256" w:lineRule="auto"/>
              <w:jc w:val="center"/>
              <w:rPr>
                <w:rFonts w:ascii="Calibri" w:eastAsia="Times New Roman" w:hAnsi="Calibri" w:cs="Calibri"/>
                <w:b/>
                <w:bCs/>
                <w:color w:val="00B050"/>
                <w:kern w:val="24"/>
                <w:szCs w:val="24"/>
                <w:lang w:eastAsia="en-GB"/>
              </w:rPr>
            </w:pPr>
            <w:r>
              <w:rPr>
                <w:rFonts w:ascii="Calibri" w:eastAsia="Times New Roman" w:hAnsi="Calibri" w:cs="Calibri"/>
                <w:b/>
                <w:bCs/>
                <w:color w:val="00B050"/>
                <w:kern w:val="24"/>
                <w:szCs w:val="24"/>
                <w:lang w:eastAsia="en-GB"/>
              </w:rPr>
              <w:t>ON TRACK</w:t>
            </w:r>
          </w:p>
        </w:tc>
      </w:tr>
      <w:tr w:rsidR="00953894" w14:paraId="2BB0883E" w14:textId="77777777" w:rsidTr="00733EC2">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10AD726E"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Cs/>
                <w:color w:val="000000" w:themeColor="dark1"/>
                <w:kern w:val="24"/>
                <w:szCs w:val="24"/>
                <w:lang w:eastAsia="en-GB"/>
              </w:rPr>
              <w:t>Paybill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690BA5B9"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7EE19A25"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34.6</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2FE38BE2"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34.5</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477A1C1E"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32957B86" w14:textId="77777777" w:rsidR="00953894" w:rsidRDefault="00953894">
            <w:pPr>
              <w:spacing w:line="256" w:lineRule="auto"/>
              <w:jc w:val="center"/>
              <w:rPr>
                <w:rFonts w:ascii="Calibri" w:eastAsia="Times New Roman" w:hAnsi="Calibri" w:cs="Calibri"/>
                <w:color w:val="F79646" w:themeColor="accent6"/>
                <w:szCs w:val="24"/>
                <w:lang w:eastAsia="en-GB"/>
              </w:rPr>
            </w:pPr>
            <w:r>
              <w:rPr>
                <w:rFonts w:ascii="Calibri" w:eastAsia="Times New Roman" w:hAnsi="Calibri" w:cs="Calibri"/>
                <w:b/>
                <w:bCs/>
                <w:color w:val="00B050"/>
                <w:kern w:val="24"/>
                <w:szCs w:val="24"/>
                <w:lang w:eastAsia="en-GB"/>
              </w:rPr>
              <w:t>ON TRACK</w:t>
            </w:r>
          </w:p>
        </w:tc>
      </w:tr>
      <w:tr w:rsidR="00953894" w14:paraId="3A2B0DE6" w14:textId="77777777" w:rsidTr="00733EC2">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E676DB8" w14:textId="77777777" w:rsidR="00953894" w:rsidRDefault="00953894">
            <w:pPr>
              <w:spacing w:line="256" w:lineRule="auto"/>
              <w:jc w:val="center"/>
              <w:rPr>
                <w:rFonts w:ascii="Calibri" w:eastAsia="Times New Roman" w:hAnsi="Calibri" w:cs="Calibri"/>
                <w:szCs w:val="24"/>
                <w:lang w:eastAsia="en-GB"/>
              </w:rPr>
            </w:pPr>
            <w:r>
              <w:rPr>
                <w:rFonts w:ascii="Calibri" w:eastAsiaTheme="minorEastAsia" w:hAnsi="Calibri" w:cs="Calibri"/>
                <w:bCs/>
                <w:color w:val="000000" w:themeColor="dark1"/>
                <w:kern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50E8F25A"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target allocation range</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13A63D9D"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16.7</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B967E7C" w14:textId="3956842A" w:rsidR="00953894" w:rsidRDefault="00733EC2">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17.0</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077F3BB5" w14:textId="5D0AFB05" w:rsidR="00953894" w:rsidRDefault="00733EC2">
            <w:pPr>
              <w:spacing w:line="256" w:lineRule="auto"/>
              <w:jc w:val="center"/>
              <w:rPr>
                <w:rFonts w:ascii="Calibri" w:eastAsia="Times New Roman" w:hAnsi="Calibri" w:cs="Calibri"/>
                <w:szCs w:val="24"/>
                <w:lang w:eastAsia="en-GB"/>
              </w:rPr>
            </w:pPr>
            <w:r>
              <w:rPr>
                <w:rFonts w:ascii="Calibri" w:eastAsia="Times New Roman" w:hAnsi="Calibri" w:cs="Calibri"/>
                <w:color w:val="FF0000"/>
                <w:kern w:val="24"/>
                <w:szCs w:val="24"/>
                <w:lang w:eastAsia="en-GB"/>
              </w:rPr>
              <w:t>(0.2</w:t>
            </w:r>
            <w:r w:rsidR="00953894">
              <w:rPr>
                <w:rFonts w:ascii="Calibri" w:eastAsia="Times New Roman" w:hAnsi="Calibri" w:cs="Calibri"/>
                <w:color w:val="FF0000"/>
                <w:kern w:val="24"/>
                <w:szCs w:val="24"/>
                <w:lang w:eastAsia="en-GB"/>
              </w:rPr>
              <w:t>)</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7224E85" w14:textId="35357D10" w:rsidR="00953894" w:rsidRDefault="00733EC2">
            <w:pPr>
              <w:spacing w:line="256" w:lineRule="auto"/>
              <w:jc w:val="center"/>
              <w:rPr>
                <w:rFonts w:ascii="Calibri" w:eastAsia="Times New Roman" w:hAnsi="Calibri" w:cs="Calibri"/>
                <w:color w:val="F79646" w:themeColor="accent6"/>
                <w:szCs w:val="24"/>
                <w:lang w:eastAsia="en-GB"/>
              </w:rPr>
            </w:pPr>
            <w:r w:rsidRPr="00733EC2">
              <w:rPr>
                <w:rFonts w:ascii="Calibri" w:eastAsia="Times New Roman" w:hAnsi="Calibri" w:cs="Calibri"/>
                <w:b/>
                <w:bCs/>
                <w:color w:val="00B050"/>
                <w:kern w:val="24"/>
                <w:szCs w:val="24"/>
                <w:lang w:eastAsia="en-GB"/>
              </w:rPr>
              <w:t>ON TRACK</w:t>
            </w:r>
          </w:p>
        </w:tc>
      </w:tr>
      <w:tr w:rsidR="00953894" w14:paraId="49814A3E" w14:textId="77777777" w:rsidTr="00953894">
        <w:trPr>
          <w:trHeight w:val="64"/>
        </w:trPr>
        <w:tc>
          <w:tcPr>
            <w:tcW w:w="2080"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20C0F245" w14:textId="77777777" w:rsidR="00953894" w:rsidRDefault="00953894">
            <w:pPr>
              <w:spacing w:line="256" w:lineRule="auto"/>
              <w:jc w:val="center"/>
              <w:rPr>
                <w:rFonts w:ascii="Calibri" w:eastAsiaTheme="minorEastAsia" w:hAnsi="Calibri" w:cs="Calibri"/>
                <w:bCs/>
                <w:color w:val="000000" w:themeColor="dark1"/>
                <w:kern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tcPr>
          <w:p w14:paraId="251B0002" w14:textId="77777777" w:rsidR="00953894" w:rsidRDefault="00953894">
            <w:pPr>
              <w:spacing w:line="256" w:lineRule="auto"/>
              <w:jc w:val="center"/>
              <w:rPr>
                <w:rFonts w:ascii="Calibri" w:eastAsia="Times New Roman" w:hAnsi="Calibri" w:cs="Calibri"/>
                <w:color w:val="000000" w:themeColor="dark1"/>
                <w:kern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17DC1662" w14:textId="77777777" w:rsidR="00953894" w:rsidRDefault="00953894">
            <w:pPr>
              <w:spacing w:line="256" w:lineRule="auto"/>
              <w:jc w:val="center"/>
              <w:rPr>
                <w:rFonts w:ascii="Calibri" w:eastAsia="Times New Roman" w:hAnsi="Calibri" w:cs="Calibri"/>
                <w:color w:val="000000" w:themeColor="dark1"/>
                <w:kern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71537648" w14:textId="77777777" w:rsidR="00953894" w:rsidRDefault="00953894">
            <w:pPr>
              <w:spacing w:line="256" w:lineRule="auto"/>
              <w:jc w:val="center"/>
              <w:rPr>
                <w:rFonts w:ascii="Calibri" w:eastAsia="Times New Roman" w:hAnsi="Calibri" w:cs="Calibri"/>
                <w:color w:val="000000" w:themeColor="dark1"/>
                <w:kern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29ED8957" w14:textId="77777777" w:rsidR="00953894" w:rsidRDefault="00953894">
            <w:pPr>
              <w:spacing w:line="256" w:lineRule="auto"/>
              <w:jc w:val="center"/>
              <w:rPr>
                <w:rFonts w:ascii="Calibri" w:eastAsia="Times New Roman" w:hAnsi="Calibri" w:cs="Calibri"/>
                <w:color w:val="000000" w:themeColor="dark1"/>
                <w:kern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18BA98B6" w14:textId="77777777" w:rsidR="00953894" w:rsidRDefault="00953894">
            <w:pPr>
              <w:spacing w:line="256" w:lineRule="auto"/>
              <w:jc w:val="center"/>
              <w:rPr>
                <w:rFonts w:ascii="Calibri" w:eastAsia="Times New Roman" w:hAnsi="Calibri" w:cs="Calibri"/>
                <w:b/>
                <w:bCs/>
                <w:color w:val="FFC000"/>
                <w:kern w:val="24"/>
                <w:szCs w:val="24"/>
                <w:lang w:eastAsia="en-GB"/>
              </w:rPr>
            </w:pPr>
          </w:p>
        </w:tc>
      </w:tr>
      <w:tr w:rsidR="00953894" w14:paraId="0FCA3B43" w14:textId="77777777" w:rsidTr="00733EC2">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000A1B59" w14:textId="77777777" w:rsidR="00953894" w:rsidRDefault="00953894">
            <w:pPr>
              <w:spacing w:line="256" w:lineRule="auto"/>
              <w:jc w:val="center"/>
              <w:rPr>
                <w:rFonts w:ascii="Calibri" w:eastAsia="Times New Roman" w:hAnsi="Calibri" w:cs="Calibri"/>
                <w:szCs w:val="24"/>
                <w:lang w:eastAsia="en-GB"/>
              </w:rPr>
            </w:pPr>
            <w:r>
              <w:rPr>
                <w:rFonts w:ascii="Calibri" w:eastAsia="Arial" w:hAnsi="Calibri" w:cs="Calibri"/>
                <w:bCs/>
                <w:color w:val="000000" w:themeColor="text1"/>
                <w:kern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1EC7CB40"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71CD0647"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10.4</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176C9D4" w14:textId="4C699D28" w:rsidR="00953894" w:rsidRDefault="00EA7660">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10.5</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529A38F"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9745ABF" w14:textId="77777777" w:rsidR="00953894" w:rsidRDefault="00953894">
            <w:pPr>
              <w:spacing w:line="256" w:lineRule="auto"/>
              <w:jc w:val="center"/>
              <w:rPr>
                <w:rFonts w:ascii="Calibri" w:eastAsia="Times New Roman" w:hAnsi="Calibri" w:cs="Calibri"/>
                <w:color w:val="F79646" w:themeColor="accent6"/>
                <w:szCs w:val="24"/>
                <w:lang w:eastAsia="en-GB"/>
              </w:rPr>
            </w:pPr>
            <w:r>
              <w:rPr>
                <w:rFonts w:ascii="Calibri" w:eastAsia="Times New Roman" w:hAnsi="Calibri" w:cs="Calibri"/>
                <w:b/>
                <w:bCs/>
                <w:color w:val="00B050"/>
                <w:kern w:val="24"/>
                <w:szCs w:val="24"/>
                <w:lang w:eastAsia="en-GB"/>
              </w:rPr>
              <w:t>ON TRACK</w:t>
            </w:r>
          </w:p>
        </w:tc>
      </w:tr>
      <w:tr w:rsidR="00953894" w14:paraId="2EF72CB6" w14:textId="77777777" w:rsidTr="00953894">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5C504611" w14:textId="77777777" w:rsidR="00953894" w:rsidRDefault="00953894">
            <w:pPr>
              <w:spacing w:line="256" w:lineRule="auto"/>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Farming with Nature</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0E9CD405" w14:textId="77777777" w:rsidR="00953894" w:rsidRDefault="00953894">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317E6F20" w14:textId="36C56B98" w:rsidR="00953894" w:rsidRDefault="00EA7660">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2.9</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5A79F803" w14:textId="77777777" w:rsidR="00953894" w:rsidRDefault="00953894">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1.9</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142C7FAE" w14:textId="37C545A5" w:rsidR="00953894" w:rsidRDefault="00EA7660">
            <w:pPr>
              <w:spacing w:line="256" w:lineRule="auto"/>
              <w:jc w:val="center"/>
              <w:rPr>
                <w:rFonts w:ascii="Calibri" w:eastAsia="Times New Roman" w:hAnsi="Calibri" w:cs="Calibri"/>
                <w:color w:val="FF0000"/>
                <w:kern w:val="24"/>
                <w:szCs w:val="24"/>
                <w:lang w:eastAsia="en-GB"/>
              </w:rPr>
            </w:pPr>
            <w:r>
              <w:rPr>
                <w:rFonts w:ascii="Calibri" w:eastAsia="Times New Roman" w:hAnsi="Calibri" w:cs="Calibri"/>
                <w:color w:val="000000" w:themeColor="dark1"/>
                <w:kern w:val="24"/>
                <w:szCs w:val="24"/>
                <w:lang w:eastAsia="en-GB"/>
              </w:rPr>
              <w:t>1.0</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0A2B01F8" w14:textId="77777777" w:rsidR="00953894" w:rsidRDefault="00953894">
            <w:pPr>
              <w:spacing w:line="256" w:lineRule="auto"/>
              <w:jc w:val="center"/>
              <w:rPr>
                <w:rFonts w:ascii="Calibri" w:eastAsia="Times New Roman" w:hAnsi="Calibri" w:cs="Calibri"/>
                <w:b/>
                <w:bCs/>
                <w:color w:val="FFC000"/>
                <w:kern w:val="24"/>
                <w:szCs w:val="24"/>
                <w:lang w:eastAsia="en-GB"/>
              </w:rPr>
            </w:pPr>
            <w:r>
              <w:rPr>
                <w:rFonts w:ascii="Calibri" w:eastAsia="Times New Roman" w:hAnsi="Calibri" w:cs="Calibri"/>
                <w:b/>
                <w:bCs/>
                <w:color w:val="FF0000"/>
                <w:kern w:val="24"/>
                <w:szCs w:val="24"/>
                <w:lang w:eastAsia="en-GB"/>
              </w:rPr>
              <w:t>MAJOR SLIPPAGE</w:t>
            </w:r>
          </w:p>
        </w:tc>
      </w:tr>
      <w:tr w:rsidR="00953894" w14:paraId="6BF9F28D" w14:textId="77777777" w:rsidTr="00733EC2">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B7AFCA3"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183ACDBD"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2F37AF1"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1.3</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71C03AA0" w14:textId="36494A4B" w:rsidR="00953894" w:rsidRDefault="00EA7660">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1.2</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76960C79" w14:textId="4D5BCCBA" w:rsidR="00953894" w:rsidRDefault="00EA7660">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75698400"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FF0000"/>
                <w:kern w:val="24"/>
                <w:szCs w:val="24"/>
                <w:lang w:eastAsia="en-GB"/>
              </w:rPr>
              <w:t>MAJOR SLIPPAGE</w:t>
            </w:r>
          </w:p>
        </w:tc>
      </w:tr>
      <w:tr w:rsidR="00953894" w14:paraId="1C903FCC" w14:textId="77777777" w:rsidTr="00733EC2">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6EDB037B" w14:textId="77777777" w:rsidR="00953894" w:rsidRDefault="00953894">
            <w:pPr>
              <w:spacing w:line="256" w:lineRule="auto"/>
              <w:jc w:val="center"/>
              <w:rPr>
                <w:rFonts w:ascii="Calibri" w:eastAsia="Times New Roman" w:hAnsi="Calibri" w:cs="Calibri"/>
                <w:szCs w:val="24"/>
                <w:lang w:eastAsia="en-GB"/>
              </w:rPr>
            </w:pPr>
            <w:r>
              <w:rPr>
                <w:rFonts w:ascii="Calibri" w:eastAsia="Arial" w:hAnsi="Calibri" w:cs="Calibri"/>
                <w:bCs/>
                <w:color w:val="000000" w:themeColor="text1"/>
                <w:kern w:val="24"/>
                <w:szCs w:val="24"/>
                <w:lang w:eastAsia="en-GB"/>
              </w:rPr>
              <w:t>Nature Restoration Fund/BCF/SMEEF</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6321740D"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156E05FE"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5.8</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38E8B0FF" w14:textId="4B17E280" w:rsidR="00953894" w:rsidRDefault="00EA7660">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5.5</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51DB0AAA" w14:textId="76BFAF24" w:rsidR="00953894" w:rsidRDefault="00EA7660">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5B350867" w14:textId="77777777" w:rsidR="00953894" w:rsidRDefault="00953894">
            <w:pPr>
              <w:spacing w:line="256" w:lineRule="auto"/>
              <w:jc w:val="center"/>
              <w:rPr>
                <w:rFonts w:ascii="Calibri" w:eastAsia="Times New Roman" w:hAnsi="Calibri" w:cs="Calibri"/>
                <w:szCs w:val="24"/>
                <w:lang w:eastAsia="en-GB"/>
              </w:rPr>
            </w:pPr>
            <w:r>
              <w:rPr>
                <w:rFonts w:ascii="Calibri" w:eastAsia="Times New Roman" w:hAnsi="Calibri" w:cs="Calibri"/>
                <w:b/>
                <w:bCs/>
                <w:color w:val="00B050"/>
                <w:kern w:val="24"/>
                <w:szCs w:val="24"/>
                <w:lang w:eastAsia="en-GB"/>
              </w:rPr>
              <w:t>ON TRACK</w:t>
            </w:r>
          </w:p>
        </w:tc>
      </w:tr>
    </w:tbl>
    <w:p w14:paraId="64EC298F" w14:textId="2C082DA6" w:rsidR="00953894" w:rsidRDefault="00554F2A" w:rsidP="00953894">
      <w:pPr>
        <w:rPr>
          <w:rFonts w:ascii="Calibri" w:hAnsi="Calibri" w:cs="Calibri"/>
          <w:sz w:val="20"/>
          <w:szCs w:val="20"/>
        </w:rPr>
      </w:pPr>
      <w:r>
        <w:rPr>
          <w:rFonts w:ascii="Calibri" w:hAnsi="Calibri" w:cs="Calibri"/>
          <w:sz w:val="20"/>
          <w:szCs w:val="20"/>
        </w:rPr>
        <w:t>*Operating &lt;</w:t>
      </w:r>
      <w:r w:rsidR="00953894">
        <w:rPr>
          <w:rFonts w:ascii="Calibri" w:hAnsi="Calibri" w:cs="Calibri"/>
          <w:sz w:val="20"/>
          <w:szCs w:val="20"/>
        </w:rPr>
        <w:t xml:space="preserve"> 1% - on track, up to 10% minor slippage, over 10% major slippage (** Capital </w:t>
      </w:r>
      <w:r>
        <w:rPr>
          <w:rFonts w:ascii="Calibri" w:hAnsi="Calibri" w:cs="Calibri"/>
          <w:sz w:val="20"/>
          <w:szCs w:val="20"/>
        </w:rPr>
        <w:t>&lt;</w:t>
      </w:r>
      <w:r w:rsidR="00953894">
        <w:rPr>
          <w:rFonts w:ascii="Calibri" w:hAnsi="Calibri" w:cs="Calibri"/>
          <w:sz w:val="20"/>
          <w:szCs w:val="20"/>
        </w:rPr>
        <w:t xml:space="preserve"> 5% / up to 10%</w:t>
      </w:r>
      <w:r>
        <w:rPr>
          <w:rFonts w:ascii="Calibri" w:hAnsi="Calibri" w:cs="Calibri"/>
          <w:sz w:val="20"/>
          <w:szCs w:val="20"/>
        </w:rPr>
        <w:t xml:space="preserve"> </w:t>
      </w:r>
      <w:r w:rsidR="00953894">
        <w:rPr>
          <w:rFonts w:ascii="Calibri" w:hAnsi="Calibri" w:cs="Calibri"/>
          <w:sz w:val="20"/>
          <w:szCs w:val="20"/>
        </w:rPr>
        <w:t>)</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summary"/>
        <w:tblDescription w:val="Financial graphs and summary"/>
      </w:tblPr>
      <w:tblGrid>
        <w:gridCol w:w="6546"/>
        <w:gridCol w:w="3519"/>
      </w:tblGrid>
      <w:tr w:rsidR="00953894" w14:paraId="7501492A" w14:textId="77777777" w:rsidTr="00BA621F">
        <w:trPr>
          <w:cantSplit/>
          <w:tblHeader/>
        </w:trPr>
        <w:tc>
          <w:tcPr>
            <w:tcW w:w="6546" w:type="dxa"/>
            <w:vAlign w:val="center"/>
            <w:hideMark/>
          </w:tcPr>
          <w:p w14:paraId="5303327B" w14:textId="5DD2EA77" w:rsidR="00953894" w:rsidRDefault="00953894">
            <w:pPr>
              <w:rPr>
                <w:rFonts w:ascii="Calibri" w:hAnsi="Calibri" w:cs="Calibri"/>
                <w:color w:val="FFFFFF" w:themeColor="background1"/>
                <w:sz w:val="16"/>
                <w:szCs w:val="24"/>
              </w:rPr>
            </w:pPr>
            <w:proofErr w:type="spellStart"/>
            <w:r>
              <w:rPr>
                <w:rFonts w:ascii="Calibri" w:hAnsi="Calibri" w:cs="Calibri"/>
                <w:color w:val="FFFFFF" w:themeColor="background1"/>
                <w:sz w:val="16"/>
                <w:szCs w:val="24"/>
              </w:rPr>
              <w:t>inancial</w:t>
            </w:r>
            <w:proofErr w:type="spellEnd"/>
            <w:r>
              <w:rPr>
                <w:rFonts w:ascii="Calibri" w:hAnsi="Calibri" w:cs="Calibri"/>
                <w:color w:val="FFFFFF" w:themeColor="background1"/>
                <w:sz w:val="16"/>
                <w:szCs w:val="24"/>
              </w:rPr>
              <w:t xml:space="preserve"> graphs</w:t>
            </w:r>
          </w:p>
        </w:tc>
        <w:tc>
          <w:tcPr>
            <w:tcW w:w="3519" w:type="dxa"/>
            <w:vAlign w:val="center"/>
            <w:hideMark/>
          </w:tcPr>
          <w:p w14:paraId="3CB4893A" w14:textId="30C8F39C" w:rsidR="00953894" w:rsidRDefault="00953894" w:rsidP="00BA621F">
            <w:pPr>
              <w:rPr>
                <w:rFonts w:ascii="Calibri" w:hAnsi="Calibri" w:cs="Calibri"/>
                <w:color w:val="FFFFFF" w:themeColor="background1"/>
                <w:sz w:val="16"/>
                <w:szCs w:val="24"/>
              </w:rPr>
            </w:pPr>
          </w:p>
        </w:tc>
      </w:tr>
      <w:tr w:rsidR="00953894" w14:paraId="14A2981A" w14:textId="77777777" w:rsidTr="00BA621F">
        <w:trPr>
          <w:trHeight w:val="283"/>
        </w:trPr>
        <w:tc>
          <w:tcPr>
            <w:tcW w:w="6546" w:type="dxa"/>
            <w:hideMark/>
          </w:tcPr>
          <w:p w14:paraId="4D60BAF5" w14:textId="0A28027D" w:rsidR="00953894" w:rsidRDefault="00953894">
            <w:pPr>
              <w:rPr>
                <w:rFonts w:ascii="Calibri" w:hAnsi="Calibri" w:cs="Calibri"/>
                <w:szCs w:val="24"/>
              </w:rPr>
            </w:pPr>
            <w:r>
              <w:rPr>
                <w:rFonts w:ascii="Calibri" w:hAnsi="Calibri" w:cs="Calibri"/>
                <w:noProof/>
                <w:szCs w:val="24"/>
                <w:lang w:eastAsia="en-GB"/>
              </w:rPr>
              <w:drawing>
                <wp:inline distT="0" distB="0" distL="0" distR="0" wp14:anchorId="6EF43A07" wp14:editId="181B1289">
                  <wp:extent cx="4019550" cy="2254102"/>
                  <wp:effectExtent l="0" t="0" r="0" b="0"/>
                  <wp:docPr id="15" name="Picture 15"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82132" cy="2233118"/>
                          </a:xfrm>
                          <a:prstGeom prst="rect">
                            <a:avLst/>
                          </a:prstGeom>
                          <a:noFill/>
                          <a:ln>
                            <a:noFill/>
                          </a:ln>
                        </pic:spPr>
                      </pic:pic>
                    </a:graphicData>
                  </a:graphic>
                </wp:inline>
              </w:drawing>
            </w:r>
          </w:p>
          <w:p w14:paraId="12F115A9" w14:textId="41B77B39" w:rsidR="00953894" w:rsidRDefault="00953894">
            <w:pPr>
              <w:rPr>
                <w:rFonts w:ascii="Calibri" w:hAnsi="Calibri" w:cs="Calibri"/>
                <w:szCs w:val="24"/>
              </w:rPr>
            </w:pPr>
            <w:r>
              <w:rPr>
                <w:rFonts w:ascii="Calibri" w:hAnsi="Calibri" w:cs="Calibri"/>
                <w:noProof/>
                <w:szCs w:val="24"/>
                <w:lang w:eastAsia="en-GB"/>
              </w:rPr>
              <w:lastRenderedPageBreak/>
              <w:drawing>
                <wp:inline distT="0" distB="0" distL="0" distR="0" wp14:anchorId="2A630BA4" wp14:editId="40FF1F50">
                  <wp:extent cx="4019550" cy="1990725"/>
                  <wp:effectExtent l="0" t="0" r="0" b="9525"/>
                  <wp:docPr id="2" name="Picture 2"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19550" cy="1990725"/>
                          </a:xfrm>
                          <a:prstGeom prst="rect">
                            <a:avLst/>
                          </a:prstGeom>
                          <a:noFill/>
                          <a:ln>
                            <a:noFill/>
                          </a:ln>
                        </pic:spPr>
                      </pic:pic>
                    </a:graphicData>
                  </a:graphic>
                </wp:inline>
              </w:drawing>
            </w:r>
          </w:p>
        </w:tc>
        <w:tc>
          <w:tcPr>
            <w:tcW w:w="3519" w:type="dxa"/>
            <w:vAlign w:val="center"/>
          </w:tcPr>
          <w:p w14:paraId="46FA4B48" w14:textId="5BF0F068" w:rsidR="00953894" w:rsidRPr="00BA621F" w:rsidRDefault="00733EC2" w:rsidP="00554F2A">
            <w:pPr>
              <w:spacing w:line="276" w:lineRule="auto"/>
              <w:rPr>
                <w:rFonts w:ascii="Calibri" w:hAnsi="Calibri" w:cs="Calibri"/>
                <w:sz w:val="22"/>
              </w:rPr>
            </w:pPr>
            <w:r>
              <w:rPr>
                <w:rFonts w:ascii="Calibri" w:hAnsi="Calibri" w:cs="Calibri"/>
              </w:rPr>
              <w:lastRenderedPageBreak/>
              <w:t>The</w:t>
            </w:r>
            <w:r w:rsidRPr="00733EC2">
              <w:rPr>
                <w:rFonts w:ascii="Calibri" w:hAnsi="Calibri" w:cs="Calibri"/>
              </w:rPr>
              <w:t xml:space="preserve"> Corporate Forecast on Projects is £0.173m above target</w:t>
            </w:r>
            <w:r>
              <w:rPr>
                <w:rFonts w:ascii="Calibri" w:hAnsi="Calibri" w:cs="Calibri"/>
              </w:rPr>
              <w:t xml:space="preserve"> at the end of a year with co</w:t>
            </w:r>
            <w:r w:rsidR="00BA621F">
              <w:rPr>
                <w:rFonts w:ascii="Calibri" w:hAnsi="Calibri" w:cs="Calibri"/>
              </w:rPr>
              <w:t>nsiderable inflationary uplift</w:t>
            </w:r>
            <w:r>
              <w:rPr>
                <w:rFonts w:ascii="Calibri" w:hAnsi="Calibri" w:cs="Calibri"/>
              </w:rPr>
              <w:t>s as well as pressure on the projects budget from the</w:t>
            </w:r>
            <w:r w:rsidR="00BA621F">
              <w:rPr>
                <w:rFonts w:ascii="Calibri" w:hAnsi="Calibri" w:cs="Calibri"/>
              </w:rPr>
              <w:t xml:space="preserve"> additional </w:t>
            </w:r>
            <w:r>
              <w:rPr>
                <w:rFonts w:ascii="Calibri" w:hAnsi="Calibri" w:cs="Calibri"/>
              </w:rPr>
              <w:t xml:space="preserve">cost of the pay settlement for 22/23.  </w:t>
            </w:r>
            <w:r w:rsidR="00953894">
              <w:rPr>
                <w:rFonts w:ascii="Calibri" w:hAnsi="Calibri" w:cs="Calibri"/>
              </w:rPr>
              <w:t>The Project Allocation Forecast Tracker does not include ri</w:t>
            </w:r>
            <w:r w:rsidR="00BB7989">
              <w:rPr>
                <w:rFonts w:ascii="Calibri" w:hAnsi="Calibri" w:cs="Calibri"/>
              </w:rPr>
              <w:t>ng-fenced funds (</w:t>
            </w:r>
            <w:r>
              <w:rPr>
                <w:rFonts w:ascii="Calibri" w:hAnsi="Calibri" w:cs="Calibri"/>
              </w:rPr>
              <w:t>NRF</w:t>
            </w:r>
            <w:r w:rsidR="00953894">
              <w:rPr>
                <w:rFonts w:ascii="Calibri" w:hAnsi="Calibri" w:cs="Calibri"/>
              </w:rPr>
              <w:t xml:space="preserve">, BPF, Peatlands and </w:t>
            </w:r>
            <w:proofErr w:type="spellStart"/>
            <w:r w:rsidR="00953894">
              <w:rPr>
                <w:rFonts w:ascii="Calibri" w:hAnsi="Calibri" w:cs="Calibri"/>
              </w:rPr>
              <w:t>FwN</w:t>
            </w:r>
            <w:proofErr w:type="spellEnd"/>
            <w:r w:rsidR="00953894">
              <w:rPr>
                <w:rFonts w:ascii="Calibri" w:hAnsi="Calibri" w:cs="Calibri"/>
              </w:rPr>
              <w:t xml:space="preserve"> are </w:t>
            </w:r>
            <w:r w:rsidR="00BA621F">
              <w:rPr>
                <w:rFonts w:ascii="Calibri" w:hAnsi="Calibri" w:cs="Calibri"/>
              </w:rPr>
              <w:t>removed</w:t>
            </w:r>
            <w:r w:rsidR="00BB7989">
              <w:rPr>
                <w:rFonts w:ascii="Calibri" w:hAnsi="Calibri" w:cs="Calibri"/>
              </w:rPr>
              <w:t>)</w:t>
            </w:r>
            <w:r w:rsidR="00953894">
              <w:rPr>
                <w:rFonts w:ascii="Calibri" w:hAnsi="Calibri" w:cs="Calibri"/>
              </w:rPr>
              <w:t xml:space="preserve">.  </w:t>
            </w:r>
          </w:p>
          <w:p w14:paraId="2BAC8622" w14:textId="38B52C3A" w:rsidR="00953894" w:rsidRDefault="00953894" w:rsidP="00554F2A">
            <w:pPr>
              <w:spacing w:line="276" w:lineRule="auto"/>
              <w:rPr>
                <w:rFonts w:ascii="Calibri" w:hAnsi="Calibri" w:cs="Calibri"/>
                <w:sz w:val="22"/>
              </w:rPr>
            </w:pPr>
            <w:r>
              <w:rPr>
                <w:rFonts w:ascii="Calibri" w:hAnsi="Calibri" w:cs="Calibri"/>
              </w:rPr>
              <w:lastRenderedPageBreak/>
              <w:t>The paybill forecast is currently £0.1m below budget</w:t>
            </w:r>
            <w:r w:rsidR="00733EC2">
              <w:rPr>
                <w:rFonts w:ascii="Calibri" w:hAnsi="Calibri" w:cs="Calibri"/>
              </w:rPr>
              <w:t xml:space="preserve"> although this underspend m</w:t>
            </w:r>
            <w:r w:rsidR="00BA621F">
              <w:rPr>
                <w:rFonts w:ascii="Calibri" w:hAnsi="Calibri" w:cs="Calibri"/>
              </w:rPr>
              <w:t>a</w:t>
            </w:r>
            <w:r w:rsidR="00733EC2">
              <w:rPr>
                <w:rFonts w:ascii="Calibri" w:hAnsi="Calibri" w:cs="Calibri"/>
              </w:rPr>
              <w:t>y potentially reduce pending the outcome of final discussions on the 22/23 pay settlement.</w:t>
            </w:r>
            <w:r>
              <w:rPr>
                <w:rFonts w:ascii="Calibri" w:hAnsi="Calibri" w:cs="Calibri"/>
              </w:rPr>
              <w:t xml:space="preserve">  The </w:t>
            </w:r>
            <w:r w:rsidR="00733EC2">
              <w:rPr>
                <w:rFonts w:ascii="Calibri" w:hAnsi="Calibri" w:cs="Calibri"/>
              </w:rPr>
              <w:t xml:space="preserve">budget was increased following the transfer from </w:t>
            </w:r>
            <w:proofErr w:type="spellStart"/>
            <w:r w:rsidR="00733EC2">
              <w:rPr>
                <w:rFonts w:ascii="Calibri" w:hAnsi="Calibri" w:cs="Calibri"/>
              </w:rPr>
              <w:t>FwN</w:t>
            </w:r>
            <w:proofErr w:type="spellEnd"/>
            <w:r w:rsidR="00733EC2">
              <w:rPr>
                <w:rFonts w:ascii="Calibri" w:hAnsi="Calibri" w:cs="Calibri"/>
              </w:rPr>
              <w:t xml:space="preserve"> (£0.65m) and BPF (£0.19m) </w:t>
            </w:r>
            <w:r w:rsidR="00BA621F">
              <w:rPr>
                <w:rFonts w:ascii="Calibri" w:hAnsi="Calibri" w:cs="Calibri"/>
              </w:rPr>
              <w:t xml:space="preserve">as agreed by SG </w:t>
            </w:r>
            <w:r w:rsidR="00733EC2">
              <w:rPr>
                <w:rFonts w:ascii="Calibri" w:hAnsi="Calibri" w:cs="Calibri"/>
              </w:rPr>
              <w:t>to help cover the additional costs arising from the pay settlement.</w:t>
            </w:r>
          </w:p>
        </w:tc>
      </w:tr>
    </w:tbl>
    <w:p w14:paraId="1AF45D3E" w14:textId="6EE2D9AD" w:rsidR="00953894" w:rsidRDefault="00953894" w:rsidP="00953894">
      <w:pPr>
        <w:pStyle w:val="Heading2"/>
        <w:rPr>
          <w:rFonts w:cstheme="majorBidi"/>
          <w:b w:val="0"/>
          <w:sz w:val="28"/>
        </w:rPr>
      </w:pPr>
    </w:p>
    <w:p w14:paraId="1AF41FC5" w14:textId="46A09EAE" w:rsidR="00953894" w:rsidRDefault="00953894" w:rsidP="00953894">
      <w:pPr>
        <w:pStyle w:val="Heading2"/>
        <w:rPr>
          <w:rFonts w:ascii="Calibri" w:hAnsi="Calibri" w:cs="Calibri"/>
        </w:rPr>
      </w:pPr>
      <w:r>
        <w:rPr>
          <w:rFonts w:ascii="Calibri" w:hAnsi="Calibri" w:cs="Calibri"/>
        </w:rPr>
        <w:t>Finance</w:t>
      </w:r>
    </w:p>
    <w:p w14:paraId="724E4754" w14:textId="77777777" w:rsidR="00BB7989" w:rsidRDefault="00BB7989" w:rsidP="00953894">
      <w:pPr>
        <w:pStyle w:val="ListParagraph"/>
        <w:ind w:left="360"/>
        <w:rPr>
          <w:rFonts w:ascii="Calibri" w:hAnsi="Calibri" w:cs="Calibri"/>
          <w:b/>
          <w:szCs w:val="24"/>
        </w:rPr>
      </w:pPr>
    </w:p>
    <w:p w14:paraId="0DA2D429" w14:textId="15978ECF" w:rsidR="00953894" w:rsidRDefault="00953894" w:rsidP="00953894">
      <w:pPr>
        <w:pStyle w:val="ListParagraph"/>
        <w:ind w:left="360"/>
        <w:rPr>
          <w:rFonts w:ascii="Calibri" w:hAnsi="Calibri" w:cs="Calibri"/>
          <w:b/>
          <w:szCs w:val="24"/>
        </w:rPr>
      </w:pPr>
      <w:r>
        <w:rPr>
          <w:rFonts w:ascii="Calibri" w:hAnsi="Calibri" w:cs="Calibri"/>
          <w:b/>
          <w:szCs w:val="24"/>
        </w:rPr>
        <w:t>Resource Budget Performance</w:t>
      </w:r>
    </w:p>
    <w:p w14:paraId="7F701E5D" w14:textId="77777777" w:rsidR="00BB7989" w:rsidRDefault="00BB7989" w:rsidP="00953894">
      <w:pPr>
        <w:pStyle w:val="ListParagraph"/>
        <w:ind w:left="360"/>
        <w:rPr>
          <w:rFonts w:ascii="Calibri" w:hAnsi="Calibri" w:cs="Calibri"/>
          <w:szCs w:val="24"/>
        </w:rPr>
      </w:pPr>
    </w:p>
    <w:p w14:paraId="15BCC0D3" w14:textId="77777777" w:rsidR="00EA7660" w:rsidRDefault="00EA7660" w:rsidP="003E7B62">
      <w:pPr>
        <w:pStyle w:val="ListParagraph"/>
        <w:numPr>
          <w:ilvl w:val="0"/>
          <w:numId w:val="14"/>
        </w:numPr>
        <w:spacing w:after="0"/>
        <w:jc w:val="both"/>
        <w:rPr>
          <w:sz w:val="20"/>
        </w:rPr>
      </w:pPr>
      <w:r>
        <w:t>Of the £1.749m underspend reported</w:t>
      </w:r>
      <w:r>
        <w:rPr>
          <w:color w:val="1F497D"/>
        </w:rPr>
        <w:t xml:space="preserve"> </w:t>
      </w:r>
      <w:r>
        <w:t>on the Resource budget:</w:t>
      </w:r>
    </w:p>
    <w:p w14:paraId="053E2623" w14:textId="77777777" w:rsidR="00EA7660" w:rsidRDefault="00EA7660" w:rsidP="003E7B62">
      <w:pPr>
        <w:pStyle w:val="ListParagraph"/>
        <w:numPr>
          <w:ilvl w:val="1"/>
          <w:numId w:val="18"/>
        </w:numPr>
        <w:spacing w:after="0"/>
        <w:jc w:val="both"/>
      </w:pPr>
      <w:r>
        <w:t>£0.041m relates to our core grant in aid budget of £49.445m;</w:t>
      </w:r>
    </w:p>
    <w:p w14:paraId="3C49CB21" w14:textId="1495E171" w:rsidR="00EA7660" w:rsidRDefault="00EA7660" w:rsidP="003E7B62">
      <w:pPr>
        <w:pStyle w:val="ListParagraph"/>
        <w:numPr>
          <w:ilvl w:val="1"/>
          <w:numId w:val="18"/>
        </w:numPr>
        <w:spacing w:after="0"/>
        <w:jc w:val="both"/>
      </w:pPr>
      <w:r>
        <w:t>£1.209m is attributable to</w:t>
      </w:r>
      <w:r>
        <w:rPr>
          <w:color w:val="1F497D"/>
        </w:rPr>
        <w:t xml:space="preserve"> </w:t>
      </w:r>
      <w:r>
        <w:t>underspends on three of our Ring-fenced programmes (</w:t>
      </w:r>
      <w:r w:rsidR="00BB7989">
        <w:t>Peatlands, Farming with Nature and Better Places Fund</w:t>
      </w:r>
      <w:r>
        <w:t>);</w:t>
      </w:r>
    </w:p>
    <w:p w14:paraId="76029697" w14:textId="77777777" w:rsidR="00EA7660" w:rsidRDefault="00EA7660" w:rsidP="003E7B62">
      <w:pPr>
        <w:pStyle w:val="ListParagraph"/>
        <w:numPr>
          <w:ilvl w:val="1"/>
          <w:numId w:val="14"/>
        </w:numPr>
        <w:spacing w:after="0"/>
        <w:jc w:val="both"/>
      </w:pPr>
      <w:r>
        <w:t>£0.5m has resulted from IFRS16 adjustments to the non-controllable cash budget (Depreciation).</w:t>
      </w:r>
    </w:p>
    <w:p w14:paraId="0868B968" w14:textId="77777777" w:rsidR="00EA7660" w:rsidRPr="00EA7660" w:rsidRDefault="00EA7660" w:rsidP="003E7B62">
      <w:pPr>
        <w:pStyle w:val="ListParagraph"/>
        <w:numPr>
          <w:ilvl w:val="0"/>
          <w:numId w:val="14"/>
        </w:numPr>
        <w:spacing w:after="0"/>
        <w:ind w:left="720"/>
        <w:jc w:val="both"/>
        <w:rPr>
          <w:rFonts w:ascii="Calibri" w:hAnsi="Calibri" w:cs="Calibri"/>
          <w:szCs w:val="24"/>
        </w:rPr>
      </w:pPr>
      <w:r>
        <w:t xml:space="preserve">The Paybill forecast of £34.510m (including the ring fenced programmes) represents an underspend of £0.091m following the addition of budget transfers from Farming with Nature (£0.650m) and Better Places Fund (£0.190m) as agreed by SG.  </w:t>
      </w:r>
    </w:p>
    <w:p w14:paraId="17D968CC" w14:textId="3ACBD2DD" w:rsidR="00EA7660" w:rsidRPr="00EA7660" w:rsidRDefault="00EA7660" w:rsidP="003E7B62">
      <w:pPr>
        <w:pStyle w:val="ListParagraph"/>
        <w:numPr>
          <w:ilvl w:val="0"/>
          <w:numId w:val="14"/>
        </w:numPr>
        <w:spacing w:after="0"/>
        <w:ind w:left="720"/>
        <w:jc w:val="both"/>
        <w:rPr>
          <w:rFonts w:ascii="Calibri" w:hAnsi="Calibri" w:cs="Calibri"/>
          <w:szCs w:val="24"/>
        </w:rPr>
      </w:pPr>
      <w:r>
        <w:t>Late in 2022, a welcome but unexpected additional budget allocation of £0.490m was made which has been factored in to the forecast outturn.</w:t>
      </w:r>
    </w:p>
    <w:p w14:paraId="3865456C" w14:textId="44036581" w:rsidR="00EA7660" w:rsidRPr="00EA7660" w:rsidRDefault="00EA7660" w:rsidP="003E7B62">
      <w:pPr>
        <w:pStyle w:val="ListParagraph"/>
        <w:numPr>
          <w:ilvl w:val="0"/>
          <w:numId w:val="14"/>
        </w:numPr>
        <w:spacing w:after="0"/>
        <w:ind w:left="720"/>
        <w:jc w:val="both"/>
        <w:rPr>
          <w:rFonts w:ascii="Calibri" w:hAnsi="Calibri" w:cs="Calibri"/>
          <w:szCs w:val="24"/>
        </w:rPr>
      </w:pPr>
      <w:r>
        <w:t>Of the £1.209 resource underspend on ring-fenced programmes, the majority is recorded against Farming with Nature (£0.951m).  Delays in decisions / input required from SG was the main contributing factor here.</w:t>
      </w:r>
    </w:p>
    <w:p w14:paraId="0CE01203" w14:textId="00BD4234" w:rsidR="00BA621F" w:rsidRDefault="00EA7660" w:rsidP="003E7B62">
      <w:pPr>
        <w:pStyle w:val="ListParagraph"/>
        <w:numPr>
          <w:ilvl w:val="0"/>
          <w:numId w:val="14"/>
        </w:numPr>
        <w:spacing w:after="0"/>
        <w:ind w:left="720"/>
        <w:jc w:val="both"/>
        <w:rPr>
          <w:rFonts w:ascii="Calibri" w:hAnsi="Calibri" w:cs="Calibri"/>
          <w:szCs w:val="24"/>
        </w:rPr>
      </w:pPr>
      <w:r>
        <w:rPr>
          <w:rFonts w:ascii="Calibri" w:hAnsi="Calibri" w:cs="Calibri"/>
          <w:szCs w:val="24"/>
        </w:rPr>
        <w:t>B</w:t>
      </w:r>
      <w:r w:rsidR="00953894" w:rsidRPr="00EA7660">
        <w:rPr>
          <w:rFonts w:ascii="Calibri" w:hAnsi="Calibri" w:cs="Calibri"/>
          <w:szCs w:val="24"/>
        </w:rPr>
        <w:t>usiness partnering continued into Q4.  The Budgets team challenged uncommitted budgets to ensure that allocations were optimised with respect to high priority work considered achievable during the remainder of the year.</w:t>
      </w:r>
    </w:p>
    <w:p w14:paraId="01997CBC" w14:textId="0F8C1A77" w:rsidR="00953894" w:rsidRPr="00EA7660" w:rsidRDefault="00953894" w:rsidP="00BA621F">
      <w:pPr>
        <w:pStyle w:val="ListParagraph"/>
        <w:spacing w:after="0"/>
        <w:jc w:val="both"/>
        <w:rPr>
          <w:rFonts w:ascii="Calibri" w:hAnsi="Calibri" w:cs="Calibri"/>
          <w:szCs w:val="24"/>
        </w:rPr>
      </w:pPr>
      <w:r w:rsidRPr="00EA7660">
        <w:rPr>
          <w:rFonts w:ascii="Calibri" w:hAnsi="Calibri" w:cs="Calibri"/>
          <w:szCs w:val="24"/>
        </w:rPr>
        <w:t xml:space="preserve"> </w:t>
      </w:r>
    </w:p>
    <w:p w14:paraId="1FC46143" w14:textId="77777777" w:rsidR="00953894" w:rsidRDefault="00953894" w:rsidP="00953894">
      <w:pPr>
        <w:keepNext/>
        <w:keepLines/>
        <w:ind w:left="360"/>
        <w:contextualSpacing/>
        <w:outlineLvl w:val="1"/>
        <w:rPr>
          <w:rFonts w:ascii="Calibri" w:eastAsia="Times New Roman" w:hAnsi="Calibri" w:cs="Calibri"/>
          <w:b/>
          <w:szCs w:val="24"/>
        </w:rPr>
      </w:pPr>
      <w:r>
        <w:rPr>
          <w:rFonts w:ascii="Calibri" w:eastAsia="Times New Roman" w:hAnsi="Calibri" w:cs="Calibri"/>
          <w:b/>
          <w:szCs w:val="24"/>
        </w:rPr>
        <w:t>Indirect Capital Funding Programmes (including Peatlands)</w:t>
      </w:r>
    </w:p>
    <w:p w14:paraId="4BD400CF" w14:textId="1515427A" w:rsidR="00953894" w:rsidRDefault="00953894" w:rsidP="003E7B62">
      <w:pPr>
        <w:pStyle w:val="ListParagraph"/>
        <w:numPr>
          <w:ilvl w:val="0"/>
          <w:numId w:val="15"/>
        </w:numPr>
        <w:spacing w:line="256" w:lineRule="auto"/>
        <w:ind w:left="714" w:hanging="357"/>
        <w:rPr>
          <w:rFonts w:ascii="Calibri" w:hAnsi="Calibri" w:cs="Calibri"/>
          <w:szCs w:val="24"/>
        </w:rPr>
      </w:pPr>
      <w:r>
        <w:rPr>
          <w:rFonts w:ascii="Calibri" w:hAnsi="Calibri" w:cs="Calibri"/>
          <w:szCs w:val="24"/>
        </w:rPr>
        <w:t>We are forecasting an overall overspe</w:t>
      </w:r>
      <w:r w:rsidR="00BA621F">
        <w:rPr>
          <w:rFonts w:ascii="Calibri" w:hAnsi="Calibri" w:cs="Calibri"/>
          <w:szCs w:val="24"/>
        </w:rPr>
        <w:t>nd on Indirect Capital of £0.184</w:t>
      </w:r>
      <w:r>
        <w:rPr>
          <w:rFonts w:ascii="Calibri" w:hAnsi="Calibri" w:cs="Calibri"/>
          <w:szCs w:val="24"/>
        </w:rPr>
        <w:t xml:space="preserve">m.  </w:t>
      </w:r>
    </w:p>
    <w:p w14:paraId="5C760BB9" w14:textId="77777777" w:rsidR="00BA621F" w:rsidRDefault="00BA621F" w:rsidP="003E7B62">
      <w:pPr>
        <w:pStyle w:val="ListParagraph"/>
        <w:numPr>
          <w:ilvl w:val="0"/>
          <w:numId w:val="15"/>
        </w:numPr>
        <w:rPr>
          <w:sz w:val="20"/>
        </w:rPr>
      </w:pPr>
      <w:r>
        <w:t xml:space="preserve">The Peatlands budget is £10.440m.  The current forecast is £10.481m with </w:t>
      </w:r>
      <w:proofErr w:type="gramStart"/>
      <w:r>
        <w:t>an underspend</w:t>
      </w:r>
      <w:proofErr w:type="gramEnd"/>
      <w:r>
        <w:t xml:space="preserve"> of £0.196m on Resource and an overspend of £0.237m on Indirect Capital.</w:t>
      </w:r>
    </w:p>
    <w:p w14:paraId="37AC8FE0" w14:textId="77777777" w:rsidR="00BA621F" w:rsidRDefault="00BA621F" w:rsidP="003E7B62">
      <w:pPr>
        <w:pStyle w:val="ListParagraph"/>
        <w:numPr>
          <w:ilvl w:val="0"/>
          <w:numId w:val="15"/>
        </w:numPr>
      </w:pPr>
      <w:r>
        <w:t xml:space="preserve">The NRF budget is £5.779m.  The current forecast is £5.528m with </w:t>
      </w:r>
      <w:proofErr w:type="gramStart"/>
      <w:r>
        <w:t>an overspend</w:t>
      </w:r>
      <w:proofErr w:type="gramEnd"/>
      <w:r>
        <w:t xml:space="preserve"> of £0.061m on Resource and an underspend of £0.312m on Indirect Capital.</w:t>
      </w:r>
    </w:p>
    <w:p w14:paraId="72184BC7" w14:textId="77777777" w:rsidR="00BA621F" w:rsidRDefault="00BA621F" w:rsidP="003E7B62">
      <w:pPr>
        <w:pStyle w:val="ListParagraph"/>
        <w:numPr>
          <w:ilvl w:val="0"/>
          <w:numId w:val="15"/>
        </w:numPr>
        <w:spacing w:after="0"/>
        <w:jc w:val="both"/>
      </w:pPr>
      <w:r>
        <w:lastRenderedPageBreak/>
        <w:t xml:space="preserve">The BPF budget is £1.31m.  The current forecast is £1.187m with </w:t>
      </w:r>
      <w:proofErr w:type="gramStart"/>
      <w:r>
        <w:t>an underspend</w:t>
      </w:r>
      <w:proofErr w:type="gramEnd"/>
      <w:r>
        <w:t xml:space="preserve"> of £0.122m on Resource.  It is worth noting that further demand of approx. £0.2m was not taken forward during the year due to anticipated budget pressures at that point.</w:t>
      </w:r>
    </w:p>
    <w:p w14:paraId="7B6079E6" w14:textId="29201578" w:rsidR="00953894" w:rsidRDefault="00BA621F" w:rsidP="003E7B62">
      <w:pPr>
        <w:pStyle w:val="ListParagraph"/>
        <w:numPr>
          <w:ilvl w:val="0"/>
          <w:numId w:val="15"/>
        </w:numPr>
        <w:rPr>
          <w:rFonts w:ascii="Calibri" w:hAnsi="Calibri" w:cs="Calibri"/>
          <w:szCs w:val="24"/>
        </w:rPr>
      </w:pPr>
      <w:r>
        <w:rPr>
          <w:rFonts w:ascii="Calibri" w:hAnsi="Calibri" w:cs="Calibri"/>
          <w:szCs w:val="24"/>
        </w:rPr>
        <w:t xml:space="preserve"> </w:t>
      </w:r>
      <w:r w:rsidR="00953894">
        <w:rPr>
          <w:rFonts w:ascii="Calibri" w:hAnsi="Calibri" w:cs="Calibri"/>
          <w:szCs w:val="24"/>
        </w:rPr>
        <w:t xml:space="preserve">Slippage from 2021/22 Biodiversity Challenge Fund (BCF) grants is being funded from the Nature Restoration Fund budget: Indirect Capital budget (£0.347m) and Resource budget (£0.016m).  </w:t>
      </w:r>
    </w:p>
    <w:p w14:paraId="3F3177D9" w14:textId="77777777" w:rsidR="00953894" w:rsidRDefault="00953894" w:rsidP="003E7B62">
      <w:pPr>
        <w:pStyle w:val="ListParagraph"/>
        <w:numPr>
          <w:ilvl w:val="0"/>
          <w:numId w:val="14"/>
        </w:numPr>
        <w:ind w:left="720"/>
        <w:rPr>
          <w:rFonts w:ascii="Calibri" w:hAnsi="Calibri" w:cs="Calibri"/>
          <w:szCs w:val="24"/>
        </w:rPr>
      </w:pPr>
      <w:r>
        <w:rPr>
          <w:rFonts w:ascii="Calibri" w:hAnsi="Calibri" w:cs="Calibri"/>
          <w:szCs w:val="24"/>
        </w:rPr>
        <w:t>The Scottish Marine Environmental Enhancement Fund is also being funded from the Nature Restoration Fund Indirect Capital budget (£0.863m).</w:t>
      </w:r>
    </w:p>
    <w:p w14:paraId="67CF8D15" w14:textId="2FBF7FB9" w:rsidR="00953894" w:rsidRDefault="00953894" w:rsidP="003E7B62">
      <w:pPr>
        <w:pStyle w:val="ListParagraph"/>
        <w:numPr>
          <w:ilvl w:val="0"/>
          <w:numId w:val="14"/>
        </w:numPr>
        <w:ind w:left="720"/>
        <w:rPr>
          <w:rFonts w:ascii="Calibri" w:hAnsi="Calibri" w:cs="Calibri"/>
          <w:szCs w:val="24"/>
        </w:rPr>
      </w:pPr>
      <w:r>
        <w:rPr>
          <w:rFonts w:ascii="Calibri" w:hAnsi="Calibri" w:cs="Calibri"/>
          <w:szCs w:val="24"/>
        </w:rPr>
        <w:t xml:space="preserve">The impact of slippage on large value programmes presents a risk to spend levels.  The anticipated corporate slippage </w:t>
      </w:r>
      <w:r w:rsidR="00BB7989">
        <w:rPr>
          <w:rFonts w:ascii="Calibri" w:hAnsi="Calibri" w:cs="Calibri"/>
          <w:szCs w:val="24"/>
        </w:rPr>
        <w:t xml:space="preserve">now applied at the end of the financial </w:t>
      </w:r>
      <w:r>
        <w:rPr>
          <w:rFonts w:ascii="Calibri" w:hAnsi="Calibri" w:cs="Calibri"/>
          <w:szCs w:val="24"/>
        </w:rPr>
        <w:t>year is based on</w:t>
      </w:r>
      <w:r w:rsidR="00BB7989">
        <w:rPr>
          <w:rFonts w:ascii="Calibri" w:hAnsi="Calibri" w:cs="Calibri"/>
          <w:szCs w:val="24"/>
        </w:rPr>
        <w:t xml:space="preserve"> the</w:t>
      </w:r>
      <w:r>
        <w:rPr>
          <w:rFonts w:ascii="Calibri" w:hAnsi="Calibri" w:cs="Calibri"/>
          <w:szCs w:val="24"/>
        </w:rPr>
        <w:t xml:space="preserve"> remaining commitment (£0.209m).  This is split against Indirect Capital (£0.157m) and Resource (£0.052m).</w:t>
      </w:r>
    </w:p>
    <w:p w14:paraId="206442E3" w14:textId="5E04FF26" w:rsidR="00953894" w:rsidRDefault="00953894" w:rsidP="003E7B62">
      <w:pPr>
        <w:pStyle w:val="ListParagraph"/>
        <w:numPr>
          <w:ilvl w:val="0"/>
          <w:numId w:val="14"/>
        </w:numPr>
        <w:ind w:left="720"/>
        <w:rPr>
          <w:rFonts w:ascii="Calibri" w:hAnsi="Calibri" w:cs="Calibri"/>
          <w:szCs w:val="24"/>
        </w:rPr>
      </w:pPr>
      <w:r>
        <w:rPr>
          <w:rFonts w:ascii="Calibri" w:hAnsi="Calibri" w:cs="Calibri"/>
          <w:szCs w:val="24"/>
        </w:rPr>
        <w:t xml:space="preserve">SG confirmed </w:t>
      </w:r>
      <w:r w:rsidR="00BB7989">
        <w:rPr>
          <w:rFonts w:ascii="Calibri" w:hAnsi="Calibri" w:cs="Calibri"/>
          <w:szCs w:val="24"/>
        </w:rPr>
        <w:t>that they wouldn</w:t>
      </w:r>
      <w:r>
        <w:rPr>
          <w:rFonts w:ascii="Calibri" w:hAnsi="Calibri" w:cs="Calibri"/>
          <w:szCs w:val="24"/>
        </w:rPr>
        <w:t>’t be funding the 21/22 slippage of £0.150m for GovTech.  We are funding this from the anticipated corporate slippage.</w:t>
      </w:r>
    </w:p>
    <w:p w14:paraId="4166B34A" w14:textId="77777777" w:rsidR="00953894" w:rsidRDefault="00953894" w:rsidP="003E7B62">
      <w:pPr>
        <w:pStyle w:val="ListParagraph"/>
        <w:numPr>
          <w:ilvl w:val="0"/>
          <w:numId w:val="14"/>
        </w:numPr>
        <w:ind w:left="720"/>
        <w:rPr>
          <w:rFonts w:ascii="Calibri" w:hAnsi="Calibri" w:cs="Calibri"/>
          <w:szCs w:val="24"/>
        </w:rPr>
      </w:pPr>
      <w:r>
        <w:rPr>
          <w:rFonts w:ascii="Calibri" w:hAnsi="Calibri" w:cs="Calibri"/>
          <w:szCs w:val="24"/>
        </w:rPr>
        <w:t>We are also funding slippage from 2021/22 Wee Forests Pilot of £0.109m from the anticipated corporate slippage.</w:t>
      </w:r>
    </w:p>
    <w:p w14:paraId="1BF8F9E6" w14:textId="77777777" w:rsidR="00953894" w:rsidRDefault="00953894" w:rsidP="00953894">
      <w:pPr>
        <w:keepNext/>
        <w:keepLines/>
        <w:ind w:left="360"/>
        <w:contextualSpacing/>
        <w:outlineLvl w:val="1"/>
        <w:rPr>
          <w:rFonts w:ascii="Calibri" w:eastAsia="Times New Roman" w:hAnsi="Calibri" w:cs="Calibri"/>
          <w:szCs w:val="24"/>
        </w:rPr>
      </w:pPr>
      <w:r>
        <w:rPr>
          <w:rFonts w:ascii="Calibri" w:eastAsia="Times New Roman" w:hAnsi="Calibri" w:cs="Calibri"/>
          <w:b/>
          <w:szCs w:val="24"/>
        </w:rPr>
        <w:t>Structural Funds Programmes</w:t>
      </w:r>
    </w:p>
    <w:p w14:paraId="0933A0F6" w14:textId="7C976BFB" w:rsidR="00953894" w:rsidRDefault="00AF0742" w:rsidP="003E7B62">
      <w:pPr>
        <w:pStyle w:val="ListParagraph"/>
        <w:numPr>
          <w:ilvl w:val="0"/>
          <w:numId w:val="16"/>
        </w:numPr>
        <w:rPr>
          <w:rFonts w:ascii="Calibri" w:hAnsi="Calibri" w:cs="Calibri"/>
          <w:szCs w:val="24"/>
        </w:rPr>
      </w:pPr>
      <w:r w:rsidRPr="00AF0742">
        <w:rPr>
          <w:rFonts w:ascii="Calibri" w:hAnsi="Calibri" w:cs="Calibri"/>
          <w:szCs w:val="24"/>
        </w:rPr>
        <w:t xml:space="preserve">NatureScot has paid </w:t>
      </w:r>
      <w:r w:rsidR="00BB7989" w:rsidRPr="00BB7989">
        <w:rPr>
          <w:rFonts w:ascii="Calibri" w:hAnsi="Calibri" w:cs="Calibri"/>
          <w:szCs w:val="24"/>
        </w:rPr>
        <w:t>£4.9</w:t>
      </w:r>
      <w:r w:rsidRPr="00BB7989">
        <w:rPr>
          <w:rFonts w:ascii="Calibri" w:hAnsi="Calibri" w:cs="Calibri"/>
          <w:szCs w:val="24"/>
        </w:rPr>
        <w:t>m t</w:t>
      </w:r>
      <w:r w:rsidRPr="00AF0742">
        <w:rPr>
          <w:rFonts w:ascii="Calibri" w:hAnsi="Calibri" w:cs="Calibri"/>
          <w:szCs w:val="24"/>
        </w:rPr>
        <w:t>o grantees in advance of these claims being submitted to SG. However, since the Managing Authority has informe</w:t>
      </w:r>
      <w:r w:rsidR="00BB7989">
        <w:rPr>
          <w:rFonts w:ascii="Calibri" w:hAnsi="Calibri" w:cs="Calibri"/>
          <w:szCs w:val="24"/>
        </w:rPr>
        <w:t>d us that it would only accept two</w:t>
      </w:r>
      <w:r w:rsidRPr="00AF0742">
        <w:rPr>
          <w:rFonts w:ascii="Calibri" w:hAnsi="Calibri" w:cs="Calibri"/>
          <w:szCs w:val="24"/>
        </w:rPr>
        <w:t xml:space="preserve"> more claims from each fund, these claims have not been submitted to the MA yet, but are being held back (and added to) to form part of the penultimate claim for each fund.</w:t>
      </w:r>
    </w:p>
    <w:p w14:paraId="653312C3" w14:textId="1909799C" w:rsidR="00554F2A" w:rsidRPr="00AF0742" w:rsidRDefault="00554F2A" w:rsidP="003E7B62">
      <w:pPr>
        <w:pStyle w:val="ListParagraph"/>
        <w:numPr>
          <w:ilvl w:val="0"/>
          <w:numId w:val="16"/>
        </w:numPr>
        <w:rPr>
          <w:rFonts w:ascii="Calibri" w:hAnsi="Calibri" w:cs="Calibri"/>
          <w:szCs w:val="24"/>
        </w:rPr>
      </w:pPr>
      <w:r w:rsidRPr="00554F2A">
        <w:rPr>
          <w:rFonts w:ascii="Calibri" w:hAnsi="Calibri" w:cs="Calibri"/>
          <w:szCs w:val="24"/>
        </w:rPr>
        <w:t xml:space="preserve">We have been advised that an arrangement to provide cover for the risk of de-commitment over the remainder of the programme will not be forthcoming.  However, a recent external Scottish Government audit of our claims process provides reassurance that risks of de-commitment are being well managed.  </w:t>
      </w:r>
    </w:p>
    <w:p w14:paraId="1CB2B019" w14:textId="77777777" w:rsidR="00953894" w:rsidRDefault="00953894" w:rsidP="00953894">
      <w:pPr>
        <w:keepNext/>
        <w:keepLines/>
        <w:ind w:left="360"/>
        <w:contextualSpacing/>
        <w:outlineLvl w:val="1"/>
        <w:rPr>
          <w:rFonts w:ascii="Calibri" w:eastAsia="Times New Roman" w:hAnsi="Calibri" w:cs="Calibri"/>
          <w:szCs w:val="24"/>
        </w:rPr>
      </w:pPr>
      <w:r>
        <w:rPr>
          <w:rFonts w:ascii="Calibri" w:eastAsia="Times New Roman" w:hAnsi="Calibri" w:cs="Calibri"/>
          <w:b/>
          <w:szCs w:val="24"/>
        </w:rPr>
        <w:t>Capital Budget Performance</w:t>
      </w:r>
    </w:p>
    <w:p w14:paraId="0E1A6170" w14:textId="1D63459F" w:rsidR="00953894" w:rsidRDefault="00953894" w:rsidP="003E7B62">
      <w:pPr>
        <w:pStyle w:val="ListParagraph"/>
        <w:numPr>
          <w:ilvl w:val="0"/>
          <w:numId w:val="14"/>
        </w:numPr>
        <w:spacing w:after="120"/>
        <w:ind w:left="720"/>
        <w:jc w:val="both"/>
        <w:rPr>
          <w:rFonts w:ascii="Calibri" w:hAnsi="Calibri" w:cs="Calibri"/>
          <w:szCs w:val="24"/>
        </w:rPr>
      </w:pPr>
      <w:r>
        <w:rPr>
          <w:rFonts w:ascii="Calibri" w:hAnsi="Calibri" w:cs="Calibri"/>
          <w:szCs w:val="24"/>
        </w:rPr>
        <w:t>Our reported underspend on Dir</w:t>
      </w:r>
      <w:r w:rsidR="00BA621F">
        <w:rPr>
          <w:rFonts w:ascii="Calibri" w:hAnsi="Calibri" w:cs="Calibri"/>
          <w:szCs w:val="24"/>
        </w:rPr>
        <w:t>ect Capital has reduced to £0.216</w:t>
      </w:r>
      <w:r>
        <w:rPr>
          <w:rFonts w:ascii="Calibri" w:hAnsi="Calibri" w:cs="Calibri"/>
          <w:szCs w:val="24"/>
        </w:rPr>
        <w:t>m due to a proportion of the GGH PV project being able to progress, the IFRS-16 lease expenditure and a Capital grant in-kind being included in the numbers.</w:t>
      </w:r>
    </w:p>
    <w:p w14:paraId="40E04DCB" w14:textId="536AF34A" w:rsidR="00953894" w:rsidRDefault="00953894" w:rsidP="003E7B62">
      <w:pPr>
        <w:pStyle w:val="ListParagraph"/>
        <w:numPr>
          <w:ilvl w:val="0"/>
          <w:numId w:val="14"/>
        </w:numPr>
        <w:spacing w:after="120"/>
        <w:ind w:left="720"/>
        <w:jc w:val="both"/>
        <w:rPr>
          <w:rFonts w:ascii="Calibri" w:hAnsi="Calibri" w:cs="Calibri"/>
          <w:szCs w:val="24"/>
        </w:rPr>
      </w:pPr>
      <w:r>
        <w:rPr>
          <w:rFonts w:ascii="Calibri" w:hAnsi="Calibri" w:cs="Calibri"/>
          <w:szCs w:val="24"/>
        </w:rPr>
        <w:t xml:space="preserve">We have included the sale of </w:t>
      </w:r>
      <w:proofErr w:type="spellStart"/>
      <w:r>
        <w:rPr>
          <w:rFonts w:ascii="Calibri" w:hAnsi="Calibri" w:cs="Calibri"/>
          <w:szCs w:val="24"/>
        </w:rPr>
        <w:t>Glencripesdale</w:t>
      </w:r>
      <w:proofErr w:type="spellEnd"/>
      <w:r>
        <w:rPr>
          <w:rFonts w:ascii="Calibri" w:hAnsi="Calibri" w:cs="Calibri"/>
          <w:szCs w:val="24"/>
        </w:rPr>
        <w:t xml:space="preserve"> in the NBV figures which </w:t>
      </w:r>
      <w:r w:rsidR="00BA621F">
        <w:rPr>
          <w:rFonts w:ascii="Calibri" w:hAnsi="Calibri" w:cs="Calibri"/>
          <w:szCs w:val="24"/>
        </w:rPr>
        <w:t>has increased</w:t>
      </w:r>
      <w:r>
        <w:rPr>
          <w:rFonts w:ascii="Calibri" w:hAnsi="Calibri" w:cs="Calibri"/>
          <w:szCs w:val="24"/>
        </w:rPr>
        <w:t xml:space="preserve"> our ability to spend on Capital projects by £0.750m.  </w:t>
      </w:r>
    </w:p>
    <w:p w14:paraId="465F6219" w14:textId="77777777" w:rsidR="00661467" w:rsidRDefault="00661467">
      <w:pPr>
        <w:rPr>
          <w:rFonts w:ascii="Calibri" w:eastAsiaTheme="majorEastAsia" w:hAnsi="Calibri" w:cs="Calibri"/>
          <w:b/>
          <w:color w:val="5E8CC0"/>
          <w:szCs w:val="26"/>
        </w:rPr>
      </w:pPr>
      <w:r>
        <w:rPr>
          <w:rFonts w:ascii="Calibri" w:hAnsi="Calibri" w:cs="Calibri"/>
          <w:color w:val="5E8CC0"/>
        </w:rPr>
        <w:br w:type="page"/>
      </w:r>
    </w:p>
    <w:p w14:paraId="19B96A26" w14:textId="471D33F7" w:rsidR="00D72178" w:rsidRDefault="00D72178" w:rsidP="001F5F6E">
      <w:pPr>
        <w:pStyle w:val="Heading2"/>
        <w:rPr>
          <w:rFonts w:ascii="Calibri" w:hAnsi="Calibri" w:cs="Calibri"/>
          <w:color w:val="5E8CC0"/>
        </w:rPr>
      </w:pPr>
      <w:r w:rsidRPr="001F5F6E">
        <w:rPr>
          <w:rFonts w:ascii="Calibri" w:hAnsi="Calibri" w:cs="Calibri"/>
          <w:color w:val="5E8CC0"/>
        </w:rPr>
        <w:lastRenderedPageBreak/>
        <w:t>RISK</w:t>
      </w:r>
      <w:r w:rsidR="004C546D" w:rsidRPr="001F5F6E">
        <w:rPr>
          <w:rFonts w:ascii="Calibri" w:hAnsi="Calibri" w:cs="Calibri"/>
          <w:color w:val="5E8CC0"/>
        </w:rPr>
        <w:t xml:space="preserve"> </w:t>
      </w:r>
    </w:p>
    <w:p w14:paraId="57E0C98D" w14:textId="77777777" w:rsidR="001F5F6E" w:rsidRPr="001F5F6E" w:rsidRDefault="001F5F6E" w:rsidP="001F5F6E"/>
    <w:tbl>
      <w:tblPr>
        <w:tblW w:w="0" w:type="auto"/>
        <w:tblInd w:w="421"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518"/>
        <w:gridCol w:w="3057"/>
      </w:tblGrid>
      <w:tr w:rsidR="00F77EE9" w:rsidRPr="00D52779" w14:paraId="582148F7" w14:textId="77777777" w:rsidTr="000332EB">
        <w:trPr>
          <w:cantSplit/>
          <w:trHeight w:val="284"/>
          <w:tblHeader/>
        </w:trPr>
        <w:tc>
          <w:tcPr>
            <w:tcW w:w="5518" w:type="dxa"/>
            <w:tcBorders>
              <w:top w:val="single" w:sz="12" w:space="0" w:color="auto"/>
              <w:left w:val="single" w:sz="12" w:space="0" w:color="auto"/>
              <w:bottom w:val="single" w:sz="12" w:space="0" w:color="auto"/>
              <w:right w:val="single" w:sz="12" w:space="0" w:color="auto"/>
            </w:tcBorders>
            <w:shd w:val="clear" w:color="auto" w:fill="5E8CC0"/>
            <w:vAlign w:val="bottom"/>
          </w:tcPr>
          <w:p w14:paraId="7929EDCC" w14:textId="77777777" w:rsidR="00D72178" w:rsidRPr="00FE4730" w:rsidRDefault="00D72178" w:rsidP="000419B1">
            <w:pPr>
              <w:rPr>
                <w:rFonts w:ascii="Calibri" w:hAnsi="Calibri" w:cs="Calibri"/>
                <w:color w:val="1F497D" w:themeColor="text2"/>
                <w:szCs w:val="24"/>
                <w:highlight w:val="yellow"/>
              </w:rPr>
            </w:pPr>
            <w:r w:rsidRPr="00F77EE9">
              <w:rPr>
                <w:rFonts w:ascii="Calibri" w:hAnsi="Calibri" w:cs="Calibri"/>
                <w:szCs w:val="24"/>
              </w:rPr>
              <w:t>Corporate Risks</w:t>
            </w:r>
          </w:p>
        </w:tc>
        <w:tc>
          <w:tcPr>
            <w:tcW w:w="3057" w:type="dxa"/>
            <w:tcBorders>
              <w:top w:val="single" w:sz="12" w:space="0" w:color="auto"/>
              <w:left w:val="single" w:sz="12" w:space="0" w:color="auto"/>
              <w:bottom w:val="single" w:sz="12" w:space="0" w:color="auto"/>
              <w:right w:val="single" w:sz="12" w:space="0" w:color="auto"/>
            </w:tcBorders>
            <w:shd w:val="clear" w:color="auto" w:fill="5E8CC0"/>
          </w:tcPr>
          <w:p w14:paraId="58949B93" w14:textId="77777777" w:rsidR="00D72178" w:rsidRPr="00FE4730" w:rsidRDefault="00D72178" w:rsidP="000419B1">
            <w:pPr>
              <w:rPr>
                <w:rFonts w:ascii="Calibri" w:hAnsi="Calibri" w:cs="Calibri"/>
                <w:color w:val="1F497D" w:themeColor="text2"/>
                <w:szCs w:val="24"/>
                <w:highlight w:val="yellow"/>
              </w:rPr>
            </w:pPr>
            <w:r w:rsidRPr="00F77EE9">
              <w:rPr>
                <w:rFonts w:ascii="Calibri" w:hAnsi="Calibri" w:cs="Calibri"/>
                <w:szCs w:val="24"/>
              </w:rPr>
              <w:t>Risk Changes</w:t>
            </w:r>
          </w:p>
        </w:tc>
      </w:tr>
      <w:tr w:rsidR="00F77EE9" w:rsidRPr="004D18D9" w14:paraId="6BC3B847" w14:textId="77777777" w:rsidTr="000332EB">
        <w:trPr>
          <w:trHeight w:val="3745"/>
        </w:trPr>
        <w:tc>
          <w:tcPr>
            <w:tcW w:w="5518" w:type="dxa"/>
            <w:tcBorders>
              <w:top w:val="single" w:sz="12" w:space="0" w:color="auto"/>
              <w:left w:val="single" w:sz="12" w:space="0" w:color="auto"/>
              <w:bottom w:val="single" w:sz="12" w:space="0" w:color="auto"/>
              <w:right w:val="single" w:sz="12" w:space="0" w:color="auto"/>
            </w:tcBorders>
          </w:tcPr>
          <w:tbl>
            <w:tblPr>
              <w:tblW w:w="5412" w:type="dxa"/>
              <w:tblLayout w:type="fixed"/>
              <w:tblLook w:val="04A0" w:firstRow="1" w:lastRow="0" w:firstColumn="1" w:lastColumn="0" w:noHBand="0" w:noVBand="1"/>
            </w:tblPr>
            <w:tblGrid>
              <w:gridCol w:w="5412"/>
            </w:tblGrid>
            <w:tr w:rsidR="00F77EE9" w:rsidRPr="00FE4730" w14:paraId="0AECA4B4" w14:textId="52B7D4FA" w:rsidTr="000332EB">
              <w:trPr>
                <w:trHeight w:val="99"/>
              </w:trPr>
              <w:tc>
                <w:tcPr>
                  <w:tcW w:w="5412" w:type="dxa"/>
                  <w:tcBorders>
                    <w:top w:val="nil"/>
                    <w:left w:val="nil"/>
                    <w:bottom w:val="nil"/>
                    <w:right w:val="nil"/>
                  </w:tcBorders>
                  <w:shd w:val="clear" w:color="auto" w:fill="D9D9D9" w:themeFill="background1" w:themeFillShade="D9"/>
                  <w:noWrap/>
                  <w:vAlign w:val="bottom"/>
                  <w:hideMark/>
                </w:tcPr>
                <w:p w14:paraId="6FEB4315" w14:textId="46ECCABD" w:rsidR="00F77EE9" w:rsidRPr="00FE4730" w:rsidRDefault="00F77EE9" w:rsidP="000419B1">
                  <w:pPr>
                    <w:rPr>
                      <w:rFonts w:ascii="Calibri" w:eastAsia="Times New Roman" w:hAnsi="Calibri" w:cs="Calibri"/>
                      <w:color w:val="000000"/>
                      <w:lang w:eastAsia="en-GB"/>
                    </w:rPr>
                  </w:pPr>
                  <w:r>
                    <w:rPr>
                      <w:noProof/>
                      <w:lang w:eastAsia="en-GB"/>
                    </w:rPr>
                    <w:drawing>
                      <wp:inline distT="0" distB="0" distL="0" distR="0" wp14:anchorId="05E4C4A2" wp14:editId="2D96C1B1">
                        <wp:extent cx="3295015" cy="2353901"/>
                        <wp:effectExtent l="0" t="0" r="635" b="8890"/>
                        <wp:docPr id="25" name="Chart 25" descr="risk table" title="risk t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14:paraId="5D1C30F0" w14:textId="77777777" w:rsidR="00D72178" w:rsidRPr="00D52779" w:rsidRDefault="00D72178" w:rsidP="000419B1">
            <w:pPr>
              <w:jc w:val="center"/>
              <w:rPr>
                <w:rFonts w:ascii="Calibri" w:hAnsi="Calibri" w:cs="Calibri"/>
                <w:szCs w:val="24"/>
                <w:highlight w:val="yellow"/>
              </w:rPr>
            </w:pPr>
          </w:p>
        </w:tc>
        <w:tc>
          <w:tcPr>
            <w:tcW w:w="30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8E5975" w14:textId="77777777" w:rsidR="00D72178" w:rsidRPr="00F77EE9" w:rsidRDefault="00D72178" w:rsidP="000419B1">
            <w:pPr>
              <w:rPr>
                <w:rFonts w:ascii="Calibri" w:hAnsi="Calibri" w:cs="Calibri"/>
                <w:szCs w:val="24"/>
              </w:rPr>
            </w:pPr>
            <w:r w:rsidRPr="00F77EE9">
              <w:rPr>
                <w:rFonts w:ascii="Calibri" w:hAnsi="Calibri" w:cs="Calibri"/>
                <w:szCs w:val="24"/>
                <w:u w:val="single"/>
              </w:rPr>
              <w:t>Changes to Corporate Risk Scores</w:t>
            </w:r>
          </w:p>
          <w:p w14:paraId="790A910D" w14:textId="466AC0C1" w:rsidR="00D72178" w:rsidRPr="00F77EE9" w:rsidRDefault="00D72178" w:rsidP="000419B1">
            <w:pPr>
              <w:rPr>
                <w:rFonts w:ascii="Calibri" w:hAnsi="Calibri" w:cs="Calibri"/>
                <w:szCs w:val="24"/>
              </w:rPr>
            </w:pPr>
            <w:r w:rsidRPr="00F77EE9">
              <w:rPr>
                <w:rFonts w:ascii="Calibri" w:hAnsi="Calibri" w:cs="Calibri"/>
                <w:szCs w:val="24"/>
              </w:rPr>
              <w:t>↑</w:t>
            </w:r>
            <w:r w:rsidR="0059639A">
              <w:rPr>
                <w:rFonts w:ascii="Calibri" w:hAnsi="Calibri" w:cs="Calibri"/>
                <w:szCs w:val="24"/>
              </w:rPr>
              <w:t xml:space="preserve"> </w:t>
            </w:r>
            <w:r w:rsidR="0059639A">
              <w:rPr>
                <w:rFonts w:ascii="Calibri" w:hAnsi="Calibri" w:cs="Calibri"/>
                <w:b/>
                <w:szCs w:val="24"/>
              </w:rPr>
              <w:t>0</w:t>
            </w:r>
            <w:r w:rsidRPr="00F77EE9">
              <w:rPr>
                <w:rFonts w:ascii="Calibri" w:hAnsi="Calibri" w:cs="Calibri"/>
                <w:szCs w:val="24"/>
              </w:rPr>
              <w:t xml:space="preserve"> Gone Up </w:t>
            </w:r>
          </w:p>
          <w:p w14:paraId="2CB51AEA" w14:textId="342339BC" w:rsidR="00D72178" w:rsidRPr="00F77EE9" w:rsidRDefault="00D72178" w:rsidP="000419B1">
            <w:pPr>
              <w:rPr>
                <w:rFonts w:ascii="Calibri" w:hAnsi="Calibri" w:cs="Calibri"/>
                <w:szCs w:val="24"/>
              </w:rPr>
            </w:pPr>
            <w:r w:rsidRPr="00F77EE9">
              <w:rPr>
                <w:rFonts w:ascii="Calibri" w:hAnsi="Calibri" w:cs="Calibri"/>
                <w:szCs w:val="24"/>
              </w:rPr>
              <w:t xml:space="preserve">↓ </w:t>
            </w:r>
            <w:r w:rsidR="0059639A">
              <w:rPr>
                <w:rFonts w:ascii="Calibri" w:hAnsi="Calibri" w:cs="Calibri"/>
                <w:b/>
                <w:szCs w:val="24"/>
              </w:rPr>
              <w:t>0</w:t>
            </w:r>
            <w:r w:rsidRPr="00F77EE9">
              <w:rPr>
                <w:rFonts w:ascii="Calibri" w:hAnsi="Calibri" w:cs="Calibri"/>
                <w:b/>
                <w:szCs w:val="24"/>
              </w:rPr>
              <w:t xml:space="preserve"> </w:t>
            </w:r>
            <w:r w:rsidRPr="00F77EE9">
              <w:rPr>
                <w:rFonts w:ascii="Calibri" w:hAnsi="Calibri" w:cs="Calibri"/>
                <w:szCs w:val="24"/>
              </w:rPr>
              <w:t xml:space="preserve">Gone Down </w:t>
            </w:r>
          </w:p>
          <w:p w14:paraId="3AD65894" w14:textId="77777777" w:rsidR="00D72178" w:rsidRPr="00F77EE9" w:rsidRDefault="00D72178" w:rsidP="000419B1">
            <w:pPr>
              <w:rPr>
                <w:rFonts w:ascii="Calibri" w:hAnsi="Calibri" w:cs="Calibri"/>
                <w:szCs w:val="24"/>
              </w:rPr>
            </w:pPr>
            <w:r w:rsidRPr="00F77EE9">
              <w:rPr>
                <w:rFonts w:ascii="Calibri" w:hAnsi="Calibri" w:cs="Calibri"/>
                <w:szCs w:val="24"/>
                <w:u w:val="single"/>
              </w:rPr>
              <w:t>Change to Corporate Risk Register - proposed</w:t>
            </w:r>
          </w:p>
          <w:p w14:paraId="4C10E9E0" w14:textId="578D0179" w:rsidR="00D72178" w:rsidRPr="00F77EE9" w:rsidRDefault="00D72178" w:rsidP="000419B1">
            <w:pPr>
              <w:rPr>
                <w:rFonts w:ascii="Calibri" w:hAnsi="Calibri" w:cs="Calibri"/>
                <w:szCs w:val="24"/>
              </w:rPr>
            </w:pPr>
            <w:r w:rsidRPr="00F77EE9">
              <w:rPr>
                <w:rFonts w:ascii="Calibri" w:hAnsi="Calibri" w:cs="Calibri"/>
                <w:szCs w:val="24"/>
              </w:rPr>
              <w:t>↗</w:t>
            </w:r>
            <w:r w:rsidR="00B5382E" w:rsidRPr="00F77EE9">
              <w:rPr>
                <w:rFonts w:ascii="Calibri" w:hAnsi="Calibri" w:cs="Calibri"/>
                <w:b/>
                <w:szCs w:val="24"/>
              </w:rPr>
              <w:t xml:space="preserve"> 0</w:t>
            </w:r>
            <w:r w:rsidRPr="00F77EE9">
              <w:rPr>
                <w:rFonts w:ascii="Calibri" w:hAnsi="Calibri" w:cs="Calibri"/>
                <w:b/>
                <w:szCs w:val="24"/>
              </w:rPr>
              <w:t xml:space="preserve"> </w:t>
            </w:r>
            <w:r w:rsidRPr="00F77EE9">
              <w:rPr>
                <w:rFonts w:ascii="Calibri" w:hAnsi="Calibri" w:cs="Calibri"/>
                <w:szCs w:val="24"/>
              </w:rPr>
              <w:t xml:space="preserve">New Corporate Risks </w:t>
            </w:r>
          </w:p>
          <w:p w14:paraId="3FE9147C" w14:textId="7D73FE06" w:rsidR="00D72178" w:rsidRPr="004D18D9" w:rsidRDefault="00D72178" w:rsidP="000419B1">
            <w:pPr>
              <w:rPr>
                <w:rFonts w:ascii="Calibri" w:hAnsi="Calibri" w:cs="Calibri"/>
                <w:noProof/>
                <w:szCs w:val="24"/>
                <w:lang w:eastAsia="en-GB"/>
              </w:rPr>
            </w:pPr>
            <w:r w:rsidRPr="00F77EE9">
              <w:rPr>
                <w:rFonts w:ascii="Calibri" w:hAnsi="Calibri" w:cs="Calibri"/>
                <w:szCs w:val="24"/>
              </w:rPr>
              <w:t xml:space="preserve">↘ </w:t>
            </w:r>
            <w:r w:rsidR="00517D22">
              <w:rPr>
                <w:rFonts w:ascii="Calibri" w:hAnsi="Calibri" w:cs="Calibri"/>
                <w:b/>
                <w:szCs w:val="24"/>
              </w:rPr>
              <w:t>0</w:t>
            </w:r>
            <w:r w:rsidRPr="00F77EE9">
              <w:rPr>
                <w:rFonts w:ascii="Calibri" w:hAnsi="Calibri" w:cs="Calibri"/>
                <w:b/>
                <w:szCs w:val="24"/>
              </w:rPr>
              <w:t xml:space="preserve"> </w:t>
            </w:r>
            <w:r w:rsidR="00F77EE9" w:rsidRPr="00F77EE9">
              <w:rPr>
                <w:rFonts w:ascii="Calibri" w:hAnsi="Calibri" w:cs="Calibri"/>
                <w:szCs w:val="24"/>
              </w:rPr>
              <w:t xml:space="preserve">Risk </w:t>
            </w:r>
            <w:r w:rsidRPr="00F77EE9">
              <w:rPr>
                <w:rFonts w:ascii="Calibri" w:hAnsi="Calibri" w:cs="Calibri"/>
                <w:szCs w:val="24"/>
              </w:rPr>
              <w:t xml:space="preserve">De-Escalated </w:t>
            </w:r>
          </w:p>
        </w:tc>
      </w:tr>
    </w:tbl>
    <w:p w14:paraId="2FB0749F" w14:textId="2C2014F2" w:rsidR="00961689" w:rsidRDefault="00961689" w:rsidP="00961689"/>
    <w:p w14:paraId="7DA40CBD" w14:textId="0B04EBA5" w:rsidR="00410275" w:rsidRPr="00517D22" w:rsidRDefault="00961689" w:rsidP="00410275">
      <w:pPr>
        <w:pStyle w:val="Heading2"/>
        <w:spacing w:before="0" w:after="120" w:line="240" w:lineRule="auto"/>
        <w:rPr>
          <w:rFonts w:ascii="Calibri" w:hAnsi="Calibri" w:cs="Calibri"/>
          <w:szCs w:val="24"/>
        </w:rPr>
      </w:pPr>
      <w:r w:rsidRPr="00517D22">
        <w:rPr>
          <w:rFonts w:ascii="Calibri" w:hAnsi="Calibri" w:cs="Calibri"/>
          <w:szCs w:val="24"/>
        </w:rPr>
        <w:t>Risk</w:t>
      </w:r>
    </w:p>
    <w:p w14:paraId="57566060" w14:textId="647BA208" w:rsidR="00D72178" w:rsidRPr="00032678" w:rsidRDefault="00D72178" w:rsidP="003E7B62">
      <w:pPr>
        <w:pStyle w:val="ListParagraph"/>
        <w:numPr>
          <w:ilvl w:val="0"/>
          <w:numId w:val="1"/>
        </w:numPr>
        <w:rPr>
          <w:rFonts w:ascii="Calibri" w:hAnsi="Calibri" w:cs="Calibri"/>
          <w:color w:val="FF0000"/>
          <w:szCs w:val="24"/>
        </w:rPr>
      </w:pPr>
      <w:r w:rsidRPr="00517D22">
        <w:rPr>
          <w:rFonts w:ascii="Calibri" w:hAnsi="Calibri" w:cs="Calibri"/>
          <w:szCs w:val="24"/>
        </w:rPr>
        <w:t xml:space="preserve">The </w:t>
      </w:r>
      <w:hyperlink w:anchor="_Annex_A_–" w:history="1">
        <w:r w:rsidR="00257C14">
          <w:rPr>
            <w:rStyle w:val="Hyperlink"/>
            <w:rFonts w:ascii="Calibri" w:hAnsi="Calibri" w:cs="Calibri"/>
            <w:color w:val="auto"/>
            <w:szCs w:val="24"/>
          </w:rPr>
          <w:t>Annex A - Corporate Risk Register</w:t>
        </w:r>
      </w:hyperlink>
      <w:r w:rsidRPr="00517D22">
        <w:rPr>
          <w:rFonts w:ascii="Calibri" w:hAnsi="Calibri" w:cs="Calibri"/>
          <w:szCs w:val="24"/>
        </w:rPr>
        <w:t xml:space="preserve"> holds the current corporate risks for NatureScot.  Activity and project risks are managed within the risk management system, which underpins the corporate risk register.  All risks are managed in line with the Risk Management policy and monitored regularly for compliance and visibility of impact.</w:t>
      </w:r>
      <w:r w:rsidRPr="00032678">
        <w:rPr>
          <w:rFonts w:ascii="Calibri" w:eastAsia="Times New Roman" w:hAnsi="Calibri" w:cs="Calibri"/>
          <w:color w:val="FF0000"/>
          <w:szCs w:val="24"/>
        </w:rPr>
        <w:br/>
      </w:r>
    </w:p>
    <w:p w14:paraId="27BC155F" w14:textId="115DEF0C" w:rsidR="00D72178" w:rsidRPr="00032678" w:rsidRDefault="00B5382E" w:rsidP="003E7B62">
      <w:pPr>
        <w:pStyle w:val="ListParagraph"/>
        <w:numPr>
          <w:ilvl w:val="0"/>
          <w:numId w:val="1"/>
        </w:numPr>
        <w:rPr>
          <w:rFonts w:ascii="Calibri" w:eastAsia="Times New Roman" w:hAnsi="Calibri" w:cs="Calibri"/>
          <w:color w:val="FF0000"/>
          <w:szCs w:val="24"/>
        </w:rPr>
      </w:pPr>
      <w:r w:rsidRPr="00517D22">
        <w:rPr>
          <w:rFonts w:ascii="Calibri" w:eastAsia="Times New Roman" w:hAnsi="Calibri" w:cs="Calibri"/>
          <w:szCs w:val="24"/>
        </w:rPr>
        <w:t>There are currently 11</w:t>
      </w:r>
      <w:r w:rsidR="00D72178" w:rsidRPr="00517D22">
        <w:rPr>
          <w:rFonts w:ascii="Calibri" w:eastAsia="Times New Roman" w:hAnsi="Calibri" w:cs="Calibri"/>
          <w:szCs w:val="24"/>
        </w:rPr>
        <w:t xml:space="preserve"> approv</w:t>
      </w:r>
      <w:r w:rsidRPr="00517D22">
        <w:rPr>
          <w:rFonts w:ascii="Calibri" w:eastAsia="Times New Roman" w:hAnsi="Calibri" w:cs="Calibri"/>
          <w:szCs w:val="24"/>
        </w:rPr>
        <w:t xml:space="preserve">ed Corporate Risks, 6 medium and 5 </w:t>
      </w:r>
      <w:r w:rsidR="00D72178" w:rsidRPr="00517D22">
        <w:rPr>
          <w:rFonts w:ascii="Calibri" w:eastAsia="Times New Roman" w:hAnsi="Calibri" w:cs="Calibri"/>
          <w:szCs w:val="24"/>
        </w:rPr>
        <w:t>high</w:t>
      </w:r>
      <w:r w:rsidR="00517D22" w:rsidRPr="00517D22">
        <w:rPr>
          <w:rFonts w:ascii="Calibri" w:eastAsia="Times New Roman" w:hAnsi="Calibri" w:cs="Calibri"/>
          <w:szCs w:val="24"/>
        </w:rPr>
        <w:t>.  During Q4</w:t>
      </w:r>
      <w:r w:rsidR="0059639A">
        <w:rPr>
          <w:rFonts w:ascii="Calibri" w:eastAsia="Times New Roman" w:hAnsi="Calibri" w:cs="Calibri"/>
          <w:szCs w:val="24"/>
        </w:rPr>
        <w:t xml:space="preserve"> the likelihood score</w:t>
      </w:r>
      <w:r w:rsidRPr="00517D22">
        <w:rPr>
          <w:rFonts w:ascii="Calibri" w:eastAsia="Times New Roman" w:hAnsi="Calibri" w:cs="Calibri"/>
          <w:szCs w:val="24"/>
        </w:rPr>
        <w:t xml:space="preserve"> changed within </w:t>
      </w:r>
      <w:r w:rsidR="0059639A" w:rsidRPr="0059639A">
        <w:rPr>
          <w:rFonts w:ascii="Calibri" w:eastAsia="Times New Roman" w:hAnsi="Calibri" w:cs="Calibri"/>
          <w:szCs w:val="24"/>
        </w:rPr>
        <w:t xml:space="preserve">1 risk </w:t>
      </w:r>
      <w:r w:rsidR="0049286B">
        <w:rPr>
          <w:rFonts w:ascii="Calibri" w:eastAsia="Times New Roman" w:hAnsi="Calibri" w:cs="Calibri"/>
          <w:szCs w:val="24"/>
        </w:rPr>
        <w:t xml:space="preserve">– Lack of support for Fusion </w:t>
      </w:r>
      <w:r w:rsidR="0059639A" w:rsidRPr="0059639A">
        <w:rPr>
          <w:rFonts w:ascii="Calibri" w:eastAsia="Times New Roman" w:hAnsi="Calibri" w:cs="Calibri"/>
          <w:szCs w:val="24"/>
        </w:rPr>
        <w:t xml:space="preserve">but that hasn’t impacted the </w:t>
      </w:r>
      <w:r w:rsidR="0049286B">
        <w:rPr>
          <w:rFonts w:ascii="Calibri" w:eastAsia="Times New Roman" w:hAnsi="Calibri" w:cs="Calibri"/>
          <w:szCs w:val="24"/>
        </w:rPr>
        <w:t xml:space="preserve">overall </w:t>
      </w:r>
      <w:r w:rsidRPr="0059639A">
        <w:rPr>
          <w:rFonts w:ascii="Calibri" w:eastAsia="Times New Roman" w:hAnsi="Calibri" w:cs="Calibri"/>
          <w:szCs w:val="24"/>
        </w:rPr>
        <w:t>risk rating.</w:t>
      </w:r>
    </w:p>
    <w:p w14:paraId="758CB6D3" w14:textId="77777777" w:rsidR="00D72178" w:rsidRPr="00517D22" w:rsidRDefault="00D72178" w:rsidP="00D72178">
      <w:pPr>
        <w:pStyle w:val="ListParagraph"/>
        <w:ind w:left="360"/>
        <w:rPr>
          <w:rFonts w:ascii="Calibri" w:eastAsia="Times New Roman" w:hAnsi="Calibri" w:cs="Calibri"/>
          <w:szCs w:val="24"/>
          <w:highlight w:val="yellow"/>
        </w:rPr>
      </w:pPr>
    </w:p>
    <w:p w14:paraId="62C82F4D" w14:textId="2931DFAA" w:rsidR="00B5382E" w:rsidRPr="009C22ED" w:rsidRDefault="00517D22" w:rsidP="003E7B62">
      <w:pPr>
        <w:pStyle w:val="ListParagraph"/>
        <w:numPr>
          <w:ilvl w:val="0"/>
          <w:numId w:val="1"/>
        </w:numPr>
        <w:spacing w:after="0"/>
        <w:rPr>
          <w:rFonts w:ascii="Calibri" w:hAnsi="Calibri" w:cs="Calibri"/>
          <w:szCs w:val="24"/>
        </w:rPr>
      </w:pPr>
      <w:r w:rsidRPr="00517D22">
        <w:rPr>
          <w:rFonts w:ascii="Calibri" w:eastAsia="Times New Roman" w:hAnsi="Calibri" w:cs="Calibri"/>
          <w:szCs w:val="24"/>
        </w:rPr>
        <w:t>During Q4</w:t>
      </w:r>
      <w:r w:rsidR="00D72178" w:rsidRPr="00517D22">
        <w:rPr>
          <w:rFonts w:ascii="Calibri" w:eastAsia="Times New Roman" w:hAnsi="Calibri" w:cs="Calibri"/>
          <w:szCs w:val="24"/>
        </w:rPr>
        <w:t xml:space="preserve">, the Corporate Risks have been reviewed to ensure that they still require to be managed at the corporate level. There are </w:t>
      </w:r>
      <w:r w:rsidR="00B5382E" w:rsidRPr="00517D22">
        <w:rPr>
          <w:rFonts w:ascii="Calibri" w:eastAsia="Times New Roman" w:hAnsi="Calibri" w:cs="Calibri"/>
          <w:szCs w:val="24"/>
        </w:rPr>
        <w:t>no new corporate risks</w:t>
      </w:r>
      <w:r w:rsidR="00D72178" w:rsidRPr="00517D22">
        <w:rPr>
          <w:rFonts w:ascii="Calibri" w:eastAsia="Times New Roman" w:hAnsi="Calibri" w:cs="Calibri"/>
          <w:szCs w:val="24"/>
        </w:rPr>
        <w:t xml:space="preserve"> proposed for escalation</w:t>
      </w:r>
      <w:r w:rsidRPr="00517D22">
        <w:rPr>
          <w:rFonts w:ascii="Calibri" w:eastAsia="Times New Roman" w:hAnsi="Calibri" w:cs="Calibri"/>
          <w:szCs w:val="24"/>
        </w:rPr>
        <w:t>.</w:t>
      </w:r>
    </w:p>
    <w:p w14:paraId="7816A4A9" w14:textId="77777777" w:rsidR="009C22ED" w:rsidRPr="009C22ED" w:rsidRDefault="009C22ED" w:rsidP="009C22ED">
      <w:pPr>
        <w:pStyle w:val="ListParagraph"/>
        <w:rPr>
          <w:rFonts w:ascii="Calibri" w:hAnsi="Calibri" w:cs="Calibri"/>
          <w:szCs w:val="24"/>
        </w:rPr>
      </w:pPr>
    </w:p>
    <w:p w14:paraId="795E56AB" w14:textId="53A9BDF5" w:rsidR="009C22ED" w:rsidRPr="00517D22" w:rsidRDefault="009C22ED" w:rsidP="003E7B62">
      <w:pPr>
        <w:pStyle w:val="ListParagraph"/>
        <w:numPr>
          <w:ilvl w:val="0"/>
          <w:numId w:val="1"/>
        </w:numPr>
        <w:spacing w:after="0"/>
        <w:rPr>
          <w:rFonts w:ascii="Calibri" w:hAnsi="Calibri" w:cs="Calibri"/>
          <w:szCs w:val="24"/>
        </w:rPr>
      </w:pPr>
      <w:r>
        <w:rPr>
          <w:rFonts w:ascii="Calibri" w:hAnsi="Calibri" w:cs="Calibri"/>
          <w:szCs w:val="24"/>
        </w:rPr>
        <w:t>Over the year the corporate risks have remained relatively static on the register with the main focus on Structural funds, funding for NatureScot and internally, the support of the FUSION system.</w:t>
      </w:r>
    </w:p>
    <w:p w14:paraId="1015CC91" w14:textId="4A6BBCC4" w:rsidR="00517D22" w:rsidRPr="00517D22" w:rsidRDefault="00517D22" w:rsidP="00517D22">
      <w:pPr>
        <w:spacing w:after="0"/>
        <w:rPr>
          <w:rFonts w:ascii="Calibri" w:hAnsi="Calibri" w:cs="Calibri"/>
          <w:szCs w:val="24"/>
        </w:rPr>
      </w:pPr>
    </w:p>
    <w:p w14:paraId="2FE4F5B9" w14:textId="2445F114" w:rsidR="00156416" w:rsidRDefault="00C87458" w:rsidP="00D65835">
      <w:pPr>
        <w:rPr>
          <w:rFonts w:ascii="Calibri" w:eastAsia="Times New Roman" w:hAnsi="Calibri" w:cs="Calibri"/>
          <w:b/>
          <w:szCs w:val="24"/>
        </w:rPr>
      </w:pPr>
      <w:r>
        <w:rPr>
          <w:rFonts w:ascii="Calibri" w:eastAsia="Times New Roman" w:hAnsi="Calibri" w:cs="Calibri"/>
          <w:b/>
          <w:szCs w:val="24"/>
        </w:rPr>
        <w:t>Board</w:t>
      </w:r>
      <w:r w:rsidR="00D72178" w:rsidRPr="00517D22">
        <w:rPr>
          <w:rFonts w:ascii="Calibri" w:eastAsia="Times New Roman" w:hAnsi="Calibri" w:cs="Calibri"/>
          <w:b/>
          <w:szCs w:val="24"/>
        </w:rPr>
        <w:t xml:space="preserve"> are requested to note the per</w:t>
      </w:r>
      <w:r w:rsidR="00B5382E" w:rsidRPr="00517D22">
        <w:rPr>
          <w:rFonts w:ascii="Calibri" w:eastAsia="Times New Roman" w:hAnsi="Calibri" w:cs="Calibri"/>
          <w:b/>
          <w:szCs w:val="24"/>
        </w:rPr>
        <w:t>formance of the corporate risks</w:t>
      </w:r>
      <w:r w:rsidR="00517D22" w:rsidRPr="00517D22">
        <w:rPr>
          <w:rFonts w:ascii="Calibri" w:eastAsia="Times New Roman" w:hAnsi="Calibri" w:cs="Calibri"/>
          <w:b/>
          <w:szCs w:val="24"/>
        </w:rPr>
        <w:t>.</w:t>
      </w:r>
    </w:p>
    <w:p w14:paraId="28AE95F2" w14:textId="4CBB261A" w:rsidR="0092491F" w:rsidRDefault="0092491F" w:rsidP="00D65835">
      <w:pPr>
        <w:rPr>
          <w:rFonts w:ascii="Calibri" w:eastAsia="Times New Roman" w:hAnsi="Calibri" w:cs="Calibri"/>
          <w:b/>
          <w:szCs w:val="24"/>
        </w:rPr>
      </w:pPr>
    </w:p>
    <w:p w14:paraId="42B18E55" w14:textId="0A815607" w:rsidR="0092491F" w:rsidRPr="00517D22" w:rsidRDefault="0092491F" w:rsidP="00D65835">
      <w:pPr>
        <w:rPr>
          <w:rFonts w:eastAsiaTheme="majorEastAsia"/>
          <w:b/>
          <w:szCs w:val="26"/>
        </w:rPr>
      </w:pPr>
    </w:p>
    <w:p w14:paraId="058CCD77" w14:textId="522DBED9" w:rsidR="0092491F" w:rsidRPr="00A30003" w:rsidRDefault="0092491F" w:rsidP="0092491F">
      <w:pPr>
        <w:pStyle w:val="Heading2"/>
      </w:pPr>
      <w:r w:rsidRPr="00486490">
        <w:rPr>
          <w:rFonts w:ascii="Calibri" w:hAnsi="Calibri" w:cs="Calibri"/>
          <w:color w:val="5E8CC0"/>
        </w:rPr>
        <w:lastRenderedPageBreak/>
        <w:t>PEOPLE</w:t>
      </w:r>
      <w:r w:rsidRPr="00032678">
        <w:rPr>
          <w:rFonts w:ascii="Calibri" w:hAnsi="Calibri" w:cs="Calibri"/>
          <w:color w:val="FF0000"/>
        </w:rPr>
        <w:t xml:space="preserve"> </w:t>
      </w:r>
    </w:p>
    <w:tbl>
      <w:tblPr>
        <w:tblStyle w:val="PlainTable1"/>
        <w:tblpPr w:leftFromText="180" w:rightFromText="180" w:vertAnchor="text" w:horzAnchor="margin" w:tblpX="-20" w:tblpY="456"/>
        <w:tblW w:w="9371" w:type="dxa"/>
        <w:tblLook w:val="04A0" w:firstRow="1" w:lastRow="0" w:firstColumn="1" w:lastColumn="0" w:noHBand="0" w:noVBand="1"/>
        <w:tblCaption w:val="People Metrics"/>
        <w:tblDescription w:val="Summary of the progress on the people metrics"/>
      </w:tblPr>
      <w:tblGrid>
        <w:gridCol w:w="7792"/>
        <w:gridCol w:w="1579"/>
      </w:tblGrid>
      <w:tr w:rsidR="0092491F" w:rsidRPr="0073147A" w14:paraId="0D75C052"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4F81BD" w:themeFill="accent1"/>
          </w:tcPr>
          <w:p w14:paraId="05B30648" w14:textId="77777777" w:rsidR="0092491F" w:rsidRPr="0073147A" w:rsidRDefault="0092491F" w:rsidP="00AC6E31">
            <w:pPr>
              <w:keepNext/>
              <w:keepLines/>
              <w:contextualSpacing/>
              <w:outlineLvl w:val="1"/>
              <w:rPr>
                <w:rFonts w:ascii="Calibri" w:eastAsia="Times New Roman" w:hAnsi="Calibri" w:cs="Calibri"/>
                <w:szCs w:val="24"/>
              </w:rPr>
            </w:pPr>
            <w:r w:rsidRPr="0073147A">
              <w:rPr>
                <w:rFonts w:ascii="Calibri" w:eastAsia="Times New Roman" w:hAnsi="Calibri" w:cs="Calibri"/>
                <w:szCs w:val="24"/>
              </w:rPr>
              <w:t>People Metrics</w:t>
            </w:r>
          </w:p>
        </w:tc>
        <w:tc>
          <w:tcPr>
            <w:tcW w:w="1579" w:type="dxa"/>
            <w:shd w:val="clear" w:color="auto" w:fill="4F81BD" w:themeFill="accent1"/>
          </w:tcPr>
          <w:p w14:paraId="4004A68A"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73147A">
              <w:rPr>
                <w:rFonts w:ascii="Calibri" w:eastAsia="Times New Roman" w:hAnsi="Calibri" w:cs="Calibri"/>
                <w:szCs w:val="24"/>
              </w:rPr>
              <w:t>Status</w:t>
            </w:r>
          </w:p>
        </w:tc>
      </w:tr>
      <w:tr w:rsidR="0092491F" w:rsidRPr="0073147A" w14:paraId="77B966DC"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00B050"/>
          </w:tcPr>
          <w:p w14:paraId="795FC880" w14:textId="77777777" w:rsidR="0092491F" w:rsidRPr="0073147A" w:rsidRDefault="0092491F" w:rsidP="00AC6E31">
            <w:pPr>
              <w:keepNext/>
              <w:keepLines/>
              <w:contextualSpacing/>
              <w:outlineLvl w:val="1"/>
              <w:rPr>
                <w:rFonts w:ascii="Calibri" w:eastAsia="Times New Roman" w:hAnsi="Calibri" w:cs="Calibri"/>
                <w:szCs w:val="24"/>
              </w:rPr>
            </w:pPr>
            <w:r w:rsidRPr="0073147A">
              <w:rPr>
                <w:rFonts w:ascii="Calibri" w:eastAsia="Times New Roman" w:hAnsi="Calibri" w:cs="Calibri"/>
                <w:szCs w:val="24"/>
              </w:rPr>
              <w:t>Wellbeing</w:t>
            </w:r>
          </w:p>
        </w:tc>
        <w:tc>
          <w:tcPr>
            <w:tcW w:w="1579" w:type="dxa"/>
            <w:shd w:val="clear" w:color="auto" w:fill="00B050"/>
          </w:tcPr>
          <w:p w14:paraId="6A9BD7F9"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p>
        </w:tc>
      </w:tr>
      <w:tr w:rsidR="0092491F" w:rsidRPr="0073147A" w14:paraId="4EFD2ED6"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tcPr>
          <w:p w14:paraId="1EAC0C58" w14:textId="77777777" w:rsidR="0092491F" w:rsidRPr="0073147A" w:rsidRDefault="0092491F" w:rsidP="00AC6E31">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Accidents &amp; Near Misses – target: to stay with</w:t>
            </w:r>
            <w:r>
              <w:rPr>
                <w:rFonts w:ascii="Calibri" w:eastAsia="Times New Roman" w:hAnsi="Calibri" w:cs="Calibri"/>
                <w:b w:val="0"/>
                <w:szCs w:val="24"/>
              </w:rPr>
              <w:t>in variations around the mean which are 4.4 for accidents &amp; 5.8 for near misses</w:t>
            </w:r>
          </w:p>
          <w:p w14:paraId="496260B6" w14:textId="77777777" w:rsidR="0092491F" w:rsidRPr="00F86A9A" w:rsidRDefault="0092491F" w:rsidP="00AC6E31">
            <w:pPr>
              <w:keepNext/>
              <w:keepLines/>
              <w:outlineLvl w:val="1"/>
              <w:rPr>
                <w:rFonts w:ascii="Calibri" w:eastAsia="Times New Roman" w:hAnsi="Calibri" w:cs="Calibri"/>
                <w:b w:val="0"/>
                <w:sz w:val="23"/>
                <w:szCs w:val="23"/>
              </w:rPr>
            </w:pPr>
            <w:r w:rsidRPr="007420DE">
              <w:rPr>
                <w:rFonts w:ascii="Calibri" w:eastAsia="Times New Roman" w:hAnsi="Calibri" w:cs="Calibri"/>
                <w:sz w:val="23"/>
                <w:szCs w:val="23"/>
              </w:rPr>
              <w:t>Q4</w:t>
            </w:r>
            <w:r w:rsidRPr="00F86A9A">
              <w:rPr>
                <w:rFonts w:ascii="Calibri" w:eastAsia="Times New Roman" w:hAnsi="Calibri" w:cs="Calibri"/>
                <w:b w:val="0"/>
                <w:sz w:val="23"/>
                <w:szCs w:val="23"/>
              </w:rPr>
              <w:t>: Accidents=</w:t>
            </w:r>
            <w:r>
              <w:rPr>
                <w:rFonts w:ascii="Calibri" w:eastAsia="Times New Roman" w:hAnsi="Calibri" w:cs="Calibri"/>
                <w:b w:val="0"/>
                <w:sz w:val="23"/>
                <w:szCs w:val="23"/>
              </w:rPr>
              <w:t>3</w:t>
            </w:r>
            <w:r w:rsidRPr="00F86A9A">
              <w:rPr>
                <w:rFonts w:ascii="Calibri" w:eastAsia="Times New Roman" w:hAnsi="Calibri" w:cs="Calibri"/>
                <w:b w:val="0"/>
                <w:sz w:val="23"/>
                <w:szCs w:val="23"/>
              </w:rPr>
              <w:t>, Near Misses=</w:t>
            </w:r>
            <w:r>
              <w:rPr>
                <w:rFonts w:ascii="Calibri" w:eastAsia="Times New Roman" w:hAnsi="Calibri" w:cs="Calibri"/>
                <w:b w:val="0"/>
                <w:sz w:val="23"/>
                <w:szCs w:val="23"/>
              </w:rPr>
              <w:t xml:space="preserve">3. </w:t>
            </w:r>
            <w:r w:rsidRPr="007420DE">
              <w:rPr>
                <w:rFonts w:ascii="Calibri" w:eastAsia="Times New Roman" w:hAnsi="Calibri" w:cs="Calibri"/>
                <w:sz w:val="23"/>
                <w:szCs w:val="23"/>
              </w:rPr>
              <w:t>Annual 2022/23</w:t>
            </w:r>
            <w:r>
              <w:rPr>
                <w:rFonts w:ascii="Calibri" w:eastAsia="Times New Roman" w:hAnsi="Calibri" w:cs="Calibri"/>
                <w:b w:val="0"/>
                <w:sz w:val="23"/>
                <w:szCs w:val="23"/>
              </w:rPr>
              <w:t xml:space="preserve">: Accidents=18, Near Misses=11 </w:t>
            </w:r>
            <w:r w:rsidRPr="00F86A9A">
              <w:rPr>
                <w:rFonts w:ascii="Calibri" w:eastAsia="Times New Roman" w:hAnsi="Calibri" w:cs="Calibri"/>
                <w:b w:val="0"/>
                <w:sz w:val="23"/>
                <w:szCs w:val="23"/>
              </w:rPr>
              <w:t xml:space="preserve"> </w:t>
            </w:r>
            <w:r>
              <w:rPr>
                <w:rFonts w:ascii="Calibri" w:eastAsia="Times New Roman" w:hAnsi="Calibri" w:cs="Calibri"/>
                <w:b w:val="0"/>
                <w:sz w:val="23"/>
                <w:szCs w:val="23"/>
              </w:rPr>
              <w:t>Q4 saw a reduction in accidents compared to Q3, the annual figures show a reduction in accidents compared to 2021/22 but an increase in near misses. It was reported in Q3 that the reported accidents were returning to Pre-Covid figures however the annual figure shows that there is a reduction overall. This could be due new ways of working and low numbers of employees in the offices.</w:t>
            </w:r>
          </w:p>
        </w:tc>
        <w:tc>
          <w:tcPr>
            <w:tcW w:w="1579" w:type="dxa"/>
          </w:tcPr>
          <w:p w14:paraId="5E2510AA"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92491F" w:rsidRPr="0073147A" w14:paraId="16C07402"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14:paraId="61FAA2DA" w14:textId="77777777" w:rsidR="0092491F" w:rsidRPr="004C063F" w:rsidRDefault="0092491F" w:rsidP="00AC6E31">
            <w:pPr>
              <w:keepNext/>
              <w:keepLines/>
              <w:outlineLvl w:val="1"/>
              <w:rPr>
                <w:rFonts w:ascii="Calibri" w:eastAsia="Times New Roman" w:hAnsi="Calibri" w:cs="Calibri"/>
                <w:b w:val="0"/>
                <w:szCs w:val="24"/>
              </w:rPr>
            </w:pPr>
            <w:r>
              <w:rPr>
                <w:rFonts w:ascii="Calibri" w:eastAsia="Times New Roman" w:hAnsi="Calibri" w:cs="Calibri"/>
                <w:b w:val="0"/>
                <w:szCs w:val="24"/>
              </w:rPr>
              <w:t>Workload Management</w:t>
            </w:r>
            <w:r w:rsidRPr="0073147A">
              <w:rPr>
                <w:rFonts w:ascii="Calibri" w:eastAsia="Times New Roman" w:hAnsi="Calibri" w:cs="Calibri"/>
                <w:b w:val="0"/>
                <w:szCs w:val="24"/>
              </w:rPr>
              <w:t xml:space="preserve"> </w:t>
            </w:r>
            <w:r>
              <w:rPr>
                <w:rFonts w:ascii="Calibri" w:eastAsia="Times New Roman" w:hAnsi="Calibri" w:cs="Calibri"/>
                <w:b w:val="0"/>
                <w:szCs w:val="24"/>
              </w:rPr>
              <w:t xml:space="preserve">Pulse Survey </w:t>
            </w:r>
            <w:r w:rsidRPr="0073147A">
              <w:rPr>
                <w:rFonts w:ascii="Calibri" w:eastAsia="Times New Roman" w:hAnsi="Calibri" w:cs="Calibri"/>
                <w:b w:val="0"/>
                <w:szCs w:val="24"/>
              </w:rPr>
              <w:t>–</w:t>
            </w:r>
            <w:r>
              <w:rPr>
                <w:rFonts w:ascii="Calibri" w:eastAsia="Times New Roman" w:hAnsi="Calibri" w:cs="Calibri"/>
                <w:b w:val="0"/>
                <w:szCs w:val="24"/>
              </w:rPr>
              <w:t xml:space="preserve"> </w:t>
            </w:r>
            <w:r w:rsidRPr="00512BDA">
              <w:rPr>
                <w:rFonts w:ascii="Calibri" w:eastAsia="Times New Roman" w:hAnsi="Calibri" w:cs="Calibri"/>
                <w:b w:val="0"/>
                <w:szCs w:val="24"/>
              </w:rPr>
              <w:t>there was a 5</w:t>
            </w:r>
            <w:r>
              <w:rPr>
                <w:rFonts w:ascii="Calibri" w:eastAsia="Times New Roman" w:hAnsi="Calibri" w:cs="Calibri"/>
                <w:b w:val="0"/>
                <w:szCs w:val="24"/>
              </w:rPr>
              <w:t>7</w:t>
            </w:r>
            <w:r w:rsidRPr="00512BDA">
              <w:rPr>
                <w:rFonts w:ascii="Calibri" w:eastAsia="Times New Roman" w:hAnsi="Calibri" w:cs="Calibri"/>
                <w:b w:val="0"/>
                <w:szCs w:val="24"/>
              </w:rPr>
              <w:t xml:space="preserve">% response rate from the organisation. Of those respondents, </w:t>
            </w:r>
            <w:r>
              <w:rPr>
                <w:rFonts w:ascii="Calibri" w:eastAsia="Times New Roman" w:hAnsi="Calibri" w:cs="Calibri"/>
                <w:b w:val="0"/>
                <w:szCs w:val="24"/>
              </w:rPr>
              <w:t>81</w:t>
            </w:r>
            <w:r w:rsidRPr="00512BDA">
              <w:rPr>
                <w:rFonts w:ascii="Calibri" w:eastAsia="Times New Roman" w:hAnsi="Calibri" w:cs="Calibri"/>
                <w:b w:val="0"/>
                <w:szCs w:val="24"/>
              </w:rPr>
              <w:t xml:space="preserve">% </w:t>
            </w:r>
            <w:r>
              <w:rPr>
                <w:rFonts w:ascii="Calibri" w:eastAsia="Times New Roman" w:hAnsi="Calibri" w:cs="Calibri"/>
                <w:b w:val="0"/>
                <w:szCs w:val="24"/>
              </w:rPr>
              <w:t>stated that they had had a PDC in 2022/23; however, 19% stated they had not had a PDC when asked if they had a PDC booked before the end of 2022/23. Of those 19% 61% stated, they did not have a PDC booked</w:t>
            </w:r>
            <w:r w:rsidRPr="00512BDA">
              <w:rPr>
                <w:rFonts w:ascii="Calibri" w:eastAsia="Times New Roman" w:hAnsi="Calibri" w:cs="Calibri"/>
                <w:b w:val="0"/>
                <w:szCs w:val="24"/>
              </w:rPr>
              <w:t xml:space="preserve">. </w:t>
            </w:r>
            <w:r>
              <w:rPr>
                <w:rFonts w:ascii="Calibri" w:eastAsia="Times New Roman" w:hAnsi="Calibri" w:cs="Calibri"/>
                <w:b w:val="0"/>
                <w:szCs w:val="24"/>
              </w:rPr>
              <w:t xml:space="preserve"> In the survey, 66</w:t>
            </w:r>
            <w:r w:rsidRPr="00512BDA">
              <w:rPr>
                <w:rFonts w:ascii="Calibri" w:eastAsia="Times New Roman" w:hAnsi="Calibri" w:cs="Calibri"/>
                <w:b w:val="0"/>
                <w:szCs w:val="24"/>
              </w:rPr>
              <w:t xml:space="preserve">% </w:t>
            </w:r>
            <w:r>
              <w:rPr>
                <w:rFonts w:ascii="Calibri" w:eastAsia="Times New Roman" w:hAnsi="Calibri" w:cs="Calibri"/>
                <w:b w:val="0"/>
                <w:szCs w:val="24"/>
              </w:rPr>
              <w:t>found a PDC was useful in prioritising their workload and 53% are able to maintain a manageable workload. 65% feel trusted and empowered at work</w:t>
            </w:r>
            <w:r w:rsidRPr="00512BDA">
              <w:rPr>
                <w:rFonts w:ascii="Calibri" w:eastAsia="Times New Roman" w:hAnsi="Calibri" w:cs="Calibri"/>
                <w:b w:val="0"/>
                <w:szCs w:val="24"/>
              </w:rPr>
              <w:t>.</w:t>
            </w:r>
            <w:r>
              <w:rPr>
                <w:rFonts w:ascii="Calibri" w:eastAsia="Times New Roman" w:hAnsi="Calibri" w:cs="Calibri"/>
                <w:b w:val="0"/>
                <w:szCs w:val="24"/>
              </w:rPr>
              <w:t xml:space="preserve"> 46% indicated that they rarely feel stressed.</w:t>
            </w:r>
            <w:r w:rsidRPr="00512BDA">
              <w:rPr>
                <w:rFonts w:ascii="Calibri" w:eastAsia="Times New Roman" w:hAnsi="Calibri" w:cs="Calibri"/>
                <w:b w:val="0"/>
                <w:szCs w:val="24"/>
              </w:rPr>
              <w:t xml:space="preserve"> </w:t>
            </w:r>
            <w:r>
              <w:rPr>
                <w:rFonts w:ascii="Calibri" w:eastAsia="Times New Roman" w:hAnsi="Calibri" w:cs="Calibri"/>
                <w:b w:val="0"/>
                <w:szCs w:val="24"/>
              </w:rPr>
              <w:t xml:space="preserve">The new Performance approach launching in April will ensure that there is a more formal approach to recording PDC’s and ensuring that conversations are undertaken. Career MOT’s will also be an opportunity for employees to explore their professional development/pathways. In December and January, we ran the Road to Well programme which replaced the previous winter carnival. The programme focused on personal development and wellbeing; it </w:t>
            </w:r>
            <w:r w:rsidRPr="00E96764">
              <w:rPr>
                <w:rStyle w:val="ui-provider"/>
                <w:rFonts w:ascii="Calibri" w:hAnsi="Calibri" w:cs="Calibri"/>
                <w:b w:val="0"/>
                <w:szCs w:val="24"/>
              </w:rPr>
              <w:t>included a wide range of different events and engagement opportunities: mindfulness sessions, decider skills training</w:t>
            </w:r>
          </w:p>
        </w:tc>
        <w:tc>
          <w:tcPr>
            <w:tcW w:w="1579" w:type="dxa"/>
            <w:shd w:val="clear" w:color="auto" w:fill="auto"/>
          </w:tcPr>
          <w:p w14:paraId="6746809A"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92491F" w:rsidRPr="0073147A" w14:paraId="181D695C"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00B050"/>
          </w:tcPr>
          <w:p w14:paraId="702F1EF4" w14:textId="77777777" w:rsidR="0092491F" w:rsidRPr="004A3395" w:rsidRDefault="0092491F" w:rsidP="00AC6E31">
            <w:r w:rsidRPr="0073147A">
              <w:rPr>
                <w:lang w:eastAsia="en-GB"/>
              </w:rPr>
              <w:t>Capacity</w:t>
            </w:r>
          </w:p>
        </w:tc>
        <w:tc>
          <w:tcPr>
            <w:tcW w:w="1579" w:type="dxa"/>
            <w:shd w:val="clear" w:color="auto" w:fill="00B050"/>
          </w:tcPr>
          <w:p w14:paraId="5AC3799D"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p>
        </w:tc>
      </w:tr>
      <w:tr w:rsidR="0092491F" w:rsidRPr="0073147A" w14:paraId="01B0E90F"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FFFFFF" w:themeFill="background1"/>
          </w:tcPr>
          <w:p w14:paraId="7092A3DE" w14:textId="77777777" w:rsidR="007420DE" w:rsidRPr="007420DE" w:rsidRDefault="007420DE" w:rsidP="007420DE">
            <w:pPr>
              <w:keepNext/>
              <w:keepLines/>
              <w:outlineLvl w:val="1"/>
              <w:rPr>
                <w:rFonts w:ascii="Calibri" w:eastAsia="Times New Roman" w:hAnsi="Calibri" w:cs="Calibri"/>
                <w:b w:val="0"/>
                <w:szCs w:val="24"/>
              </w:rPr>
            </w:pPr>
            <w:r w:rsidRPr="007420DE">
              <w:rPr>
                <w:rFonts w:ascii="Calibri" w:eastAsia="Times New Roman" w:hAnsi="Calibri" w:cs="Calibri"/>
                <w:b w:val="0"/>
                <w:szCs w:val="24"/>
              </w:rPr>
              <w:t xml:space="preserve">Sickness – Target: under 2 days per person per quarter. </w:t>
            </w:r>
          </w:p>
          <w:p w14:paraId="5AF85DB1" w14:textId="44A57016" w:rsidR="0092491F" w:rsidRPr="00F86A9A" w:rsidRDefault="007420DE" w:rsidP="007420DE">
            <w:pPr>
              <w:keepNext/>
              <w:keepLines/>
              <w:outlineLvl w:val="1"/>
              <w:rPr>
                <w:rFonts w:ascii="Calibri" w:eastAsia="Times New Roman" w:hAnsi="Calibri" w:cs="Calibri"/>
                <w:b w:val="0"/>
                <w:sz w:val="23"/>
                <w:szCs w:val="23"/>
              </w:rPr>
            </w:pPr>
            <w:r w:rsidRPr="007420DE">
              <w:rPr>
                <w:rFonts w:ascii="Calibri" w:eastAsia="Times New Roman" w:hAnsi="Calibri" w:cs="Calibri"/>
                <w:b w:val="0"/>
                <w:szCs w:val="24"/>
              </w:rPr>
              <w:t>Q4: 1.48 days, with an annual figure of 6.2. This is above the Civil Service average working days lost which is 6.1. However, we are starting to return to the pattern we saw pre-pandemic, where annual days lost were 6.62 days, compared to 3.94 in 2020/21. The majority of the absences are short-term; only 1.38% of sick absences are long term (an absence of 12 weeks or longer).</w:t>
            </w:r>
          </w:p>
        </w:tc>
        <w:tc>
          <w:tcPr>
            <w:tcW w:w="1579" w:type="dxa"/>
            <w:shd w:val="clear" w:color="auto" w:fill="FFFFFF" w:themeFill="background1"/>
          </w:tcPr>
          <w:p w14:paraId="052F4684"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92491F" w:rsidRPr="0073147A" w14:paraId="46BF46E6"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FFFFFF" w:themeFill="background1"/>
          </w:tcPr>
          <w:p w14:paraId="6DC3F8CA" w14:textId="5C6BB0AC" w:rsidR="0092491F" w:rsidRPr="003E059A" w:rsidRDefault="0092491F" w:rsidP="00AC6E31">
            <w:pPr>
              <w:keepNext/>
              <w:keepLines/>
              <w:outlineLvl w:val="1"/>
              <w:rPr>
                <w:rFonts w:ascii="Calibri" w:eastAsia="Times New Roman" w:hAnsi="Calibri" w:cs="Calibri"/>
                <w:b w:val="0"/>
                <w:sz w:val="23"/>
                <w:szCs w:val="23"/>
              </w:rPr>
            </w:pPr>
            <w:r w:rsidRPr="003E059A">
              <w:rPr>
                <w:rFonts w:ascii="Calibri" w:eastAsia="Times New Roman" w:hAnsi="Calibri" w:cs="Calibri"/>
                <w:b w:val="0"/>
                <w:sz w:val="23"/>
                <w:szCs w:val="23"/>
              </w:rPr>
              <w:t>Q</w:t>
            </w:r>
            <w:r>
              <w:rPr>
                <w:rFonts w:ascii="Calibri" w:eastAsia="Times New Roman" w:hAnsi="Calibri" w:cs="Calibri"/>
                <w:b w:val="0"/>
                <w:sz w:val="23"/>
                <w:szCs w:val="23"/>
              </w:rPr>
              <w:t>4</w:t>
            </w:r>
            <w:r w:rsidRPr="003E059A">
              <w:rPr>
                <w:rFonts w:ascii="Calibri" w:eastAsia="Times New Roman" w:hAnsi="Calibri" w:cs="Calibri"/>
                <w:b w:val="0"/>
                <w:sz w:val="23"/>
                <w:szCs w:val="23"/>
              </w:rPr>
              <w:t>: 91% of holiday leave taken</w:t>
            </w:r>
            <w:r>
              <w:rPr>
                <w:rFonts w:ascii="Calibri" w:eastAsia="Times New Roman" w:hAnsi="Calibri" w:cs="Calibri"/>
                <w:b w:val="0"/>
                <w:sz w:val="23"/>
                <w:szCs w:val="23"/>
              </w:rPr>
              <w:t>;</w:t>
            </w:r>
            <w:r w:rsidRPr="003E059A">
              <w:rPr>
                <w:rFonts w:ascii="Calibri" w:eastAsia="Times New Roman" w:hAnsi="Calibri" w:cs="Calibri"/>
                <w:b w:val="0"/>
                <w:sz w:val="23"/>
                <w:szCs w:val="23"/>
              </w:rPr>
              <w:t xml:space="preserve"> this is within target.  </w:t>
            </w:r>
            <w:r>
              <w:rPr>
                <w:rFonts w:ascii="Calibri" w:eastAsia="Times New Roman" w:hAnsi="Calibri" w:cs="Calibri"/>
                <w:b w:val="0"/>
                <w:sz w:val="23"/>
                <w:szCs w:val="23"/>
              </w:rPr>
              <w:t xml:space="preserve">The notional target at the end of the holiday leave year is 100%, however as we allow a 5 day carry-over, an acceptable level is 88% or higher. </w:t>
            </w:r>
          </w:p>
        </w:tc>
        <w:tc>
          <w:tcPr>
            <w:tcW w:w="1579" w:type="dxa"/>
            <w:shd w:val="clear" w:color="auto" w:fill="FFFFFF" w:themeFill="background1"/>
          </w:tcPr>
          <w:p w14:paraId="122C40D1" w14:textId="77777777" w:rsidR="0092491F" w:rsidRPr="001C6243"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92491F" w:rsidRPr="0073147A" w14:paraId="6FFD52AA"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00B050"/>
          </w:tcPr>
          <w:p w14:paraId="330FCF81" w14:textId="77777777" w:rsidR="0092491F" w:rsidRPr="0073147A" w:rsidRDefault="0092491F" w:rsidP="00AC6E31">
            <w:pPr>
              <w:keepNext/>
              <w:keepLines/>
              <w:outlineLvl w:val="1"/>
              <w:rPr>
                <w:rFonts w:ascii="Calibri" w:eastAsia="Times New Roman" w:hAnsi="Calibri" w:cs="Calibri"/>
                <w:szCs w:val="24"/>
              </w:rPr>
            </w:pPr>
            <w:r w:rsidRPr="0073147A">
              <w:rPr>
                <w:rFonts w:ascii="Calibri" w:eastAsia="Times New Roman" w:hAnsi="Calibri" w:cs="Calibri"/>
                <w:szCs w:val="24"/>
              </w:rPr>
              <w:t>Development</w:t>
            </w:r>
          </w:p>
        </w:tc>
        <w:tc>
          <w:tcPr>
            <w:tcW w:w="1579" w:type="dxa"/>
            <w:shd w:val="clear" w:color="auto" w:fill="00B050"/>
          </w:tcPr>
          <w:p w14:paraId="00985B90"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p>
        </w:tc>
      </w:tr>
      <w:tr w:rsidR="0092491F" w:rsidRPr="0073147A" w14:paraId="4F29D596"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FFFFFF" w:themeFill="background1"/>
          </w:tcPr>
          <w:p w14:paraId="64593C2B" w14:textId="77777777" w:rsidR="0092491F" w:rsidRPr="001129E1" w:rsidRDefault="0092491F" w:rsidP="00AC6E31">
            <w:pPr>
              <w:keepNext/>
              <w:keepLines/>
              <w:outlineLvl w:val="1"/>
              <w:rPr>
                <w:rFonts w:ascii="Calibri" w:eastAsia="Times New Roman" w:hAnsi="Calibri" w:cs="Calibri"/>
                <w:b w:val="0"/>
                <w:szCs w:val="24"/>
              </w:rPr>
            </w:pPr>
            <w:r w:rsidRPr="001129E1">
              <w:rPr>
                <w:rFonts w:ascii="Calibri" w:eastAsia="Times New Roman" w:hAnsi="Calibri" w:cs="Calibri"/>
                <w:b w:val="0"/>
                <w:szCs w:val="24"/>
              </w:rPr>
              <w:t>Formal Casework - target &lt;=50% of informal casework</w:t>
            </w:r>
          </w:p>
          <w:p w14:paraId="3EC40E59" w14:textId="46BE0A6F" w:rsidR="0092491F" w:rsidRPr="00F86A9A" w:rsidRDefault="0092491F" w:rsidP="00AC6E31">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w:t>
            </w:r>
            <w:r>
              <w:rPr>
                <w:rFonts w:ascii="Calibri" w:eastAsia="Times New Roman" w:hAnsi="Calibri" w:cs="Calibri"/>
                <w:b w:val="0"/>
                <w:sz w:val="23"/>
                <w:szCs w:val="23"/>
              </w:rPr>
              <w:t>4</w:t>
            </w:r>
            <w:r w:rsidRPr="00F86A9A">
              <w:rPr>
                <w:rFonts w:ascii="Calibri" w:eastAsia="Times New Roman" w:hAnsi="Calibri" w:cs="Calibri"/>
                <w:b w:val="0"/>
                <w:sz w:val="23"/>
                <w:szCs w:val="23"/>
              </w:rPr>
              <w:t xml:space="preserve">: </w:t>
            </w:r>
            <w:r>
              <w:rPr>
                <w:rFonts w:ascii="Calibri" w:eastAsia="Times New Roman" w:hAnsi="Calibri" w:cs="Calibri"/>
                <w:b w:val="0"/>
                <w:sz w:val="23"/>
                <w:szCs w:val="23"/>
              </w:rPr>
              <w:t>16.7</w:t>
            </w:r>
            <w:r w:rsidRPr="00F86A9A">
              <w:rPr>
                <w:rFonts w:ascii="Calibri" w:eastAsia="Times New Roman" w:hAnsi="Calibri" w:cs="Calibri"/>
                <w:b w:val="0"/>
                <w:sz w:val="23"/>
                <w:szCs w:val="23"/>
              </w:rPr>
              <w:t>% (</w:t>
            </w:r>
            <w:r>
              <w:rPr>
                <w:rFonts w:ascii="Calibri" w:eastAsia="Times New Roman" w:hAnsi="Calibri" w:cs="Calibri"/>
                <w:b w:val="0"/>
                <w:sz w:val="23"/>
                <w:szCs w:val="23"/>
              </w:rPr>
              <w:t>6</w:t>
            </w:r>
            <w:r w:rsidRPr="00F86A9A">
              <w:rPr>
                <w:rFonts w:ascii="Calibri" w:eastAsia="Times New Roman" w:hAnsi="Calibri" w:cs="Calibri"/>
                <w:b w:val="0"/>
                <w:sz w:val="23"/>
                <w:szCs w:val="23"/>
              </w:rPr>
              <w:t xml:space="preserve"> cases)</w:t>
            </w:r>
            <w:r>
              <w:rPr>
                <w:rFonts w:ascii="Calibri" w:eastAsia="Times New Roman" w:hAnsi="Calibri" w:cs="Calibri"/>
                <w:b w:val="0"/>
                <w:sz w:val="23"/>
                <w:szCs w:val="23"/>
              </w:rPr>
              <w:t xml:space="preserve"> with an annual average of 27.85%</w:t>
            </w:r>
            <w:r w:rsidRPr="00F86A9A">
              <w:rPr>
                <w:rFonts w:ascii="Calibri" w:eastAsia="Times New Roman" w:hAnsi="Calibri" w:cs="Calibri"/>
                <w:b w:val="0"/>
                <w:sz w:val="23"/>
                <w:szCs w:val="23"/>
              </w:rPr>
              <w:t>, well within normal</w:t>
            </w:r>
            <w:r>
              <w:rPr>
                <w:rFonts w:ascii="Calibri" w:eastAsia="Times New Roman" w:hAnsi="Calibri" w:cs="Calibri"/>
                <w:b w:val="0"/>
                <w:sz w:val="23"/>
                <w:szCs w:val="23"/>
              </w:rPr>
              <w:t xml:space="preserve"> range for this type of casework.</w:t>
            </w:r>
          </w:p>
        </w:tc>
        <w:tc>
          <w:tcPr>
            <w:tcW w:w="1579" w:type="dxa"/>
            <w:shd w:val="clear" w:color="auto" w:fill="FFFFFF" w:themeFill="background1"/>
          </w:tcPr>
          <w:p w14:paraId="02674760"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92491F" w:rsidRPr="0073147A" w14:paraId="113D66AE" w14:textId="77777777" w:rsidTr="007420D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92" w:type="dxa"/>
            <w:shd w:val="clear" w:color="auto" w:fill="FFFFFF" w:themeFill="background1"/>
          </w:tcPr>
          <w:p w14:paraId="12F3BFAD" w14:textId="77777777" w:rsidR="0092491F" w:rsidRPr="0073147A" w:rsidRDefault="0092491F" w:rsidP="00AC6E31">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 xml:space="preserve">Informal Casework </w:t>
            </w:r>
          </w:p>
          <w:p w14:paraId="2C0D14B5" w14:textId="77777777" w:rsidR="0092491F" w:rsidRPr="00F86A9A" w:rsidRDefault="0092491F" w:rsidP="00AC6E31">
            <w:pPr>
              <w:keepNext/>
              <w:keepLines/>
              <w:outlineLvl w:val="1"/>
              <w:rPr>
                <w:rFonts w:ascii="Calibri" w:eastAsia="Times New Roman" w:hAnsi="Calibri" w:cs="Calibri"/>
                <w:b w:val="0"/>
                <w:sz w:val="23"/>
                <w:szCs w:val="23"/>
              </w:rPr>
            </w:pPr>
            <w:r w:rsidRPr="00F86A9A">
              <w:rPr>
                <w:rFonts w:ascii="Calibri" w:eastAsia="Times New Roman" w:hAnsi="Calibri" w:cs="Calibri"/>
                <w:b w:val="0"/>
                <w:sz w:val="23"/>
                <w:szCs w:val="23"/>
              </w:rPr>
              <w:t>Q</w:t>
            </w:r>
            <w:r>
              <w:rPr>
                <w:rFonts w:ascii="Calibri" w:eastAsia="Times New Roman" w:hAnsi="Calibri" w:cs="Calibri"/>
                <w:b w:val="0"/>
                <w:sz w:val="23"/>
                <w:szCs w:val="23"/>
              </w:rPr>
              <w:t>4</w:t>
            </w:r>
            <w:r w:rsidRPr="00F86A9A">
              <w:rPr>
                <w:rFonts w:ascii="Calibri" w:eastAsia="Times New Roman" w:hAnsi="Calibri" w:cs="Calibri"/>
                <w:b w:val="0"/>
                <w:sz w:val="23"/>
                <w:szCs w:val="23"/>
              </w:rPr>
              <w:t xml:space="preserve">: </w:t>
            </w:r>
            <w:r>
              <w:rPr>
                <w:rFonts w:ascii="Calibri" w:eastAsia="Times New Roman" w:hAnsi="Calibri" w:cs="Calibri"/>
                <w:b w:val="0"/>
                <w:sz w:val="23"/>
                <w:szCs w:val="23"/>
              </w:rPr>
              <w:t>27</w:t>
            </w:r>
            <w:r w:rsidRPr="00F86A9A">
              <w:rPr>
                <w:rFonts w:ascii="Calibri" w:eastAsia="Times New Roman" w:hAnsi="Calibri" w:cs="Calibri"/>
                <w:b w:val="0"/>
                <w:sz w:val="23"/>
                <w:szCs w:val="23"/>
              </w:rPr>
              <w:t xml:space="preserve"> cases</w:t>
            </w:r>
            <w:r>
              <w:rPr>
                <w:rFonts w:ascii="Calibri" w:eastAsia="Times New Roman" w:hAnsi="Calibri" w:cs="Calibri"/>
                <w:b w:val="0"/>
                <w:sz w:val="23"/>
                <w:szCs w:val="23"/>
              </w:rPr>
              <w:t>.</w:t>
            </w:r>
            <w:r w:rsidRPr="00F86A9A">
              <w:rPr>
                <w:rFonts w:ascii="Calibri" w:eastAsia="Times New Roman" w:hAnsi="Calibri" w:cs="Calibri"/>
                <w:b w:val="0"/>
                <w:sz w:val="23"/>
                <w:szCs w:val="23"/>
              </w:rPr>
              <w:t xml:space="preserve"> </w:t>
            </w:r>
            <w:r>
              <w:rPr>
                <w:rFonts w:ascii="Calibri" w:eastAsia="Times New Roman" w:hAnsi="Calibri" w:cs="Calibri"/>
                <w:b w:val="0"/>
                <w:sz w:val="23"/>
                <w:szCs w:val="23"/>
              </w:rPr>
              <w:t>W</w:t>
            </w:r>
            <w:r w:rsidRPr="00F86A9A">
              <w:rPr>
                <w:rFonts w:ascii="Calibri" w:eastAsia="Times New Roman" w:hAnsi="Calibri" w:cs="Calibri"/>
                <w:b w:val="0"/>
                <w:sz w:val="23"/>
                <w:szCs w:val="23"/>
              </w:rPr>
              <w:t>ell with</w:t>
            </w:r>
            <w:r>
              <w:rPr>
                <w:rFonts w:ascii="Calibri" w:eastAsia="Times New Roman" w:hAnsi="Calibri" w:cs="Calibri"/>
                <w:b w:val="0"/>
                <w:sz w:val="23"/>
                <w:szCs w:val="23"/>
              </w:rPr>
              <w:t>in the</w:t>
            </w:r>
            <w:r w:rsidRPr="00F86A9A">
              <w:rPr>
                <w:rFonts w:ascii="Calibri" w:eastAsia="Times New Roman" w:hAnsi="Calibri" w:cs="Calibri"/>
                <w:b w:val="0"/>
                <w:sz w:val="23"/>
                <w:szCs w:val="23"/>
              </w:rPr>
              <w:t xml:space="preserve"> normal range for this type of casework</w:t>
            </w:r>
            <w:r>
              <w:rPr>
                <w:rFonts w:ascii="Calibri" w:eastAsia="Times New Roman" w:hAnsi="Calibri" w:cs="Calibri"/>
                <w:b w:val="0"/>
                <w:sz w:val="23"/>
                <w:szCs w:val="23"/>
              </w:rPr>
              <w:t>, however Q4 has seen an increase of 9 cases. This is in line with the trend for Q4 since 2019/20. The increase in Q4 is in relation to health and wellbeing casework.</w:t>
            </w:r>
          </w:p>
        </w:tc>
        <w:tc>
          <w:tcPr>
            <w:tcW w:w="1579" w:type="dxa"/>
            <w:shd w:val="clear" w:color="auto" w:fill="FFFFFF" w:themeFill="background1"/>
          </w:tcPr>
          <w:p w14:paraId="0CE03AD3" w14:textId="77777777" w:rsidR="0092491F" w:rsidRPr="0073147A" w:rsidRDefault="0092491F"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bl>
    <w:p w14:paraId="00CEC466" w14:textId="77777777" w:rsidR="0092491F" w:rsidRDefault="0092491F" w:rsidP="0092491F">
      <w:pPr>
        <w:rPr>
          <w:rFonts w:ascii="Calibri" w:hAnsi="Calibri" w:cs="Calibri"/>
          <w:b/>
        </w:rPr>
      </w:pPr>
    </w:p>
    <w:p w14:paraId="4DCDE6CD" w14:textId="77777777" w:rsidR="00AC6E31" w:rsidRDefault="00AC6E31" w:rsidP="0092491F">
      <w:pPr>
        <w:rPr>
          <w:rFonts w:ascii="Calibri" w:hAnsi="Calibri" w:cs="Calibri"/>
          <w:b/>
        </w:rPr>
      </w:pPr>
    </w:p>
    <w:p w14:paraId="26F07924" w14:textId="77777777" w:rsidR="00AC6E31" w:rsidRDefault="00AC6E31" w:rsidP="0092491F">
      <w:pPr>
        <w:rPr>
          <w:rFonts w:ascii="Calibri" w:hAnsi="Calibri" w:cs="Calibri"/>
          <w:b/>
        </w:rPr>
      </w:pPr>
    </w:p>
    <w:tbl>
      <w:tblPr>
        <w:tblStyle w:val="PlainTable1"/>
        <w:tblpPr w:leftFromText="180" w:rightFromText="180" w:vertAnchor="text" w:horzAnchor="margin" w:tblpX="-20" w:tblpY="456"/>
        <w:tblW w:w="9371" w:type="dxa"/>
        <w:tblLook w:val="04A0" w:firstRow="1" w:lastRow="0" w:firstColumn="1" w:lastColumn="0" w:noHBand="0" w:noVBand="1"/>
        <w:tblCaption w:val="POD Table of metrics"/>
      </w:tblPr>
      <w:tblGrid>
        <w:gridCol w:w="7518"/>
        <w:gridCol w:w="1853"/>
      </w:tblGrid>
      <w:tr w:rsidR="00AC6E31" w:rsidRPr="0073147A" w14:paraId="557D3F21" w14:textId="77777777" w:rsidTr="00AC6E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18" w:type="dxa"/>
            <w:shd w:val="clear" w:color="auto" w:fill="00B050"/>
          </w:tcPr>
          <w:p w14:paraId="3A8D6139" w14:textId="77777777" w:rsidR="00AC6E31" w:rsidRPr="0073147A" w:rsidRDefault="00AC6E31" w:rsidP="00AC6E31">
            <w:pPr>
              <w:keepNext/>
              <w:keepLines/>
              <w:outlineLvl w:val="1"/>
              <w:rPr>
                <w:rFonts w:ascii="Calibri" w:eastAsia="Times New Roman" w:hAnsi="Calibri" w:cs="Calibri"/>
                <w:szCs w:val="24"/>
              </w:rPr>
            </w:pPr>
            <w:r w:rsidRPr="0073147A">
              <w:rPr>
                <w:rFonts w:ascii="Calibri" w:eastAsia="Times New Roman" w:hAnsi="Calibri" w:cs="Calibri"/>
                <w:szCs w:val="24"/>
              </w:rPr>
              <w:t>Workforce Profile</w:t>
            </w:r>
          </w:p>
        </w:tc>
        <w:tc>
          <w:tcPr>
            <w:tcW w:w="1853" w:type="dxa"/>
            <w:shd w:val="clear" w:color="auto" w:fill="00B050"/>
          </w:tcPr>
          <w:p w14:paraId="5CD79508" w14:textId="77777777" w:rsidR="00AC6E31" w:rsidRPr="0073147A" w:rsidRDefault="00AC6E31"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p>
        </w:tc>
      </w:tr>
      <w:tr w:rsidR="00AC6E31" w:rsidRPr="0073147A" w14:paraId="4A11AE3D" w14:textId="77777777" w:rsidTr="00AC6E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18" w:type="dxa"/>
            <w:shd w:val="clear" w:color="auto" w:fill="FFFFFF" w:themeFill="background1"/>
          </w:tcPr>
          <w:p w14:paraId="40EBAC0E" w14:textId="405B54E7" w:rsidR="00AC6E31" w:rsidRPr="0073147A" w:rsidRDefault="00AC6E31" w:rsidP="00AC6E31">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 xml:space="preserve">Turnover – </w:t>
            </w:r>
            <w:r w:rsidR="007420DE">
              <w:t xml:space="preserve"> </w:t>
            </w:r>
            <w:r w:rsidR="007420DE" w:rsidRPr="007420DE">
              <w:rPr>
                <w:rFonts w:ascii="Calibri" w:eastAsia="Times New Roman" w:hAnsi="Calibri" w:cs="Calibri"/>
                <w:b w:val="0"/>
                <w:szCs w:val="24"/>
              </w:rPr>
              <w:t>target: maintain in the range of 8-10%</w:t>
            </w:r>
          </w:p>
          <w:p w14:paraId="2C347179" w14:textId="77777777" w:rsidR="00AC6E31" w:rsidRPr="0073147A" w:rsidRDefault="00AC6E31" w:rsidP="00AC6E31">
            <w:pPr>
              <w:keepNext/>
              <w:keepLines/>
              <w:outlineLvl w:val="1"/>
              <w:rPr>
                <w:rFonts w:ascii="Calibri" w:eastAsia="Times New Roman" w:hAnsi="Calibri" w:cs="Calibri"/>
                <w:b w:val="0"/>
                <w:szCs w:val="24"/>
              </w:rPr>
            </w:pPr>
            <w:r w:rsidRPr="00F86A9A">
              <w:rPr>
                <w:rFonts w:ascii="Calibri" w:eastAsia="Times New Roman" w:hAnsi="Calibri" w:cs="Calibri"/>
                <w:b w:val="0"/>
                <w:sz w:val="23"/>
                <w:szCs w:val="23"/>
              </w:rPr>
              <w:t>Q</w:t>
            </w:r>
            <w:r>
              <w:rPr>
                <w:rFonts w:ascii="Calibri" w:eastAsia="Times New Roman" w:hAnsi="Calibri" w:cs="Calibri"/>
                <w:b w:val="0"/>
                <w:sz w:val="23"/>
                <w:szCs w:val="23"/>
              </w:rPr>
              <w:t>4</w:t>
            </w:r>
            <w:r w:rsidRPr="00F86A9A">
              <w:rPr>
                <w:rFonts w:ascii="Calibri" w:eastAsia="Times New Roman" w:hAnsi="Calibri" w:cs="Calibri"/>
                <w:b w:val="0"/>
                <w:sz w:val="23"/>
                <w:szCs w:val="23"/>
              </w:rPr>
              <w:t>: average turnover is 10.</w:t>
            </w:r>
            <w:r>
              <w:rPr>
                <w:rFonts w:ascii="Calibri" w:eastAsia="Times New Roman" w:hAnsi="Calibri" w:cs="Calibri"/>
                <w:b w:val="0"/>
                <w:sz w:val="23"/>
                <w:szCs w:val="23"/>
              </w:rPr>
              <w:t>52</w:t>
            </w:r>
            <w:r w:rsidRPr="00F86A9A">
              <w:rPr>
                <w:rFonts w:ascii="Calibri" w:eastAsia="Times New Roman" w:hAnsi="Calibri" w:cs="Calibri"/>
                <w:b w:val="0"/>
                <w:sz w:val="23"/>
                <w:szCs w:val="23"/>
              </w:rPr>
              <w:t>% (over last 12 months)</w:t>
            </w:r>
            <w:r>
              <w:rPr>
                <w:rFonts w:ascii="Calibri" w:eastAsia="Times New Roman" w:hAnsi="Calibri" w:cs="Calibri"/>
                <w:b w:val="0"/>
                <w:sz w:val="23"/>
                <w:szCs w:val="23"/>
              </w:rPr>
              <w:t>.The leavers in total are 28 in Q4, with 81 leavers to date. Of the leavers in Q4, 21.43% were retirements and 37.71% were employees going to alternative employment. In 2022/23 24.69% of leavers were retirements and 30.86% were employees leaving for alternative employment.  For our exit questionnaire, in 2022/23</w:t>
            </w:r>
            <w:r w:rsidRPr="003C656F">
              <w:rPr>
                <w:rFonts w:ascii="Calibri" w:eastAsia="Times New Roman" w:hAnsi="Calibri" w:cs="Calibri"/>
                <w:b w:val="0"/>
                <w:sz w:val="23"/>
                <w:szCs w:val="23"/>
              </w:rPr>
              <w:t xml:space="preserve"> </w:t>
            </w:r>
            <w:r>
              <w:rPr>
                <w:rFonts w:ascii="Calibri" w:eastAsia="Times New Roman" w:hAnsi="Calibri" w:cs="Calibri"/>
                <w:b w:val="0"/>
                <w:sz w:val="23"/>
                <w:szCs w:val="23"/>
              </w:rPr>
              <w:t>we have had a 43% response rate (35 responses from 81 leavers). This shows further promotion of the exit questionnaire is required for 2023/24. There are no broader corporate issues emerging from the feedback so far.</w:t>
            </w:r>
          </w:p>
        </w:tc>
        <w:tc>
          <w:tcPr>
            <w:tcW w:w="1853" w:type="dxa"/>
            <w:shd w:val="clear" w:color="auto" w:fill="FFFFFF" w:themeFill="background1"/>
          </w:tcPr>
          <w:p w14:paraId="72F2075F" w14:textId="77777777" w:rsidR="00AC6E31" w:rsidRPr="0073147A" w:rsidRDefault="00AC6E31"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AC6E31" w:rsidRPr="0073147A" w14:paraId="704142D7" w14:textId="77777777" w:rsidTr="00AC6E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18" w:type="dxa"/>
            <w:shd w:val="clear" w:color="auto" w:fill="FFFFFF" w:themeFill="background1"/>
          </w:tcPr>
          <w:p w14:paraId="23563533" w14:textId="77777777" w:rsidR="00AC6E31" w:rsidRPr="0073147A" w:rsidRDefault="00AC6E31" w:rsidP="00AC6E31">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 xml:space="preserve">Internal Movement – target: increase </w:t>
            </w:r>
          </w:p>
          <w:p w14:paraId="3D43B39A" w14:textId="7F2CC20E" w:rsidR="00AC6E31" w:rsidRPr="00F86A9A" w:rsidRDefault="00AC6E31" w:rsidP="00AC6E31">
            <w:pPr>
              <w:keepNext/>
              <w:keepLines/>
              <w:outlineLvl w:val="1"/>
              <w:rPr>
                <w:rFonts w:ascii="Calibri" w:eastAsia="Times New Roman" w:hAnsi="Calibri" w:cs="Calibri"/>
              </w:rPr>
            </w:pPr>
            <w:r w:rsidRPr="00F86A9A">
              <w:rPr>
                <w:rFonts w:ascii="Calibri" w:eastAsia="Times New Roman" w:hAnsi="Calibri" w:cs="Calibri"/>
                <w:b w:val="0"/>
              </w:rPr>
              <w:t>Q</w:t>
            </w:r>
            <w:r>
              <w:rPr>
                <w:rFonts w:ascii="Calibri" w:eastAsia="Times New Roman" w:hAnsi="Calibri" w:cs="Calibri"/>
                <w:b w:val="0"/>
              </w:rPr>
              <w:t>4</w:t>
            </w:r>
            <w:r w:rsidRPr="00F86A9A">
              <w:rPr>
                <w:rFonts w:ascii="Calibri" w:eastAsia="Times New Roman" w:hAnsi="Calibri" w:cs="Calibri"/>
                <w:b w:val="0"/>
              </w:rPr>
              <w:t xml:space="preserve">: </w:t>
            </w:r>
            <w:r w:rsidRPr="00F86A9A">
              <w:rPr>
                <w:rFonts w:ascii="Calibri" w:hAnsi="Calibri" w:cs="Calibri"/>
              </w:rPr>
              <w:t xml:space="preserve"> </w:t>
            </w:r>
            <w:r w:rsidR="007420DE">
              <w:t xml:space="preserve"> </w:t>
            </w:r>
            <w:r w:rsidR="007420DE" w:rsidRPr="007420DE">
              <w:rPr>
                <w:rFonts w:ascii="Calibri" w:hAnsi="Calibri" w:cs="Calibri"/>
                <w:b w:val="0"/>
              </w:rPr>
              <w:t>Internal moves have reduced in this quarter, with 41 internal moves compared to 50 in the previous quarter. In 2022/23 there have been 145 internal moves, (an average of 4.7% of the headcount), into alternative roles through promotion or level transfers. There were a number of failed internal recruitments, which meant posts moving to external recruitment. To date in 2022/23 there have been 231 recruitment exercises. This is comparable to 2021/22 (229 recruitment exercises). Of the 231 exercises, there have been 34 failed recruitments; 17 of those were successful when re-advertised. The failed recruitment rate has increased from 8.7% in 2021/22 to 14.7% in 2022/23.  2022/23 has seen the highest number of new starts in the last 4 years, with a total of 114 new employees. The majority of these were in full-time, fixed term posts which is similar to previous years. The greatest proportion of new starts was in the 25-34 age range.</w:t>
            </w:r>
          </w:p>
        </w:tc>
        <w:tc>
          <w:tcPr>
            <w:tcW w:w="1853" w:type="dxa"/>
            <w:shd w:val="clear" w:color="auto" w:fill="FFFFFF" w:themeFill="background1"/>
          </w:tcPr>
          <w:p w14:paraId="694DFF1F" w14:textId="77777777" w:rsidR="00AC6E31" w:rsidRPr="0073147A" w:rsidRDefault="00AC6E31"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Green</w:t>
            </w:r>
          </w:p>
        </w:tc>
      </w:tr>
      <w:tr w:rsidR="00AC6E31" w:rsidRPr="0073147A" w14:paraId="794FAA10" w14:textId="77777777" w:rsidTr="00AC6E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18" w:type="dxa"/>
            <w:shd w:val="clear" w:color="auto" w:fill="FFFFFF" w:themeFill="background1"/>
          </w:tcPr>
          <w:p w14:paraId="12AE389B" w14:textId="77777777" w:rsidR="00AC6E31" w:rsidRPr="0073147A" w:rsidRDefault="00AC6E31" w:rsidP="00AC6E31">
            <w:pPr>
              <w:keepNext/>
              <w:keepLines/>
              <w:outlineLvl w:val="1"/>
              <w:rPr>
                <w:rFonts w:ascii="Calibri" w:eastAsia="Times New Roman" w:hAnsi="Calibri" w:cs="Calibri"/>
                <w:b w:val="0"/>
                <w:szCs w:val="24"/>
              </w:rPr>
            </w:pPr>
            <w:r w:rsidRPr="0073147A">
              <w:rPr>
                <w:rFonts w:ascii="Calibri" w:eastAsia="Times New Roman" w:hAnsi="Calibri" w:cs="Calibri"/>
                <w:b w:val="0"/>
                <w:szCs w:val="24"/>
              </w:rPr>
              <w:t xml:space="preserve">Retirement Profile </w:t>
            </w:r>
          </w:p>
          <w:p w14:paraId="40BE4795" w14:textId="220B732F" w:rsidR="00AC6E31" w:rsidRPr="00F86A9A" w:rsidRDefault="00AC6E31" w:rsidP="00AC6E31">
            <w:pPr>
              <w:keepNext/>
              <w:keepLines/>
              <w:outlineLvl w:val="1"/>
              <w:rPr>
                <w:rFonts w:ascii="Calibri" w:eastAsia="Times New Roman" w:hAnsi="Calibri" w:cs="Calibri"/>
                <w:b w:val="0"/>
                <w:sz w:val="23"/>
                <w:szCs w:val="23"/>
              </w:rPr>
            </w:pPr>
            <w:r>
              <w:rPr>
                <w:rFonts w:ascii="Calibri" w:eastAsia="Times New Roman" w:hAnsi="Calibri" w:cs="Calibri"/>
                <w:b w:val="0"/>
                <w:sz w:val="23"/>
                <w:szCs w:val="23"/>
              </w:rPr>
              <w:t>Q4</w:t>
            </w:r>
            <w:r w:rsidRPr="00F86A9A">
              <w:rPr>
                <w:rFonts w:ascii="Calibri" w:eastAsia="Times New Roman" w:hAnsi="Calibri" w:cs="Calibri"/>
                <w:b w:val="0"/>
                <w:sz w:val="23"/>
                <w:szCs w:val="23"/>
              </w:rPr>
              <w:t xml:space="preserve">: </w:t>
            </w:r>
            <w:r w:rsidRPr="00CB3687">
              <w:rPr>
                <w:rFonts w:ascii="Calibri" w:eastAsia="Times New Roman" w:hAnsi="Calibri" w:cs="Calibri"/>
                <w:b w:val="0"/>
                <w:sz w:val="23"/>
                <w:szCs w:val="23"/>
              </w:rPr>
              <w:t>1</w:t>
            </w:r>
            <w:r>
              <w:rPr>
                <w:rFonts w:ascii="Calibri" w:eastAsia="Times New Roman" w:hAnsi="Calibri" w:cs="Calibri"/>
                <w:b w:val="0"/>
                <w:sz w:val="23"/>
                <w:szCs w:val="23"/>
              </w:rPr>
              <w:t>77</w:t>
            </w:r>
            <w:r w:rsidRPr="00CB3687">
              <w:rPr>
                <w:rFonts w:ascii="Calibri" w:eastAsia="Times New Roman" w:hAnsi="Calibri" w:cs="Calibri"/>
                <w:b w:val="0"/>
                <w:sz w:val="23"/>
                <w:szCs w:val="23"/>
              </w:rPr>
              <w:t xml:space="preserve"> employees are aged 57+ currently, predicted to rise to </w:t>
            </w:r>
            <w:r>
              <w:rPr>
                <w:rFonts w:ascii="Calibri" w:eastAsia="Times New Roman" w:hAnsi="Calibri" w:cs="Calibri"/>
                <w:b w:val="0"/>
                <w:sz w:val="23"/>
                <w:szCs w:val="23"/>
              </w:rPr>
              <w:t>227</w:t>
            </w:r>
            <w:r w:rsidRPr="00CB3687">
              <w:rPr>
                <w:rFonts w:ascii="Calibri" w:eastAsia="Times New Roman" w:hAnsi="Calibri" w:cs="Calibri"/>
                <w:b w:val="0"/>
                <w:sz w:val="23"/>
                <w:szCs w:val="23"/>
              </w:rPr>
              <w:t xml:space="preserve"> in 2024/25 (</w:t>
            </w:r>
            <w:r w:rsidR="007420DE">
              <w:rPr>
                <w:rFonts w:ascii="Calibri" w:eastAsia="Times New Roman" w:hAnsi="Calibri" w:cs="Calibri"/>
                <w:b w:val="0"/>
                <w:sz w:val="23"/>
                <w:szCs w:val="23"/>
              </w:rPr>
              <w:t>21</w:t>
            </w:r>
            <w:r w:rsidRPr="00CB3687">
              <w:rPr>
                <w:rFonts w:ascii="Calibri" w:eastAsia="Times New Roman" w:hAnsi="Calibri" w:cs="Calibri"/>
                <w:b w:val="0"/>
                <w:sz w:val="23"/>
                <w:szCs w:val="23"/>
              </w:rPr>
              <w:t xml:space="preserve">% of current headcount).  </w:t>
            </w:r>
            <w:r>
              <w:rPr>
                <w:rFonts w:ascii="Calibri" w:eastAsia="Times New Roman" w:hAnsi="Calibri" w:cs="Calibri"/>
                <w:b w:val="0"/>
                <w:sz w:val="23"/>
                <w:szCs w:val="23"/>
              </w:rPr>
              <w:t>A</w:t>
            </w:r>
            <w:r w:rsidRPr="00CB3687">
              <w:rPr>
                <w:rFonts w:ascii="Calibri" w:eastAsia="Times New Roman" w:hAnsi="Calibri" w:cs="Calibri"/>
                <w:b w:val="0"/>
                <w:sz w:val="23"/>
                <w:szCs w:val="23"/>
              </w:rPr>
              <w:t xml:space="preserve"> further </w:t>
            </w:r>
            <w:r>
              <w:rPr>
                <w:rFonts w:ascii="Calibri" w:eastAsia="Times New Roman" w:hAnsi="Calibri" w:cs="Calibri"/>
                <w:b w:val="0"/>
                <w:sz w:val="23"/>
                <w:szCs w:val="23"/>
              </w:rPr>
              <w:t xml:space="preserve">6 retirements were confirmed for the rest of the financial year, with a total of 19 retirements in 2022/23.This is lower than the predicted figure of 34. The average retirement age for Q4 is 59.5; however the year to date average retirement age is 63. </w:t>
            </w:r>
          </w:p>
        </w:tc>
        <w:tc>
          <w:tcPr>
            <w:tcW w:w="1853" w:type="dxa"/>
            <w:shd w:val="clear" w:color="auto" w:fill="FFFFFF" w:themeFill="background1"/>
          </w:tcPr>
          <w:p w14:paraId="5ECCFE96" w14:textId="77777777" w:rsidR="00AC6E31" w:rsidRPr="0073147A" w:rsidRDefault="00AC6E31" w:rsidP="00AC6E31">
            <w:pPr>
              <w:keepNext/>
              <w:keepLines/>
              <w:contextualSpacing/>
              <w:outlineLvl w:val="1"/>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Cs w:val="24"/>
              </w:rPr>
            </w:pPr>
            <w:r>
              <w:rPr>
                <w:rFonts w:ascii="Calibri" w:eastAsia="Times New Roman" w:hAnsi="Calibri" w:cs="Calibri"/>
                <w:b w:val="0"/>
                <w:szCs w:val="24"/>
              </w:rPr>
              <w:t>Amber</w:t>
            </w:r>
          </w:p>
        </w:tc>
      </w:tr>
    </w:tbl>
    <w:p w14:paraId="03B38EE6" w14:textId="77777777" w:rsidR="00AC6E31" w:rsidRDefault="00AC6E31" w:rsidP="0092491F">
      <w:pPr>
        <w:rPr>
          <w:rFonts w:ascii="Calibri" w:hAnsi="Calibri" w:cs="Calibri"/>
          <w:b/>
        </w:rPr>
      </w:pPr>
    </w:p>
    <w:p w14:paraId="1E7357A7" w14:textId="0442402D" w:rsidR="00EE60A2" w:rsidRDefault="00EE60A2">
      <w:pPr>
        <w:rPr>
          <w:rFonts w:ascii="Calibri" w:hAnsi="Calibri" w:cs="Calibri"/>
          <w:b/>
        </w:rPr>
      </w:pPr>
      <w:r>
        <w:rPr>
          <w:rFonts w:ascii="Calibri" w:hAnsi="Calibri" w:cs="Calibri"/>
          <w:b/>
        </w:rPr>
        <w:br w:type="page"/>
      </w:r>
    </w:p>
    <w:p w14:paraId="175128F7" w14:textId="41F5FCC5" w:rsidR="0092491F" w:rsidRPr="00022B65" w:rsidRDefault="0092491F" w:rsidP="0092491F">
      <w:pPr>
        <w:rPr>
          <w:rFonts w:ascii="Calibri" w:hAnsi="Calibri" w:cs="Calibri"/>
        </w:rPr>
      </w:pPr>
      <w:r w:rsidRPr="00022B65">
        <w:rPr>
          <w:rFonts w:ascii="Calibri" w:hAnsi="Calibri" w:cs="Calibri"/>
          <w:b/>
        </w:rPr>
        <w:lastRenderedPageBreak/>
        <w:t>Internal Movement</w:t>
      </w:r>
    </w:p>
    <w:p w14:paraId="4D6305ED" w14:textId="6EA5A992" w:rsidR="0092491F" w:rsidRDefault="0092491F" w:rsidP="0092491F">
      <w:pPr>
        <w:rPr>
          <w:rFonts w:ascii="Calibri" w:hAnsi="Calibri" w:cs="Calibri"/>
        </w:rPr>
      </w:pPr>
      <w:r w:rsidRPr="009226CE">
        <w:rPr>
          <w:rFonts w:ascii="Calibri" w:hAnsi="Calibri" w:cs="Calibri"/>
        </w:rPr>
        <w:t xml:space="preserve">Q4 </w:t>
      </w:r>
      <w:r>
        <w:rPr>
          <w:rFonts w:ascii="Calibri" w:hAnsi="Calibri" w:cs="Calibri"/>
        </w:rPr>
        <w:t>saw an increase in recruitment exercises and</w:t>
      </w:r>
      <w:r w:rsidR="007420DE">
        <w:rPr>
          <w:rFonts w:ascii="Calibri" w:hAnsi="Calibri" w:cs="Calibri"/>
        </w:rPr>
        <w:t>, positively,</w:t>
      </w:r>
      <w:r>
        <w:rPr>
          <w:rFonts w:ascii="Calibri" w:hAnsi="Calibri" w:cs="Calibri"/>
        </w:rPr>
        <w:t xml:space="preserve"> an increase in the number of applications for the vacancies being advertised. The number o</w:t>
      </w:r>
      <w:r w:rsidR="007420DE">
        <w:rPr>
          <w:rFonts w:ascii="Calibri" w:hAnsi="Calibri" w:cs="Calibri"/>
        </w:rPr>
        <w:t>f applications went up by 124</w:t>
      </w:r>
      <w:r>
        <w:rPr>
          <w:rFonts w:ascii="Calibri" w:hAnsi="Calibri" w:cs="Calibri"/>
        </w:rPr>
        <w:t xml:space="preserve">% from 329 in Q3 to 807 in Q4.  This may be due to the increase in people </w:t>
      </w:r>
      <w:r w:rsidR="00734E52">
        <w:rPr>
          <w:rFonts w:ascii="Calibri" w:hAnsi="Calibri" w:cs="Calibri"/>
        </w:rPr>
        <w:t>looking for alternative employment</w:t>
      </w:r>
      <w:r>
        <w:rPr>
          <w:rFonts w:ascii="Calibri" w:hAnsi="Calibri" w:cs="Calibri"/>
        </w:rPr>
        <w:t xml:space="preserve"> after the New Year and the decrease in the number of vacancies nationwide for applicants to apply for, as reported by ONS in December 2022. </w:t>
      </w:r>
    </w:p>
    <w:p w14:paraId="64672B6A" w14:textId="48780994" w:rsidR="008A0E44" w:rsidRDefault="001B67AC" w:rsidP="0092491F">
      <w:pPr>
        <w:rPr>
          <w:rFonts w:ascii="Calibri" w:hAnsi="Calibri" w:cs="Calibri"/>
        </w:rPr>
      </w:pPr>
      <w:r>
        <w:rPr>
          <w:rFonts w:ascii="Calibri" w:hAnsi="Calibri" w:cs="Calibri"/>
          <w:noProof/>
          <w:lang w:eastAsia="en-GB"/>
        </w:rPr>
        <w:drawing>
          <wp:inline distT="0" distB="0" distL="0" distR="0" wp14:anchorId="66766527" wp14:editId="64041101">
            <wp:extent cx="4933950" cy="2476500"/>
            <wp:effectExtent l="0" t="0" r="0" b="0"/>
            <wp:docPr id="7" name="Picture 7" title="F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33950" cy="2476500"/>
                    </a:xfrm>
                    <a:prstGeom prst="rect">
                      <a:avLst/>
                    </a:prstGeom>
                    <a:noFill/>
                  </pic:spPr>
                </pic:pic>
              </a:graphicData>
            </a:graphic>
          </wp:inline>
        </w:drawing>
      </w:r>
    </w:p>
    <w:p w14:paraId="51934491" w14:textId="163EF3F6" w:rsidR="008A0E44" w:rsidRDefault="00EC788F" w:rsidP="0092491F">
      <w:pPr>
        <w:rPr>
          <w:rFonts w:ascii="Calibri" w:hAnsi="Calibri" w:cs="Calibri"/>
        </w:rPr>
      </w:pPr>
      <w:r>
        <w:rPr>
          <w:rFonts w:ascii="Calibri" w:hAnsi="Calibri" w:cs="Calibri"/>
        </w:rPr>
        <w:t>The head count and FTE has been steadily increasing since</w:t>
      </w:r>
      <w:r w:rsidR="000E7A54">
        <w:rPr>
          <w:rFonts w:ascii="Calibri" w:hAnsi="Calibri" w:cs="Calibri"/>
        </w:rPr>
        <w:t xml:space="preserve"> 31</w:t>
      </w:r>
      <w:r>
        <w:rPr>
          <w:rFonts w:ascii="Calibri" w:hAnsi="Calibri" w:cs="Calibri"/>
        </w:rPr>
        <w:t xml:space="preserve"> March 22, by 31 March 23 the headcount had increased by 42, and an increase of 52 in FTE</w:t>
      </w:r>
      <w:r w:rsidR="000E7A54">
        <w:rPr>
          <w:rFonts w:ascii="Calibri" w:hAnsi="Calibri" w:cs="Calibri"/>
        </w:rPr>
        <w:t>. The increase in FTE indicates that in 22/23 there has been an increase in full-time employees compared to March 2022.</w:t>
      </w:r>
    </w:p>
    <w:p w14:paraId="0821E0D7" w14:textId="493BB18C" w:rsidR="001E181A" w:rsidRDefault="001E181A" w:rsidP="0092491F">
      <w:pPr>
        <w:rPr>
          <w:rFonts w:ascii="Calibri" w:hAnsi="Calibri" w:cs="Calibri"/>
        </w:rPr>
      </w:pPr>
      <w:r>
        <w:rPr>
          <w:rFonts w:ascii="Calibri" w:hAnsi="Calibri" w:cs="Calibri"/>
          <w:noProof/>
          <w:lang w:eastAsia="en-GB"/>
        </w:rPr>
        <w:drawing>
          <wp:inline distT="0" distB="0" distL="0" distR="0" wp14:anchorId="75867783" wp14:editId="172F7709">
            <wp:extent cx="4584700" cy="2749550"/>
            <wp:effectExtent l="0" t="0" r="6350" b="0"/>
            <wp:docPr id="17" name="Picture 17" title="Paybill fund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14:paraId="2FA0F645" w14:textId="7B3C60C1" w:rsidR="00AC6E31" w:rsidRDefault="001E181A" w:rsidP="00AC6E31">
      <w:pPr>
        <w:spacing w:after="0"/>
        <w:rPr>
          <w:rFonts w:ascii="Calibri" w:hAnsi="Calibri" w:cs="Calibri"/>
        </w:rPr>
      </w:pPr>
      <w:r>
        <w:rPr>
          <w:rFonts w:ascii="Calibri" w:hAnsi="Calibri" w:cs="Calibri"/>
        </w:rPr>
        <w:t>2022/23 saw an increase in project funded posts</w:t>
      </w:r>
      <w:r w:rsidR="006F55CD">
        <w:rPr>
          <w:rFonts w:ascii="Calibri" w:hAnsi="Calibri" w:cs="Calibri"/>
        </w:rPr>
        <w:t>,</w:t>
      </w:r>
      <w:r>
        <w:rPr>
          <w:rFonts w:ascii="Calibri" w:hAnsi="Calibri" w:cs="Calibri"/>
        </w:rPr>
        <w:t xml:space="preserve"> which will have contributed to the increase in </w:t>
      </w:r>
      <w:r w:rsidR="006F55CD">
        <w:rPr>
          <w:rFonts w:ascii="Calibri" w:hAnsi="Calibri" w:cs="Calibri"/>
        </w:rPr>
        <w:t>the headcount during this financial year.</w:t>
      </w:r>
    </w:p>
    <w:p w14:paraId="5658C040" w14:textId="77777777" w:rsidR="006F55CD" w:rsidRPr="001E181A" w:rsidRDefault="006F55CD" w:rsidP="00AC6E31">
      <w:pPr>
        <w:spacing w:after="0"/>
        <w:rPr>
          <w:rFonts w:ascii="Calibri" w:hAnsi="Calibri" w:cs="Calibri"/>
        </w:rPr>
      </w:pPr>
    </w:p>
    <w:p w14:paraId="6AE72BCA" w14:textId="26DE0CE2" w:rsidR="0092491F" w:rsidRPr="009226CE" w:rsidRDefault="0092491F" w:rsidP="0092491F">
      <w:pPr>
        <w:rPr>
          <w:rFonts w:ascii="Calibri" w:hAnsi="Calibri" w:cs="Calibri"/>
          <w:b/>
        </w:rPr>
      </w:pPr>
      <w:r w:rsidRPr="009226CE">
        <w:rPr>
          <w:rFonts w:ascii="Calibri" w:hAnsi="Calibri" w:cs="Calibri"/>
          <w:b/>
        </w:rPr>
        <w:t>Equality Report</w:t>
      </w:r>
      <w:r>
        <w:rPr>
          <w:rFonts w:ascii="Calibri" w:hAnsi="Calibri" w:cs="Calibri"/>
          <w:b/>
        </w:rPr>
        <w:t xml:space="preserve"> Highlights</w:t>
      </w:r>
      <w:r w:rsidRPr="009226CE">
        <w:rPr>
          <w:rFonts w:ascii="Calibri" w:hAnsi="Calibri" w:cs="Calibri"/>
          <w:b/>
        </w:rPr>
        <w:t xml:space="preserve"> - </w:t>
      </w:r>
    </w:p>
    <w:p w14:paraId="4187C44B" w14:textId="77777777" w:rsidR="0092491F" w:rsidRDefault="0092491F" w:rsidP="003E7B62">
      <w:pPr>
        <w:pStyle w:val="ListParagraph"/>
        <w:numPr>
          <w:ilvl w:val="0"/>
          <w:numId w:val="17"/>
        </w:numPr>
        <w:rPr>
          <w:rFonts w:ascii="Calibri" w:eastAsiaTheme="majorEastAsia" w:hAnsi="Calibri" w:cs="Calibri"/>
          <w:szCs w:val="26"/>
        </w:rPr>
      </w:pPr>
      <w:r>
        <w:rPr>
          <w:rFonts w:ascii="Calibri" w:eastAsiaTheme="majorEastAsia" w:hAnsi="Calibri" w:cs="Calibri"/>
          <w:szCs w:val="26"/>
        </w:rPr>
        <w:lastRenderedPageBreak/>
        <w:t>Gender Pay gap ha</w:t>
      </w:r>
      <w:r w:rsidRPr="009A2C23">
        <w:rPr>
          <w:rFonts w:ascii="Calibri" w:eastAsiaTheme="majorEastAsia" w:hAnsi="Calibri" w:cs="Calibri"/>
          <w:szCs w:val="26"/>
        </w:rPr>
        <w:t>s reduced to 7.5%</w:t>
      </w:r>
      <w:r>
        <w:rPr>
          <w:rFonts w:ascii="Calibri" w:eastAsiaTheme="majorEastAsia" w:hAnsi="Calibri" w:cs="Calibri"/>
          <w:szCs w:val="26"/>
        </w:rPr>
        <w:t>, from 15.01% in 2017, going beyond the target of 9% in our Equality Outcomes.</w:t>
      </w:r>
    </w:p>
    <w:p w14:paraId="108237E8" w14:textId="77777777" w:rsidR="0092491F" w:rsidRDefault="0092491F" w:rsidP="003E7B62">
      <w:pPr>
        <w:pStyle w:val="ListParagraph"/>
        <w:numPr>
          <w:ilvl w:val="0"/>
          <w:numId w:val="17"/>
        </w:numPr>
        <w:rPr>
          <w:rFonts w:ascii="Calibri" w:eastAsiaTheme="majorEastAsia" w:hAnsi="Calibri" w:cs="Calibri"/>
          <w:szCs w:val="26"/>
        </w:rPr>
      </w:pPr>
      <w:r>
        <w:rPr>
          <w:rFonts w:ascii="Calibri" w:eastAsiaTheme="majorEastAsia" w:hAnsi="Calibri" w:cs="Calibri"/>
          <w:szCs w:val="26"/>
        </w:rPr>
        <w:t>As at the 31</w:t>
      </w:r>
      <w:r w:rsidRPr="009A2C23">
        <w:rPr>
          <w:rFonts w:ascii="Calibri" w:eastAsiaTheme="majorEastAsia" w:hAnsi="Calibri" w:cs="Calibri"/>
          <w:szCs w:val="26"/>
          <w:vertAlign w:val="superscript"/>
        </w:rPr>
        <w:t>st</w:t>
      </w:r>
      <w:r>
        <w:rPr>
          <w:rFonts w:ascii="Calibri" w:eastAsiaTheme="majorEastAsia" w:hAnsi="Calibri" w:cs="Calibri"/>
          <w:szCs w:val="26"/>
        </w:rPr>
        <w:t xml:space="preserve"> March 2023 our gender headcount is:</w:t>
      </w:r>
    </w:p>
    <w:p w14:paraId="6EA77DC5" w14:textId="77777777" w:rsidR="0092491F" w:rsidRDefault="0092491F" w:rsidP="0092491F">
      <w:pPr>
        <w:pStyle w:val="ListParagraph"/>
        <w:rPr>
          <w:rFonts w:ascii="Calibri" w:eastAsiaTheme="majorEastAsia" w:hAnsi="Calibri" w:cs="Calibri"/>
          <w:szCs w:val="26"/>
        </w:rPr>
      </w:pPr>
    </w:p>
    <w:tbl>
      <w:tblPr>
        <w:tblStyle w:val="TableGrid"/>
        <w:tblW w:w="0" w:type="auto"/>
        <w:tblInd w:w="720" w:type="dxa"/>
        <w:tblLook w:val="04A0" w:firstRow="1" w:lastRow="0" w:firstColumn="1" w:lastColumn="0" w:noHBand="0" w:noVBand="1"/>
        <w:tblCaption w:val="Headcount and FTE table"/>
      </w:tblPr>
      <w:tblGrid>
        <w:gridCol w:w="1020"/>
        <w:gridCol w:w="1306"/>
        <w:gridCol w:w="1020"/>
      </w:tblGrid>
      <w:tr w:rsidR="0092491F" w:rsidRPr="001B49CD" w14:paraId="7C172236" w14:textId="77777777" w:rsidTr="00C51CB3">
        <w:trPr>
          <w:trHeight w:val="537"/>
          <w:tblHeader/>
        </w:trPr>
        <w:tc>
          <w:tcPr>
            <w:tcW w:w="1020" w:type="dxa"/>
          </w:tcPr>
          <w:p w14:paraId="2A90DB24" w14:textId="77777777" w:rsidR="0092491F" w:rsidRPr="001B49CD" w:rsidRDefault="0092491F" w:rsidP="00AC6E31">
            <w:pPr>
              <w:pStyle w:val="ListParagraph"/>
              <w:spacing w:after="200" w:line="276" w:lineRule="auto"/>
              <w:ind w:left="0"/>
              <w:rPr>
                <w:rFonts w:ascii="Calibri" w:eastAsiaTheme="majorEastAsia" w:hAnsi="Calibri" w:cs="Calibri"/>
                <w:b/>
                <w:szCs w:val="26"/>
              </w:rPr>
            </w:pPr>
            <w:r w:rsidRPr="001B49CD">
              <w:rPr>
                <w:rFonts w:ascii="Calibri" w:eastAsiaTheme="majorEastAsia" w:hAnsi="Calibri" w:cs="Calibri"/>
                <w:b/>
                <w:szCs w:val="26"/>
              </w:rPr>
              <w:t>Gender</w:t>
            </w:r>
          </w:p>
        </w:tc>
        <w:tc>
          <w:tcPr>
            <w:tcW w:w="1020" w:type="dxa"/>
          </w:tcPr>
          <w:p w14:paraId="1233AF33" w14:textId="77777777" w:rsidR="0092491F" w:rsidRPr="001B49CD" w:rsidRDefault="0092491F" w:rsidP="00AC6E31">
            <w:pPr>
              <w:pStyle w:val="ListParagraph"/>
              <w:spacing w:after="200" w:line="276" w:lineRule="auto"/>
              <w:ind w:left="0"/>
              <w:jc w:val="center"/>
              <w:rPr>
                <w:rFonts w:ascii="Calibri" w:eastAsiaTheme="majorEastAsia" w:hAnsi="Calibri" w:cs="Calibri"/>
                <w:b/>
                <w:szCs w:val="26"/>
              </w:rPr>
            </w:pPr>
            <w:r w:rsidRPr="001B49CD">
              <w:rPr>
                <w:rFonts w:ascii="Calibri" w:eastAsiaTheme="majorEastAsia" w:hAnsi="Calibri" w:cs="Calibri"/>
                <w:b/>
                <w:szCs w:val="26"/>
              </w:rPr>
              <w:t>Headcount</w:t>
            </w:r>
            <w:r>
              <w:rPr>
                <w:rFonts w:ascii="Calibri" w:eastAsiaTheme="majorEastAsia" w:hAnsi="Calibri" w:cs="Calibri"/>
                <w:b/>
                <w:szCs w:val="26"/>
              </w:rPr>
              <w:t xml:space="preserve"> </w:t>
            </w:r>
          </w:p>
        </w:tc>
        <w:tc>
          <w:tcPr>
            <w:tcW w:w="1020" w:type="dxa"/>
          </w:tcPr>
          <w:p w14:paraId="63D4F711" w14:textId="77777777" w:rsidR="0092491F" w:rsidRPr="001B49CD" w:rsidRDefault="0092491F" w:rsidP="00AC6E31">
            <w:pPr>
              <w:pStyle w:val="ListParagraph"/>
              <w:spacing w:after="200" w:line="276" w:lineRule="auto"/>
              <w:ind w:left="0"/>
              <w:jc w:val="center"/>
              <w:rPr>
                <w:rFonts w:ascii="Calibri" w:eastAsiaTheme="majorEastAsia" w:hAnsi="Calibri" w:cs="Calibri"/>
                <w:b/>
                <w:szCs w:val="26"/>
              </w:rPr>
            </w:pPr>
            <w:r>
              <w:rPr>
                <w:rFonts w:ascii="Calibri" w:eastAsiaTheme="majorEastAsia" w:hAnsi="Calibri" w:cs="Calibri"/>
                <w:b/>
                <w:szCs w:val="26"/>
              </w:rPr>
              <w:t>FTE</w:t>
            </w:r>
          </w:p>
        </w:tc>
      </w:tr>
      <w:tr w:rsidR="0092491F" w14:paraId="069928CD" w14:textId="77777777" w:rsidTr="00AC6E31">
        <w:trPr>
          <w:trHeight w:val="537"/>
        </w:trPr>
        <w:tc>
          <w:tcPr>
            <w:tcW w:w="1020" w:type="dxa"/>
          </w:tcPr>
          <w:p w14:paraId="1E88660F" w14:textId="77777777" w:rsidR="0092491F" w:rsidRDefault="0092491F" w:rsidP="00AC6E31">
            <w:pPr>
              <w:pStyle w:val="ListParagraph"/>
              <w:spacing w:after="200" w:line="276" w:lineRule="auto"/>
              <w:ind w:left="0"/>
              <w:rPr>
                <w:rFonts w:ascii="Calibri" w:eastAsiaTheme="majorEastAsia" w:hAnsi="Calibri" w:cs="Calibri"/>
                <w:szCs w:val="26"/>
              </w:rPr>
            </w:pPr>
            <w:r>
              <w:rPr>
                <w:rFonts w:ascii="Calibri" w:eastAsiaTheme="majorEastAsia" w:hAnsi="Calibri" w:cs="Calibri"/>
                <w:szCs w:val="26"/>
              </w:rPr>
              <w:t>Female</w:t>
            </w:r>
          </w:p>
        </w:tc>
        <w:tc>
          <w:tcPr>
            <w:tcW w:w="1020" w:type="dxa"/>
          </w:tcPr>
          <w:p w14:paraId="71C00B6A" w14:textId="77777777" w:rsidR="0092491F" w:rsidRDefault="0092491F" w:rsidP="00AC6E31">
            <w:pPr>
              <w:pStyle w:val="ListParagraph"/>
              <w:spacing w:after="200" w:line="276" w:lineRule="auto"/>
              <w:ind w:left="0"/>
              <w:rPr>
                <w:rFonts w:ascii="Calibri" w:eastAsiaTheme="majorEastAsia" w:hAnsi="Calibri" w:cs="Calibri"/>
                <w:szCs w:val="26"/>
              </w:rPr>
            </w:pPr>
            <w:r>
              <w:rPr>
                <w:rFonts w:ascii="Calibri" w:eastAsiaTheme="majorEastAsia" w:hAnsi="Calibri" w:cs="Calibri"/>
                <w:szCs w:val="26"/>
              </w:rPr>
              <w:t>462</w:t>
            </w:r>
          </w:p>
        </w:tc>
        <w:tc>
          <w:tcPr>
            <w:tcW w:w="1020" w:type="dxa"/>
          </w:tcPr>
          <w:p w14:paraId="6F82C3A9" w14:textId="77777777" w:rsidR="0092491F" w:rsidRDefault="0092491F" w:rsidP="00AC6E31">
            <w:pPr>
              <w:pStyle w:val="ListParagraph"/>
              <w:spacing w:after="200" w:line="276" w:lineRule="auto"/>
              <w:ind w:left="0"/>
              <w:rPr>
                <w:rFonts w:ascii="Calibri" w:eastAsiaTheme="majorEastAsia" w:hAnsi="Calibri" w:cs="Calibri"/>
                <w:szCs w:val="26"/>
              </w:rPr>
            </w:pPr>
            <w:r>
              <w:rPr>
                <w:rFonts w:ascii="Calibri" w:eastAsiaTheme="majorEastAsia" w:hAnsi="Calibri" w:cs="Calibri"/>
                <w:szCs w:val="26"/>
              </w:rPr>
              <w:t>414</w:t>
            </w:r>
          </w:p>
        </w:tc>
      </w:tr>
      <w:tr w:rsidR="0092491F" w14:paraId="7F5BC3F4" w14:textId="77777777" w:rsidTr="00AC6E31">
        <w:trPr>
          <w:trHeight w:val="537"/>
        </w:trPr>
        <w:tc>
          <w:tcPr>
            <w:tcW w:w="1020" w:type="dxa"/>
          </w:tcPr>
          <w:p w14:paraId="3CBF046F" w14:textId="77777777" w:rsidR="0092491F" w:rsidRDefault="0092491F" w:rsidP="00AC6E31">
            <w:pPr>
              <w:pStyle w:val="ListParagraph"/>
              <w:spacing w:after="200" w:line="276" w:lineRule="auto"/>
              <w:ind w:left="0"/>
              <w:rPr>
                <w:rFonts w:ascii="Calibri" w:eastAsiaTheme="majorEastAsia" w:hAnsi="Calibri" w:cs="Calibri"/>
                <w:szCs w:val="26"/>
              </w:rPr>
            </w:pPr>
            <w:r>
              <w:rPr>
                <w:rFonts w:ascii="Calibri" w:eastAsiaTheme="majorEastAsia" w:hAnsi="Calibri" w:cs="Calibri"/>
                <w:szCs w:val="26"/>
              </w:rPr>
              <w:t>Male</w:t>
            </w:r>
          </w:p>
        </w:tc>
        <w:tc>
          <w:tcPr>
            <w:tcW w:w="1020" w:type="dxa"/>
          </w:tcPr>
          <w:p w14:paraId="0719E680" w14:textId="77777777" w:rsidR="0092491F" w:rsidRDefault="0092491F" w:rsidP="00AC6E31">
            <w:pPr>
              <w:pStyle w:val="ListParagraph"/>
              <w:spacing w:after="200" w:line="276" w:lineRule="auto"/>
              <w:ind w:left="0"/>
              <w:rPr>
                <w:rFonts w:ascii="Calibri" w:eastAsiaTheme="majorEastAsia" w:hAnsi="Calibri" w:cs="Calibri"/>
                <w:szCs w:val="26"/>
              </w:rPr>
            </w:pPr>
            <w:r>
              <w:rPr>
                <w:rFonts w:ascii="Calibri" w:eastAsiaTheme="majorEastAsia" w:hAnsi="Calibri" w:cs="Calibri"/>
                <w:szCs w:val="26"/>
              </w:rPr>
              <w:t>315</w:t>
            </w:r>
          </w:p>
        </w:tc>
        <w:tc>
          <w:tcPr>
            <w:tcW w:w="1020" w:type="dxa"/>
          </w:tcPr>
          <w:p w14:paraId="07AC7D9E" w14:textId="77777777" w:rsidR="0092491F" w:rsidRDefault="0092491F" w:rsidP="00AC6E31">
            <w:pPr>
              <w:pStyle w:val="ListParagraph"/>
              <w:spacing w:after="200" w:line="276" w:lineRule="auto"/>
              <w:ind w:left="0"/>
              <w:rPr>
                <w:rFonts w:ascii="Calibri" w:eastAsiaTheme="majorEastAsia" w:hAnsi="Calibri" w:cs="Calibri"/>
                <w:szCs w:val="26"/>
              </w:rPr>
            </w:pPr>
            <w:r>
              <w:rPr>
                <w:rFonts w:ascii="Calibri" w:eastAsiaTheme="majorEastAsia" w:hAnsi="Calibri" w:cs="Calibri"/>
                <w:szCs w:val="26"/>
              </w:rPr>
              <w:t>305</w:t>
            </w:r>
          </w:p>
        </w:tc>
      </w:tr>
      <w:tr w:rsidR="0092491F" w14:paraId="17241230" w14:textId="77777777" w:rsidTr="00AC6E31">
        <w:trPr>
          <w:trHeight w:val="537"/>
        </w:trPr>
        <w:tc>
          <w:tcPr>
            <w:tcW w:w="1020" w:type="dxa"/>
          </w:tcPr>
          <w:p w14:paraId="7E795243" w14:textId="77777777" w:rsidR="0092491F" w:rsidRPr="009A2C23" w:rsidRDefault="0092491F" w:rsidP="00AC6E31">
            <w:pPr>
              <w:pStyle w:val="ListParagraph"/>
              <w:spacing w:after="200" w:line="276" w:lineRule="auto"/>
              <w:ind w:left="0"/>
              <w:rPr>
                <w:rFonts w:ascii="Calibri" w:eastAsiaTheme="majorEastAsia" w:hAnsi="Calibri" w:cs="Calibri"/>
                <w:b/>
                <w:szCs w:val="26"/>
              </w:rPr>
            </w:pPr>
            <w:r w:rsidRPr="009A2C23">
              <w:rPr>
                <w:rFonts w:ascii="Calibri" w:eastAsiaTheme="majorEastAsia" w:hAnsi="Calibri" w:cs="Calibri"/>
                <w:b/>
                <w:szCs w:val="26"/>
              </w:rPr>
              <w:t>Total</w:t>
            </w:r>
          </w:p>
        </w:tc>
        <w:tc>
          <w:tcPr>
            <w:tcW w:w="1020" w:type="dxa"/>
          </w:tcPr>
          <w:p w14:paraId="0F55C077" w14:textId="77777777" w:rsidR="0092491F" w:rsidRDefault="0092491F" w:rsidP="00AC6E31">
            <w:pPr>
              <w:pStyle w:val="ListParagraph"/>
              <w:spacing w:after="200" w:line="276" w:lineRule="auto"/>
              <w:ind w:left="0"/>
              <w:rPr>
                <w:rFonts w:ascii="Calibri" w:eastAsiaTheme="majorEastAsia" w:hAnsi="Calibri" w:cs="Calibri"/>
                <w:szCs w:val="26"/>
              </w:rPr>
            </w:pPr>
            <w:r>
              <w:rPr>
                <w:rFonts w:ascii="Calibri" w:eastAsiaTheme="majorEastAsia" w:hAnsi="Calibri" w:cs="Calibri"/>
                <w:szCs w:val="26"/>
              </w:rPr>
              <w:t>777</w:t>
            </w:r>
          </w:p>
        </w:tc>
        <w:tc>
          <w:tcPr>
            <w:tcW w:w="1020" w:type="dxa"/>
          </w:tcPr>
          <w:p w14:paraId="67C54CE6" w14:textId="77777777" w:rsidR="0092491F" w:rsidRDefault="0092491F" w:rsidP="00AC6E31">
            <w:pPr>
              <w:pStyle w:val="ListParagraph"/>
              <w:spacing w:after="200" w:line="276" w:lineRule="auto"/>
              <w:ind w:left="0"/>
              <w:rPr>
                <w:rFonts w:ascii="Calibri" w:eastAsiaTheme="majorEastAsia" w:hAnsi="Calibri" w:cs="Calibri"/>
                <w:szCs w:val="26"/>
              </w:rPr>
            </w:pPr>
            <w:r>
              <w:rPr>
                <w:rFonts w:ascii="Calibri" w:eastAsiaTheme="majorEastAsia" w:hAnsi="Calibri" w:cs="Calibri"/>
                <w:szCs w:val="26"/>
              </w:rPr>
              <w:t>719</w:t>
            </w:r>
          </w:p>
        </w:tc>
      </w:tr>
    </w:tbl>
    <w:p w14:paraId="7CE6F0A9" w14:textId="77777777" w:rsidR="00AC6E31" w:rsidRDefault="00AC6E31" w:rsidP="0092491F">
      <w:pPr>
        <w:pStyle w:val="ListParagraph"/>
        <w:rPr>
          <w:rFonts w:ascii="Calibri" w:eastAsiaTheme="majorEastAsia" w:hAnsi="Calibri" w:cs="Calibri"/>
          <w:szCs w:val="26"/>
        </w:rPr>
      </w:pPr>
    </w:p>
    <w:p w14:paraId="5DDA6DDD" w14:textId="03F58473" w:rsidR="0092491F" w:rsidRDefault="0092491F" w:rsidP="0092491F">
      <w:pPr>
        <w:pStyle w:val="ListParagraph"/>
        <w:rPr>
          <w:rFonts w:ascii="Calibri" w:eastAsiaTheme="majorEastAsia" w:hAnsi="Calibri" w:cs="Calibri"/>
          <w:szCs w:val="26"/>
        </w:rPr>
      </w:pPr>
      <w:r>
        <w:rPr>
          <w:rFonts w:ascii="Calibri" w:eastAsiaTheme="majorEastAsia" w:hAnsi="Calibri" w:cs="Calibri"/>
          <w:szCs w:val="26"/>
        </w:rPr>
        <w:t>This is broadly in line with 20/21 &amp; 21/22, with females being 59% of the headcount in each reporting year.</w:t>
      </w:r>
    </w:p>
    <w:p w14:paraId="1FB59A7E" w14:textId="77777777" w:rsidR="0092491F" w:rsidRDefault="0092491F" w:rsidP="003E7B62">
      <w:pPr>
        <w:pStyle w:val="ListParagraph"/>
        <w:numPr>
          <w:ilvl w:val="0"/>
          <w:numId w:val="17"/>
        </w:numPr>
        <w:rPr>
          <w:rFonts w:ascii="Calibri" w:eastAsiaTheme="majorEastAsia" w:hAnsi="Calibri" w:cs="Calibri"/>
          <w:szCs w:val="26"/>
        </w:rPr>
      </w:pPr>
      <w:r>
        <w:rPr>
          <w:rFonts w:ascii="Calibri" w:eastAsiaTheme="majorEastAsia" w:hAnsi="Calibri" w:cs="Calibri"/>
          <w:szCs w:val="26"/>
        </w:rPr>
        <w:t>During the period of the Equality Report 2021/21 to 2022/23, 19 employees took maternity leave, with 18 employees taking paternity leave.</w:t>
      </w:r>
    </w:p>
    <w:p w14:paraId="14F49A22" w14:textId="77777777" w:rsidR="0092491F" w:rsidRPr="009A2C23" w:rsidRDefault="0092491F" w:rsidP="003E7B62">
      <w:pPr>
        <w:pStyle w:val="ListParagraph"/>
        <w:numPr>
          <w:ilvl w:val="0"/>
          <w:numId w:val="17"/>
        </w:numPr>
        <w:rPr>
          <w:rFonts w:ascii="Calibri" w:eastAsiaTheme="majorEastAsia" w:hAnsi="Calibri" w:cs="Calibri"/>
          <w:szCs w:val="26"/>
        </w:rPr>
      </w:pPr>
      <w:r>
        <w:rPr>
          <w:rFonts w:ascii="Calibri" w:eastAsiaTheme="majorEastAsia" w:hAnsi="Calibri" w:cs="Calibri"/>
          <w:szCs w:val="26"/>
        </w:rPr>
        <w:t>Disclosure of protected characteristics remains very low, with only approximately 25% of employees disclosing the information. A low disclosure rate means that NatureScot is unable to provide a full picture of our workforces protected characteristics. This may lead to equality actions not being fully responsive to the needs of our workforce.</w:t>
      </w:r>
    </w:p>
    <w:p w14:paraId="07BD3A93" w14:textId="03BF5C7D" w:rsidR="0092491F" w:rsidRDefault="0092491F" w:rsidP="00AC6E31">
      <w:pPr>
        <w:keepNext/>
        <w:keepLines/>
        <w:spacing w:after="120"/>
        <w:outlineLvl w:val="1"/>
        <w:rPr>
          <w:rFonts w:ascii="Calibri" w:eastAsiaTheme="majorEastAsia" w:hAnsi="Calibri" w:cs="Calibri"/>
          <w:b/>
          <w:szCs w:val="24"/>
        </w:rPr>
      </w:pPr>
      <w:r w:rsidRPr="00E96764">
        <w:rPr>
          <w:rFonts w:ascii="Calibri" w:eastAsiaTheme="majorEastAsia" w:hAnsi="Calibri" w:cs="Calibri"/>
          <w:b/>
          <w:szCs w:val="24"/>
        </w:rPr>
        <w:t xml:space="preserve">Retirement Profile </w:t>
      </w:r>
    </w:p>
    <w:p w14:paraId="5F4BD3C4" w14:textId="77777777" w:rsidR="00AC6E31" w:rsidRPr="00AC6E31" w:rsidRDefault="00AC6E31" w:rsidP="00AC6E31">
      <w:pPr>
        <w:keepNext/>
        <w:keepLines/>
        <w:spacing w:after="120"/>
        <w:outlineLvl w:val="1"/>
        <w:rPr>
          <w:rFonts w:ascii="Calibri" w:eastAsiaTheme="majorEastAsia" w:hAnsi="Calibri" w:cs="Calibri"/>
          <w:b/>
          <w:szCs w:val="24"/>
        </w:rPr>
      </w:pPr>
    </w:p>
    <w:p w14:paraId="017CD2F4" w14:textId="77777777" w:rsidR="0092491F" w:rsidRPr="00022B65" w:rsidRDefault="0092491F" w:rsidP="0092491F">
      <w:r>
        <w:rPr>
          <w:noProof/>
          <w:lang w:eastAsia="en-GB"/>
        </w:rPr>
        <w:drawing>
          <wp:inline distT="0" distB="0" distL="0" distR="0" wp14:anchorId="4CE37A77" wp14:editId="67C0CD15">
            <wp:extent cx="4791710" cy="2076450"/>
            <wp:effectExtent l="0" t="0" r="8890" b="0"/>
            <wp:docPr id="3" name="Picture 3" title="Retirement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91710" cy="2076450"/>
                    </a:xfrm>
                    <a:prstGeom prst="rect">
                      <a:avLst/>
                    </a:prstGeom>
                    <a:noFill/>
                  </pic:spPr>
                </pic:pic>
              </a:graphicData>
            </a:graphic>
          </wp:inline>
        </w:drawing>
      </w:r>
    </w:p>
    <w:p w14:paraId="35438F94" w14:textId="77777777" w:rsidR="00EE60A2" w:rsidRDefault="00EE60A2">
      <w:r>
        <w:br w:type="page"/>
      </w:r>
    </w:p>
    <w:p w14:paraId="07508F60" w14:textId="0489CB29" w:rsidR="005E4FA9" w:rsidRPr="00EE60A2" w:rsidRDefault="005E4FA9" w:rsidP="003E7B62">
      <w:pPr>
        <w:pStyle w:val="ListParagraph"/>
        <w:numPr>
          <w:ilvl w:val="0"/>
          <w:numId w:val="21"/>
        </w:numPr>
        <w:rPr>
          <w:b/>
        </w:rPr>
      </w:pPr>
      <w:r w:rsidRPr="005E4FA9">
        <w:lastRenderedPageBreak/>
        <w:t>People &amp; Organisational Development (POD) continue to work with Activity and National Operations Team leaders to look at age profiles within teams, to highlight particular resilience and skills gap risks. We are encouraging open conversations about future plans and needs.</w:t>
      </w:r>
    </w:p>
    <w:p w14:paraId="38991185" w14:textId="77777777" w:rsidR="005E4FA9" w:rsidRPr="00EE60A2" w:rsidRDefault="005E4FA9" w:rsidP="003E7B62">
      <w:pPr>
        <w:pStyle w:val="ListParagraph"/>
        <w:numPr>
          <w:ilvl w:val="0"/>
          <w:numId w:val="21"/>
        </w:numPr>
        <w:rPr>
          <w:b/>
        </w:rPr>
      </w:pPr>
      <w:r w:rsidRPr="005E4FA9">
        <w:t xml:space="preserve">Through the People Programme into 2023/24 we will be reviewing our talent acquisition and recruitment processes to ensure we have the right people in the right roles, attracting and retaining the best people.  </w:t>
      </w:r>
    </w:p>
    <w:p w14:paraId="6341E545" w14:textId="11DD42F7" w:rsidR="005E4FA9" w:rsidRPr="00EE60A2" w:rsidRDefault="005E4FA9" w:rsidP="003E7B62">
      <w:pPr>
        <w:pStyle w:val="ListParagraph"/>
        <w:numPr>
          <w:ilvl w:val="0"/>
          <w:numId w:val="21"/>
        </w:numPr>
        <w:rPr>
          <w:b/>
        </w:rPr>
      </w:pPr>
      <w:r w:rsidRPr="005E4FA9">
        <w:t>We will be piloting a Career MOT service in April to support colleagues in fulfilling their aspirations, at whatever stage in their careers they are. Alongside partial retirement and flexible hours, this is intended to help manage the transition to retirement.</w:t>
      </w:r>
    </w:p>
    <w:p w14:paraId="4859BF9D" w14:textId="77777777" w:rsidR="005E4FA9" w:rsidRPr="005E4FA9" w:rsidRDefault="005E4FA9" w:rsidP="005E4FA9"/>
    <w:p w14:paraId="4F34407C" w14:textId="73757D6A" w:rsidR="005B5B5E" w:rsidRDefault="005E2EB0" w:rsidP="005B5B5E">
      <w:pPr>
        <w:pStyle w:val="Heading2"/>
        <w:spacing w:before="0" w:after="120" w:line="240" w:lineRule="auto"/>
        <w:rPr>
          <w:rFonts w:ascii="Calibri" w:hAnsi="Calibri" w:cs="Calibri"/>
          <w:szCs w:val="24"/>
        </w:rPr>
      </w:pPr>
      <w:r w:rsidRPr="005B5B5E">
        <w:rPr>
          <w:rFonts w:ascii="Calibri" w:hAnsi="Calibri" w:cs="Calibri"/>
          <w:szCs w:val="24"/>
        </w:rPr>
        <w:t>Recommendations</w:t>
      </w:r>
    </w:p>
    <w:p w14:paraId="7D593B99" w14:textId="77777777" w:rsidR="005B5B5E" w:rsidRPr="005B5B5E" w:rsidRDefault="005B5B5E" w:rsidP="005B5B5E">
      <w:pPr>
        <w:pStyle w:val="ListParagraph"/>
        <w:jc w:val="both"/>
      </w:pPr>
    </w:p>
    <w:p w14:paraId="793C2911" w14:textId="4F9B294B" w:rsidR="005E2EB0" w:rsidRPr="005E2EB0" w:rsidRDefault="00257C14" w:rsidP="003E7B62">
      <w:pPr>
        <w:pStyle w:val="ListParagraph"/>
        <w:numPr>
          <w:ilvl w:val="0"/>
          <w:numId w:val="1"/>
        </w:numPr>
        <w:spacing w:after="0"/>
        <w:rPr>
          <w:rFonts w:ascii="Calibri" w:eastAsia="Arial" w:hAnsi="Calibri" w:cs="Calibri"/>
          <w:i/>
          <w:color w:val="000000" w:themeColor="text1"/>
          <w:szCs w:val="24"/>
        </w:rPr>
      </w:pPr>
      <w:r>
        <w:rPr>
          <w:rFonts w:ascii="Calibri" w:eastAsia="Arial" w:hAnsi="Calibri" w:cs="Calibri"/>
          <w:color w:val="000000" w:themeColor="text1"/>
          <w:szCs w:val="24"/>
        </w:rPr>
        <w:t>Board</w:t>
      </w:r>
      <w:r w:rsidR="005E2EB0" w:rsidRPr="005E2EB0">
        <w:rPr>
          <w:rFonts w:ascii="Calibri" w:eastAsia="Arial" w:hAnsi="Calibri" w:cs="Calibri"/>
          <w:color w:val="000000" w:themeColor="text1"/>
          <w:szCs w:val="24"/>
        </w:rPr>
        <w:t xml:space="preserve"> are asked to:</w:t>
      </w:r>
    </w:p>
    <w:p w14:paraId="558A279F" w14:textId="77777777" w:rsidR="005E2EB0" w:rsidRPr="005E2EB0" w:rsidRDefault="005E2EB0" w:rsidP="005E2EB0">
      <w:pPr>
        <w:pStyle w:val="ListParagraph"/>
        <w:spacing w:after="0"/>
        <w:ind w:left="360"/>
        <w:rPr>
          <w:rFonts w:ascii="Calibri" w:eastAsia="Arial" w:hAnsi="Calibri" w:cs="Calibri"/>
          <w:i/>
          <w:color w:val="000000" w:themeColor="text1"/>
          <w:szCs w:val="24"/>
        </w:rPr>
      </w:pPr>
    </w:p>
    <w:p w14:paraId="140076C7" w14:textId="168D9E04" w:rsidR="005E2EB0" w:rsidRPr="00B41BBB" w:rsidRDefault="007A33E7" w:rsidP="003E7B62">
      <w:pPr>
        <w:pStyle w:val="ListParagraph"/>
        <w:numPr>
          <w:ilvl w:val="1"/>
          <w:numId w:val="2"/>
        </w:numPr>
        <w:rPr>
          <w:rFonts w:ascii="Calibri" w:eastAsia="Arial" w:hAnsi="Calibri" w:cs="Calibri"/>
          <w:szCs w:val="24"/>
        </w:rPr>
      </w:pPr>
      <w:r>
        <w:rPr>
          <w:rFonts w:ascii="Calibri" w:eastAsia="Arial" w:hAnsi="Calibri" w:cs="Calibri"/>
          <w:szCs w:val="24"/>
        </w:rPr>
        <w:t xml:space="preserve">Approve </w:t>
      </w:r>
      <w:r w:rsidR="005E2EB0" w:rsidRPr="00B41BBB">
        <w:rPr>
          <w:rFonts w:ascii="Calibri" w:eastAsia="Arial" w:hAnsi="Calibri" w:cs="Calibri"/>
          <w:szCs w:val="24"/>
        </w:rPr>
        <w:t xml:space="preserve">the overall performance of the Corporate Plan objectives </w:t>
      </w:r>
      <w:r w:rsidR="005E2EB0">
        <w:rPr>
          <w:rFonts w:ascii="Calibri" w:eastAsia="Arial" w:hAnsi="Calibri" w:cs="Calibri"/>
          <w:szCs w:val="24"/>
        </w:rPr>
        <w:t>(Performance Report)</w:t>
      </w:r>
    </w:p>
    <w:p w14:paraId="70D95EAC" w14:textId="3BC28C94" w:rsidR="005E2EB0" w:rsidRPr="00B41BBB" w:rsidRDefault="007A33E7" w:rsidP="003E7B62">
      <w:pPr>
        <w:pStyle w:val="ListParagraph"/>
        <w:numPr>
          <w:ilvl w:val="1"/>
          <w:numId w:val="2"/>
        </w:numPr>
        <w:rPr>
          <w:rFonts w:ascii="Calibri" w:eastAsia="Arial" w:hAnsi="Calibri" w:cs="Calibri"/>
          <w:szCs w:val="24"/>
        </w:rPr>
      </w:pPr>
      <w:r>
        <w:rPr>
          <w:rFonts w:ascii="Calibri" w:eastAsia="Arial" w:hAnsi="Calibri" w:cs="Calibri"/>
          <w:szCs w:val="24"/>
        </w:rPr>
        <w:t>Approve</w:t>
      </w:r>
      <w:r w:rsidR="005E2EB0" w:rsidRPr="00B41BBB">
        <w:rPr>
          <w:rFonts w:ascii="Calibri" w:eastAsia="Arial" w:hAnsi="Calibri" w:cs="Calibri"/>
          <w:szCs w:val="24"/>
        </w:rPr>
        <w:t xml:space="preserve"> the position of the operating and capital budgets (Finance Report)</w:t>
      </w:r>
    </w:p>
    <w:p w14:paraId="682F678F" w14:textId="1F7ECE37" w:rsidR="005E2EB0" w:rsidRPr="005E2EB0" w:rsidRDefault="007A33E7" w:rsidP="003E7B62">
      <w:pPr>
        <w:pStyle w:val="ListParagraph"/>
        <w:numPr>
          <w:ilvl w:val="1"/>
          <w:numId w:val="2"/>
        </w:numPr>
        <w:jc w:val="both"/>
        <w:rPr>
          <w:rFonts w:ascii="Calibri" w:hAnsi="Calibri" w:cs="Calibri"/>
          <w:szCs w:val="24"/>
        </w:rPr>
      </w:pPr>
      <w:r>
        <w:rPr>
          <w:rFonts w:ascii="Calibri" w:eastAsia="Arial" w:hAnsi="Calibri" w:cs="Calibri"/>
          <w:szCs w:val="24"/>
        </w:rPr>
        <w:t>Approve</w:t>
      </w:r>
      <w:r w:rsidR="005E2EB0" w:rsidRPr="005E2EB0">
        <w:rPr>
          <w:rFonts w:ascii="Calibri" w:eastAsia="Arial" w:hAnsi="Calibri" w:cs="Calibri"/>
          <w:szCs w:val="24"/>
        </w:rPr>
        <w:t xml:space="preserve"> the performance of the corp</w:t>
      </w:r>
      <w:r w:rsidR="00AC6E31">
        <w:rPr>
          <w:rFonts w:ascii="Calibri" w:eastAsia="Arial" w:hAnsi="Calibri" w:cs="Calibri"/>
          <w:szCs w:val="24"/>
        </w:rPr>
        <w:t>orate risks noted in paragraph 12</w:t>
      </w:r>
      <w:r w:rsidR="005E2EB0" w:rsidRPr="005E2EB0">
        <w:rPr>
          <w:rFonts w:ascii="Calibri" w:eastAsia="Arial" w:hAnsi="Calibri" w:cs="Calibri"/>
          <w:szCs w:val="24"/>
        </w:rPr>
        <w:t xml:space="preserve"> (Risk Report)</w:t>
      </w:r>
    </w:p>
    <w:p w14:paraId="52156F08" w14:textId="23171863" w:rsidR="00DA6BF4" w:rsidRDefault="007A33E7" w:rsidP="003E7B62">
      <w:pPr>
        <w:pStyle w:val="ListParagraph"/>
        <w:numPr>
          <w:ilvl w:val="1"/>
          <w:numId w:val="2"/>
        </w:numPr>
        <w:jc w:val="both"/>
        <w:rPr>
          <w:rFonts w:ascii="Calibri" w:eastAsia="Arial" w:hAnsi="Calibri" w:cs="Calibri"/>
          <w:szCs w:val="24"/>
        </w:rPr>
      </w:pPr>
      <w:r>
        <w:rPr>
          <w:rFonts w:ascii="Calibri" w:eastAsia="Arial" w:hAnsi="Calibri" w:cs="Calibri"/>
          <w:szCs w:val="24"/>
        </w:rPr>
        <w:t>Approve</w:t>
      </w:r>
      <w:r w:rsidR="005E2EB0" w:rsidRPr="005E2EB0">
        <w:rPr>
          <w:rFonts w:ascii="Calibri" w:eastAsia="Arial" w:hAnsi="Calibri" w:cs="Calibri"/>
          <w:szCs w:val="24"/>
        </w:rPr>
        <w:t xml:space="preserve"> the overall performance of the People Measures (People Report)</w:t>
      </w:r>
    </w:p>
    <w:p w14:paraId="0F5C3247" w14:textId="77777777" w:rsidR="00436F2C" w:rsidRDefault="00436F2C">
      <w:pPr>
        <w:rPr>
          <w:rFonts w:ascii="Calibri" w:eastAsia="Arial" w:hAnsi="Calibri" w:cs="Calibri"/>
          <w:szCs w:val="24"/>
        </w:rPr>
      </w:pPr>
      <w:r>
        <w:rPr>
          <w:rFonts w:ascii="Calibri" w:eastAsia="Arial" w:hAnsi="Calibri" w:cs="Calibri"/>
          <w:szCs w:val="24"/>
        </w:rPr>
        <w:br w:type="page"/>
      </w:r>
    </w:p>
    <w:p w14:paraId="5F0186D0" w14:textId="77777777" w:rsidR="00436F2C" w:rsidRDefault="00436F2C" w:rsidP="00436F2C">
      <w:pPr>
        <w:pStyle w:val="Heading2"/>
        <w:rPr>
          <w:rFonts w:eastAsia="Arial"/>
        </w:rPr>
      </w:pPr>
      <w:r>
        <w:rPr>
          <w:rFonts w:eastAsia="Arial"/>
        </w:rPr>
        <w:lastRenderedPageBreak/>
        <w:t>Annex A - Progress on Corporate Plan at the end of Year 1</w:t>
      </w:r>
    </w:p>
    <w:p w14:paraId="6AD46091" w14:textId="11CF4974" w:rsidR="0007184E" w:rsidRPr="0007184E" w:rsidRDefault="0007184E" w:rsidP="0007184E">
      <w:pPr>
        <w:spacing w:after="0"/>
        <w:rPr>
          <w:rFonts w:ascii="Calibri" w:eastAsia="Calibri" w:hAnsi="Calibri" w:cs="Calibri"/>
          <w:color w:val="000000" w:themeColor="text1"/>
          <w:szCs w:val="24"/>
        </w:rPr>
      </w:pPr>
    </w:p>
    <w:p w14:paraId="39465C10" w14:textId="3717C235"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At the end of this first year of ‘A nature-rich future for all’, we can be confident that the significant blocks of effort which underpin our Corporate Plan either are on track, or gathering traction. This is encouraging in the context of meeting the ambition of the Bute House Agreement. However, there are headwinds being experienced in a number of areas and uncertainty as to whether they will abate or potentially slow progress in the year ahead towards our 2030 targets. We will provide a fuller analysis of this and return to Board later this year.</w:t>
      </w:r>
    </w:p>
    <w:p w14:paraId="5B4698C5" w14:textId="77777777" w:rsidR="008E1D74" w:rsidRPr="008E1D74" w:rsidRDefault="008E1D74" w:rsidP="008E1D74">
      <w:pPr>
        <w:pStyle w:val="ListParagraph"/>
        <w:spacing w:after="0"/>
        <w:ind w:left="360"/>
        <w:rPr>
          <w:rFonts w:ascii="Calibri" w:eastAsia="Calibri" w:hAnsi="Calibri" w:cs="Calibri"/>
          <w:color w:val="000000" w:themeColor="text1"/>
          <w:szCs w:val="24"/>
        </w:rPr>
      </w:pPr>
    </w:p>
    <w:p w14:paraId="3E5F97EE" w14:textId="47E8D5F4"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A common feature of the</w:t>
      </w:r>
      <w:r w:rsidR="00FD3996">
        <w:rPr>
          <w:rFonts w:ascii="Calibri" w:eastAsia="Calibri" w:hAnsi="Calibri" w:cs="Calibri"/>
          <w:color w:val="000000" w:themeColor="text1"/>
          <w:szCs w:val="24"/>
        </w:rPr>
        <w:t xml:space="preserve"> first half of this Plan is </w:t>
      </w:r>
      <w:r w:rsidRPr="008E1D74">
        <w:rPr>
          <w:rFonts w:ascii="Calibri" w:eastAsia="Calibri" w:hAnsi="Calibri" w:cs="Calibri"/>
          <w:color w:val="000000" w:themeColor="text1"/>
          <w:szCs w:val="24"/>
        </w:rPr>
        <w:t>laying down the policy framework and consultation processes which enable delivery of the actions in the second half of the Plan period and beyond. In particular we have made significant progress in developing a new overarching Biodiversity Strategy for Scotland, and developing its delivery right across Government.</w:t>
      </w:r>
    </w:p>
    <w:p w14:paraId="7454618C" w14:textId="77777777" w:rsidR="008E1D74" w:rsidRPr="008E1D74" w:rsidRDefault="008E1D74" w:rsidP="008E1D74">
      <w:pPr>
        <w:pStyle w:val="ListParagraph"/>
        <w:spacing w:after="0"/>
        <w:ind w:left="360"/>
        <w:rPr>
          <w:rFonts w:ascii="Calibri" w:eastAsia="Calibri" w:hAnsi="Calibri" w:cs="Calibri"/>
          <w:color w:val="000000" w:themeColor="text1"/>
          <w:szCs w:val="24"/>
        </w:rPr>
      </w:pPr>
    </w:p>
    <w:p w14:paraId="642F1AC3" w14:textId="67D34C1B"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 xml:space="preserve">There have been recognised challenges in getting to this point in year one, including building resilience and resource in existing teams in new areas. We finish the year having made </w:t>
      </w:r>
      <w:r w:rsidR="00FD3996">
        <w:rPr>
          <w:rFonts w:ascii="Calibri" w:eastAsia="Calibri" w:hAnsi="Calibri" w:cs="Calibri"/>
          <w:color w:val="000000" w:themeColor="text1"/>
          <w:szCs w:val="24"/>
        </w:rPr>
        <w:t xml:space="preserve">strong </w:t>
      </w:r>
      <w:r w:rsidRPr="008E1D74">
        <w:rPr>
          <w:rFonts w:ascii="Calibri" w:eastAsia="Calibri" w:hAnsi="Calibri" w:cs="Calibri"/>
          <w:color w:val="000000" w:themeColor="text1"/>
          <w:szCs w:val="24"/>
        </w:rPr>
        <w:t>progress in areas which will underpin nature’s recovery. What follows is a short assessment of the headline themes against the Plan.</w:t>
      </w:r>
    </w:p>
    <w:p w14:paraId="7E22A20C" w14:textId="77777777" w:rsidR="008E1D74" w:rsidRPr="008E1D74" w:rsidRDefault="008E1D74" w:rsidP="008E1D74">
      <w:pPr>
        <w:pStyle w:val="ListParagraph"/>
        <w:spacing w:after="0"/>
        <w:ind w:left="360"/>
        <w:rPr>
          <w:rFonts w:ascii="Calibri" w:eastAsia="Calibri" w:hAnsi="Calibri" w:cs="Calibri"/>
          <w:color w:val="000000" w:themeColor="text1"/>
          <w:szCs w:val="24"/>
        </w:rPr>
      </w:pPr>
    </w:p>
    <w:p w14:paraId="11AFA631" w14:textId="77777777" w:rsidR="008E1D74" w:rsidRPr="008E1D74" w:rsidRDefault="008E1D74" w:rsidP="008E1D74">
      <w:pPr>
        <w:spacing w:after="0"/>
        <w:rPr>
          <w:rFonts w:ascii="Calibri" w:eastAsia="Calibri" w:hAnsi="Calibri" w:cs="Calibri"/>
          <w:b/>
          <w:color w:val="000000" w:themeColor="text1"/>
          <w:szCs w:val="24"/>
        </w:rPr>
      </w:pPr>
      <w:r w:rsidRPr="008E1D74">
        <w:rPr>
          <w:rFonts w:ascii="Calibri" w:eastAsia="Calibri" w:hAnsi="Calibri" w:cs="Calibri"/>
          <w:b/>
          <w:color w:val="000000" w:themeColor="text1"/>
          <w:szCs w:val="24"/>
        </w:rPr>
        <w:t>Protect</w:t>
      </w:r>
    </w:p>
    <w:p w14:paraId="1A8754C9" w14:textId="77777777"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A key strand of work this year has been the delivery of the underpinning principles in support of our drive towards 30x30 co-produced with a range of organisations and a building block towards nature recovery. Attention now turns to the data analysis needed to identify potential sites, work to develop new approaches to monitoring and work with stakeholders to ensure effective communication. More resource in-year may have allowed us to move at greater pace and in parallel with the scoping work but we stand well prepared now to move into this next phase.</w:t>
      </w:r>
    </w:p>
    <w:p w14:paraId="54CC5239" w14:textId="0FC0E488" w:rsidR="008E1D74" w:rsidRPr="008E1D74" w:rsidRDefault="008E1D74" w:rsidP="008E1D74">
      <w:pPr>
        <w:pStyle w:val="ListParagraph"/>
        <w:spacing w:after="0"/>
        <w:ind w:left="360"/>
        <w:rPr>
          <w:rFonts w:ascii="Calibri" w:eastAsia="Calibri" w:hAnsi="Calibri" w:cs="Calibri"/>
          <w:color w:val="000000" w:themeColor="text1"/>
          <w:szCs w:val="24"/>
        </w:rPr>
      </w:pPr>
    </w:p>
    <w:p w14:paraId="3D7B3F2E" w14:textId="6F97BBE2"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 xml:space="preserve">We know that our licencing functions are central to delivering high quality wildlife regulatory functions, particularly in support of the legislative timetable over the period of our Plan. Progress has been made towards modernising </w:t>
      </w:r>
      <w:proofErr w:type="spellStart"/>
      <w:r w:rsidRPr="008E1D74">
        <w:rPr>
          <w:rFonts w:ascii="Calibri" w:eastAsia="Calibri" w:hAnsi="Calibri" w:cs="Calibri"/>
          <w:color w:val="000000" w:themeColor="text1"/>
          <w:szCs w:val="24"/>
        </w:rPr>
        <w:t>Deerline</w:t>
      </w:r>
      <w:proofErr w:type="spellEnd"/>
      <w:r w:rsidRPr="008E1D74">
        <w:rPr>
          <w:rFonts w:ascii="Calibri" w:eastAsia="Calibri" w:hAnsi="Calibri" w:cs="Calibri"/>
          <w:color w:val="000000" w:themeColor="text1"/>
          <w:szCs w:val="24"/>
        </w:rPr>
        <w:t xml:space="preserve"> and online licensing development and in some instances we have needed to move at the pace of others, including Scottish Governmen</w:t>
      </w:r>
      <w:r w:rsidR="00FD3996">
        <w:rPr>
          <w:rFonts w:ascii="Calibri" w:eastAsia="Calibri" w:hAnsi="Calibri" w:cs="Calibri"/>
          <w:color w:val="000000" w:themeColor="text1"/>
          <w:szCs w:val="24"/>
        </w:rPr>
        <w:t>t, where they have faced</w:t>
      </w:r>
      <w:r w:rsidRPr="008E1D74">
        <w:rPr>
          <w:rFonts w:ascii="Calibri" w:eastAsia="Calibri" w:hAnsi="Calibri" w:cs="Calibri"/>
          <w:color w:val="000000" w:themeColor="text1"/>
          <w:szCs w:val="24"/>
        </w:rPr>
        <w:t xml:space="preserve"> capacity issues. In parallel, a clear signal has been evident in our regulatory action both in terms of direct action (as seen at Loch </w:t>
      </w:r>
      <w:proofErr w:type="spellStart"/>
      <w:r w:rsidRPr="008E1D74">
        <w:rPr>
          <w:rFonts w:ascii="Calibri" w:eastAsia="Calibri" w:hAnsi="Calibri" w:cs="Calibri"/>
          <w:color w:val="000000" w:themeColor="text1"/>
          <w:szCs w:val="24"/>
        </w:rPr>
        <w:t>Choire</w:t>
      </w:r>
      <w:proofErr w:type="spellEnd"/>
      <w:r w:rsidRPr="008E1D74">
        <w:rPr>
          <w:rFonts w:ascii="Calibri" w:eastAsia="Calibri" w:hAnsi="Calibri" w:cs="Calibri"/>
          <w:color w:val="000000" w:themeColor="text1"/>
          <w:szCs w:val="24"/>
        </w:rPr>
        <w:t xml:space="preserve">) but also working through legislative processes, such as Section 7 agreements at </w:t>
      </w:r>
      <w:proofErr w:type="spellStart"/>
      <w:r w:rsidRPr="008E1D74">
        <w:rPr>
          <w:rFonts w:ascii="Calibri" w:eastAsia="Calibri" w:hAnsi="Calibri" w:cs="Calibri"/>
          <w:color w:val="000000" w:themeColor="text1"/>
          <w:szCs w:val="24"/>
        </w:rPr>
        <w:t>Caenlochan</w:t>
      </w:r>
      <w:proofErr w:type="spellEnd"/>
      <w:r w:rsidRPr="008E1D74">
        <w:rPr>
          <w:rFonts w:ascii="Calibri" w:eastAsia="Calibri" w:hAnsi="Calibri" w:cs="Calibri"/>
          <w:color w:val="000000" w:themeColor="text1"/>
          <w:szCs w:val="24"/>
        </w:rPr>
        <w:t>. Both these examples, and other engagement through Deer Management Groups, reflect a more robust stance at the end of this first year.</w:t>
      </w:r>
    </w:p>
    <w:p w14:paraId="3C33A5D2" w14:textId="77777777" w:rsidR="008E1D74" w:rsidRPr="008E1D74" w:rsidRDefault="008E1D74" w:rsidP="008E1D74">
      <w:pPr>
        <w:spacing w:after="0"/>
        <w:rPr>
          <w:rFonts w:ascii="Calibri" w:eastAsia="Calibri" w:hAnsi="Calibri" w:cs="Calibri"/>
          <w:color w:val="000000" w:themeColor="text1"/>
          <w:szCs w:val="24"/>
        </w:rPr>
      </w:pPr>
    </w:p>
    <w:p w14:paraId="246D4886" w14:textId="77777777"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 xml:space="preserve">Additional marine protections are a key theme in this corporate plan. Work to implement the new Scottish fisheries management framework has commenced and </w:t>
      </w:r>
      <w:r w:rsidRPr="008E1D74">
        <w:rPr>
          <w:rFonts w:ascii="Calibri" w:eastAsia="Calibri" w:hAnsi="Calibri" w:cs="Calibri"/>
          <w:color w:val="000000" w:themeColor="text1"/>
          <w:szCs w:val="24"/>
        </w:rPr>
        <w:lastRenderedPageBreak/>
        <w:t xml:space="preserve">whilst timescales have been adjusted within Marine Scotland, we are now engaging with groups set up to progress the new approach. A welcomed injection of funding aligned to </w:t>
      </w:r>
      <w:proofErr w:type="spellStart"/>
      <w:r w:rsidRPr="008E1D74">
        <w:rPr>
          <w:rFonts w:ascii="Calibri" w:eastAsia="Calibri" w:hAnsi="Calibri" w:cs="Calibri"/>
          <w:color w:val="000000" w:themeColor="text1"/>
          <w:szCs w:val="24"/>
        </w:rPr>
        <w:t>Scotwind</w:t>
      </w:r>
      <w:proofErr w:type="spellEnd"/>
      <w:r w:rsidRPr="008E1D74">
        <w:rPr>
          <w:rFonts w:ascii="Calibri" w:eastAsia="Calibri" w:hAnsi="Calibri" w:cs="Calibri"/>
          <w:color w:val="000000" w:themeColor="text1"/>
          <w:szCs w:val="24"/>
        </w:rPr>
        <w:t xml:space="preserve"> in the past year has allowed us to build some further capacity in teams to handle the significant additional advice associated with the growth in marine renewables. </w:t>
      </w:r>
      <w:proofErr w:type="spellStart"/>
      <w:r w:rsidRPr="008E1D74">
        <w:rPr>
          <w:rFonts w:ascii="Calibri" w:eastAsia="Calibri" w:hAnsi="Calibri" w:cs="Calibri"/>
          <w:color w:val="000000" w:themeColor="text1"/>
          <w:szCs w:val="24"/>
        </w:rPr>
        <w:t>Onboarding</w:t>
      </w:r>
      <w:proofErr w:type="spellEnd"/>
      <w:r w:rsidRPr="008E1D74">
        <w:rPr>
          <w:rFonts w:ascii="Calibri" w:eastAsia="Calibri" w:hAnsi="Calibri" w:cs="Calibri"/>
          <w:color w:val="000000" w:themeColor="text1"/>
          <w:szCs w:val="24"/>
        </w:rPr>
        <w:t xml:space="preserve"> has been a slow process across the sector but this has driven closer collaboration between organisations which will help with the future implementation of Marine Protected Areas. At the end of this first year, we are seeing more focussed engagement on Highly Protected Marine Areas and this will be a significant feature of the coming year. </w:t>
      </w:r>
    </w:p>
    <w:p w14:paraId="0F84115A" w14:textId="77777777" w:rsidR="008E1D74" w:rsidRPr="008E1D74" w:rsidRDefault="008E1D74" w:rsidP="008E1D74">
      <w:pPr>
        <w:spacing w:after="0"/>
        <w:rPr>
          <w:rFonts w:ascii="Calibri" w:eastAsia="Calibri" w:hAnsi="Calibri" w:cs="Calibri"/>
          <w:color w:val="000000" w:themeColor="text1"/>
          <w:szCs w:val="24"/>
        </w:rPr>
      </w:pPr>
    </w:p>
    <w:p w14:paraId="589A66E9" w14:textId="77777777" w:rsidR="008E1D74" w:rsidRPr="008E1D74" w:rsidRDefault="008E1D74" w:rsidP="008E1D74">
      <w:pPr>
        <w:spacing w:after="0"/>
        <w:rPr>
          <w:rFonts w:ascii="Calibri" w:eastAsia="Calibri" w:hAnsi="Calibri" w:cs="Calibri"/>
          <w:b/>
          <w:color w:val="000000" w:themeColor="text1"/>
          <w:szCs w:val="24"/>
        </w:rPr>
      </w:pPr>
      <w:r w:rsidRPr="008E1D74">
        <w:rPr>
          <w:rFonts w:ascii="Calibri" w:eastAsia="Calibri" w:hAnsi="Calibri" w:cs="Calibri"/>
          <w:b/>
          <w:color w:val="000000" w:themeColor="text1"/>
          <w:szCs w:val="24"/>
        </w:rPr>
        <w:t>Restore</w:t>
      </w:r>
    </w:p>
    <w:p w14:paraId="366AE1D8" w14:textId="77777777"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 xml:space="preserve">We know that the legislative programme for nature and climate in this Parliamentary term is necessarily ambitious. At the end of the year, that remains the case. We have used the process to influence key stakeholders on the significance of land use and nature based solutions to tackling the nature/climate crises. Whilst there remains  uncertainty on the timing and scope of the Environment Bill, that hasn’t stopped us gathering evidence on key components of the Bill and influencing synergies with key bills (such as the Agricultural Bill). </w:t>
      </w:r>
    </w:p>
    <w:p w14:paraId="3D66F635" w14:textId="77777777" w:rsidR="008E1D74" w:rsidRPr="008E1D74" w:rsidRDefault="008E1D74" w:rsidP="008E1D74">
      <w:pPr>
        <w:pStyle w:val="ListParagraph"/>
        <w:spacing w:after="0"/>
        <w:ind w:left="360"/>
        <w:rPr>
          <w:rFonts w:ascii="Calibri" w:eastAsia="Calibri" w:hAnsi="Calibri" w:cs="Calibri"/>
          <w:color w:val="000000" w:themeColor="text1"/>
          <w:szCs w:val="24"/>
        </w:rPr>
      </w:pPr>
    </w:p>
    <w:p w14:paraId="320027D2" w14:textId="13E4E56F"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The Nature Restoration Fund and Peatland Action both continue to make strong and steady progress, with</w:t>
      </w:r>
      <w:r w:rsidR="00FD3996">
        <w:rPr>
          <w:rFonts w:ascii="Calibri" w:eastAsia="Calibri" w:hAnsi="Calibri" w:cs="Calibri"/>
          <w:color w:val="000000" w:themeColor="text1"/>
          <w:szCs w:val="24"/>
        </w:rPr>
        <w:t xml:space="preserve"> the</w:t>
      </w:r>
      <w:r w:rsidRPr="008E1D74">
        <w:rPr>
          <w:rFonts w:ascii="Calibri" w:eastAsia="Calibri" w:hAnsi="Calibri" w:cs="Calibri"/>
          <w:color w:val="000000" w:themeColor="text1"/>
          <w:szCs w:val="24"/>
        </w:rPr>
        <w:t xml:space="preserve"> latter restoring 4,700ha over the year. This was in</w:t>
      </w:r>
      <w:r w:rsidR="00FD3996">
        <w:rPr>
          <w:rFonts w:ascii="Calibri" w:eastAsia="Calibri" w:hAnsi="Calibri" w:cs="Calibri"/>
          <w:color w:val="000000" w:themeColor="text1"/>
          <w:szCs w:val="24"/>
        </w:rPr>
        <w:t xml:space="preserve"> line with expected outturn </w:t>
      </w:r>
      <w:r w:rsidRPr="008E1D74">
        <w:rPr>
          <w:rFonts w:ascii="Calibri" w:eastAsia="Calibri" w:hAnsi="Calibri" w:cs="Calibri"/>
          <w:color w:val="000000" w:themeColor="text1"/>
          <w:szCs w:val="24"/>
        </w:rPr>
        <w:t>agreed with Scottish Government.  At the end of the year, there are signs of wider public awareness emerging around the significance of nature based solutions and peatland restoration in driving Scotland towards a net zero economy. Advances have been made in the Peatland code and the development of private investment during 2022/23 which will allow the expansion of Peatlands in future years in line with proposed targets.</w:t>
      </w:r>
    </w:p>
    <w:p w14:paraId="4B047197" w14:textId="77777777" w:rsidR="008E1D74" w:rsidRPr="008E1D74" w:rsidRDefault="008E1D74" w:rsidP="008E1D74">
      <w:pPr>
        <w:pStyle w:val="ListParagraph"/>
        <w:spacing w:after="0"/>
        <w:ind w:left="360"/>
        <w:rPr>
          <w:rFonts w:ascii="Calibri" w:eastAsia="Calibri" w:hAnsi="Calibri" w:cs="Calibri"/>
          <w:color w:val="000000" w:themeColor="text1"/>
          <w:szCs w:val="24"/>
        </w:rPr>
      </w:pPr>
    </w:p>
    <w:p w14:paraId="04868095" w14:textId="77777777"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 xml:space="preserve">New governance arrangements around agriculture reform during Q4 will allow us to feed in to the necessary </w:t>
      </w:r>
      <w:proofErr w:type="spellStart"/>
      <w:r w:rsidRPr="008E1D74">
        <w:rPr>
          <w:rFonts w:ascii="Calibri" w:eastAsia="Calibri" w:hAnsi="Calibri" w:cs="Calibri"/>
          <w:color w:val="000000" w:themeColor="text1"/>
          <w:szCs w:val="24"/>
        </w:rPr>
        <w:t>workstreams</w:t>
      </w:r>
      <w:proofErr w:type="spellEnd"/>
      <w:r w:rsidRPr="008E1D74">
        <w:rPr>
          <w:rFonts w:ascii="Calibri" w:eastAsia="Calibri" w:hAnsi="Calibri" w:cs="Calibri"/>
          <w:color w:val="000000" w:themeColor="text1"/>
          <w:szCs w:val="24"/>
        </w:rPr>
        <w:t xml:space="preserve"> as we approach the Agricultural Bill in the year ahead. The Agricultural Bill will be vital to our ambition particularly beyond 2030 so a significant milestone remains on track in support of building the conditions for ongoing nature friendly farming. </w:t>
      </w:r>
    </w:p>
    <w:p w14:paraId="36FF759F" w14:textId="77777777" w:rsidR="008E1D74" w:rsidRPr="008E1D74" w:rsidRDefault="008E1D74" w:rsidP="008E1D74">
      <w:pPr>
        <w:pStyle w:val="ListParagraph"/>
        <w:spacing w:after="0"/>
        <w:ind w:left="360"/>
        <w:rPr>
          <w:rFonts w:ascii="Calibri" w:eastAsia="Calibri" w:hAnsi="Calibri" w:cs="Calibri"/>
          <w:color w:val="000000" w:themeColor="text1"/>
          <w:szCs w:val="24"/>
        </w:rPr>
      </w:pPr>
    </w:p>
    <w:p w14:paraId="01503606" w14:textId="77777777" w:rsidR="008E1D74" w:rsidRPr="008E1D74" w:rsidRDefault="008E1D74" w:rsidP="008E1D74">
      <w:pPr>
        <w:spacing w:after="0"/>
        <w:rPr>
          <w:rFonts w:ascii="Calibri" w:eastAsia="Calibri" w:hAnsi="Calibri" w:cs="Calibri"/>
          <w:b/>
          <w:color w:val="000000" w:themeColor="text1"/>
          <w:szCs w:val="24"/>
        </w:rPr>
      </w:pPr>
      <w:r w:rsidRPr="008E1D74">
        <w:rPr>
          <w:rFonts w:ascii="Calibri" w:eastAsia="Calibri" w:hAnsi="Calibri" w:cs="Calibri"/>
          <w:b/>
          <w:color w:val="000000" w:themeColor="text1"/>
          <w:szCs w:val="24"/>
        </w:rPr>
        <w:t>Value</w:t>
      </w:r>
    </w:p>
    <w:p w14:paraId="7D352ECF" w14:textId="256551DC"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 xml:space="preserve">Whilst this area of our Plan has modest resource attributed, we can point to progress arguably beyond expectation in this first year. We have brokered a first-of-its-kind £2bn agreement with UK private bank Hampden &amp; Co, Lombard </w:t>
      </w:r>
      <w:proofErr w:type="spellStart"/>
      <w:r w:rsidRPr="008E1D74">
        <w:rPr>
          <w:rFonts w:ascii="Calibri" w:eastAsia="Calibri" w:hAnsi="Calibri" w:cs="Calibri"/>
          <w:color w:val="000000" w:themeColor="text1"/>
          <w:szCs w:val="24"/>
        </w:rPr>
        <w:t>Odier</w:t>
      </w:r>
      <w:proofErr w:type="spellEnd"/>
      <w:r w:rsidRPr="008E1D74">
        <w:rPr>
          <w:rFonts w:ascii="Calibri" w:eastAsia="Calibri" w:hAnsi="Calibri" w:cs="Calibri"/>
          <w:color w:val="000000" w:themeColor="text1"/>
          <w:szCs w:val="24"/>
        </w:rPr>
        <w:t xml:space="preserve"> Investment Managers and global impact firm Palladium to drive nature restoration through natural capital investment. Alongside this we have developed our innovative £2m Facility for Investment Ready Nature in Scotland (FIRNS) and Investment Ready Nature Scotland (IRNS) fund.  This will expand the possibilities for future private investment in nature and </w:t>
      </w:r>
      <w:r w:rsidRPr="008E1D74">
        <w:rPr>
          <w:rFonts w:ascii="Calibri" w:eastAsia="Calibri" w:hAnsi="Calibri" w:cs="Calibri"/>
          <w:color w:val="000000" w:themeColor="text1"/>
          <w:szCs w:val="24"/>
        </w:rPr>
        <w:lastRenderedPageBreak/>
        <w:t>open doors to increase funding to benefit nature and tackle climate change in a time when public sector funding is reducing.</w:t>
      </w:r>
    </w:p>
    <w:p w14:paraId="7C51C8F6" w14:textId="77777777" w:rsidR="008E1D74" w:rsidRPr="008E1D74" w:rsidRDefault="008E1D74" w:rsidP="008E1D74">
      <w:pPr>
        <w:spacing w:after="0"/>
        <w:rPr>
          <w:rFonts w:ascii="Calibri" w:eastAsia="Calibri" w:hAnsi="Calibri" w:cs="Calibri"/>
          <w:color w:val="000000" w:themeColor="text1"/>
          <w:szCs w:val="24"/>
        </w:rPr>
      </w:pPr>
    </w:p>
    <w:p w14:paraId="68978438" w14:textId="77777777" w:rsidR="008E1D74" w:rsidRPr="008E1D74" w:rsidRDefault="008E1D74" w:rsidP="008E1D74">
      <w:pPr>
        <w:spacing w:after="0"/>
        <w:rPr>
          <w:rFonts w:ascii="Calibri" w:eastAsia="Calibri" w:hAnsi="Calibri" w:cs="Calibri"/>
          <w:b/>
          <w:color w:val="000000" w:themeColor="text1"/>
          <w:szCs w:val="24"/>
        </w:rPr>
      </w:pPr>
      <w:r w:rsidRPr="008E1D74">
        <w:rPr>
          <w:rFonts w:ascii="Calibri" w:eastAsia="Calibri" w:hAnsi="Calibri" w:cs="Calibri"/>
          <w:b/>
          <w:color w:val="000000" w:themeColor="text1"/>
          <w:szCs w:val="24"/>
        </w:rPr>
        <w:t>NatureScot Way</w:t>
      </w:r>
    </w:p>
    <w:p w14:paraId="17B8461E" w14:textId="2CFAE5CD" w:rsid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 xml:space="preserve">Public finances have remained under significant challenge over the year with NatureScot needing to respond to enhanced pay offers on the back of the cost of living crises. Despite that, we report strong progress against our Net Zero Plan, including our first net zero office, remaining on track to meet our 2035 target. Our Estates Strategy has yielded £250k of saving in-year with targeted action at a number of sites with </w:t>
      </w:r>
      <w:r w:rsidR="00DC6BC8">
        <w:rPr>
          <w:rFonts w:ascii="Calibri" w:eastAsia="Calibri" w:hAnsi="Calibri" w:cs="Calibri"/>
          <w:color w:val="000000" w:themeColor="text1"/>
          <w:szCs w:val="24"/>
        </w:rPr>
        <w:t xml:space="preserve">a </w:t>
      </w:r>
      <w:r w:rsidRPr="008E1D74">
        <w:rPr>
          <w:rFonts w:ascii="Calibri" w:eastAsia="Calibri" w:hAnsi="Calibri" w:cs="Calibri"/>
          <w:color w:val="000000" w:themeColor="text1"/>
          <w:szCs w:val="24"/>
        </w:rPr>
        <w:t>Programme now in place to drive transformation in our workplaces.</w:t>
      </w:r>
    </w:p>
    <w:p w14:paraId="6E08E9F2" w14:textId="77777777" w:rsidR="008E1D74" w:rsidRDefault="008E1D74" w:rsidP="008E1D74">
      <w:pPr>
        <w:pStyle w:val="ListParagraph"/>
        <w:spacing w:after="0"/>
        <w:ind w:left="360"/>
        <w:rPr>
          <w:rFonts w:ascii="Calibri" w:eastAsia="Calibri" w:hAnsi="Calibri" w:cs="Calibri"/>
          <w:color w:val="000000" w:themeColor="text1"/>
          <w:szCs w:val="24"/>
        </w:rPr>
      </w:pPr>
    </w:p>
    <w:p w14:paraId="3C18A91A" w14:textId="23E04082" w:rsid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 xml:space="preserve">2022/23 saw the home and hybrid working practices that began during the </w:t>
      </w:r>
      <w:proofErr w:type="spellStart"/>
      <w:r w:rsidRPr="008E1D74">
        <w:rPr>
          <w:rFonts w:ascii="Calibri" w:eastAsia="Calibri" w:hAnsi="Calibri" w:cs="Calibri"/>
          <w:color w:val="000000" w:themeColor="text1"/>
          <w:szCs w:val="24"/>
        </w:rPr>
        <w:t>Covid</w:t>
      </w:r>
      <w:proofErr w:type="spellEnd"/>
      <w:r w:rsidRPr="008E1D74">
        <w:rPr>
          <w:rFonts w:ascii="Calibri" w:eastAsia="Calibri" w:hAnsi="Calibri" w:cs="Calibri"/>
          <w:color w:val="000000" w:themeColor="text1"/>
          <w:szCs w:val="24"/>
        </w:rPr>
        <w:t xml:space="preserve"> Pandemic become business as usual for a significant proportion of the NatureScot workforce.  ICT solutions that were implemented and rolled out very rapidly in response to the pandemic have been adopted at scale and monitoring shows that upwards of 75% of the NatureScot workforce now connects to corporate systems from non-office locations as a matter of course. </w:t>
      </w:r>
    </w:p>
    <w:p w14:paraId="3C12069C" w14:textId="77777777" w:rsidR="008E1D74" w:rsidRPr="008E1D74" w:rsidRDefault="008E1D74" w:rsidP="008E1D74">
      <w:pPr>
        <w:pStyle w:val="ListParagraph"/>
        <w:rPr>
          <w:rFonts w:ascii="Calibri" w:eastAsia="Calibri" w:hAnsi="Calibri" w:cs="Calibri"/>
          <w:color w:val="000000" w:themeColor="text1"/>
          <w:szCs w:val="24"/>
        </w:rPr>
      </w:pPr>
    </w:p>
    <w:p w14:paraId="643674E5" w14:textId="4C44DB72" w:rsid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As a consequence, supporting legacy systems and technologies has proven to be a continuous challenge, especially when coupled with high levels of cyber threat. The result of NatureScot’s growing ICT infrastructure technical debt was apparent at various points in 2022/23, particularly where unresolved network performance issues impacted business operations (especially the eRDMS &amp; GIS performance issues on-going throughout much of 2022).</w:t>
      </w:r>
    </w:p>
    <w:p w14:paraId="04E441A2" w14:textId="77777777" w:rsidR="008E1D74" w:rsidRPr="008E1D74" w:rsidRDefault="008E1D74" w:rsidP="008E1D74">
      <w:pPr>
        <w:pStyle w:val="ListParagraph"/>
        <w:rPr>
          <w:rFonts w:ascii="Calibri" w:eastAsia="Calibri" w:hAnsi="Calibri" w:cs="Calibri"/>
          <w:color w:val="000000" w:themeColor="text1"/>
          <w:szCs w:val="24"/>
        </w:rPr>
      </w:pPr>
    </w:p>
    <w:p w14:paraId="6E2AC735" w14:textId="3FCC5D77" w:rsid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Balancing the competing demands of reactive systems support vs proactive work to progress strategic priorities has led to ongoing pressures, but, on balance, 2022/23 still saw good progress achieved in most of the highest priority areas of work.</w:t>
      </w:r>
    </w:p>
    <w:p w14:paraId="5F6C8F47" w14:textId="77777777" w:rsidR="008E1D74" w:rsidRPr="008E1D74" w:rsidRDefault="008E1D74" w:rsidP="008E1D74">
      <w:pPr>
        <w:pStyle w:val="ListParagraph"/>
        <w:rPr>
          <w:rFonts w:ascii="Calibri" w:eastAsia="Calibri" w:hAnsi="Calibri" w:cs="Calibri"/>
          <w:color w:val="000000" w:themeColor="text1"/>
          <w:szCs w:val="24"/>
        </w:rPr>
      </w:pPr>
    </w:p>
    <w:p w14:paraId="19ED32AB" w14:textId="5EF4498B" w:rsidR="008E1D74" w:rsidRPr="008E1D74" w:rsidRDefault="008E1D74" w:rsidP="003E7B62">
      <w:pPr>
        <w:pStyle w:val="ListParagraph"/>
        <w:numPr>
          <w:ilvl w:val="0"/>
          <w:numId w:val="1"/>
        </w:numPr>
        <w:spacing w:after="0"/>
        <w:rPr>
          <w:rFonts w:ascii="Calibri" w:eastAsia="Calibri" w:hAnsi="Calibri" w:cs="Calibri"/>
          <w:color w:val="000000" w:themeColor="text1"/>
          <w:szCs w:val="24"/>
        </w:rPr>
      </w:pPr>
      <w:r w:rsidRPr="008E1D74">
        <w:rPr>
          <w:rFonts w:ascii="Calibri" w:eastAsia="Calibri" w:hAnsi="Calibri" w:cs="Calibri"/>
          <w:color w:val="000000" w:themeColor="text1"/>
          <w:szCs w:val="24"/>
        </w:rPr>
        <w:t>A significant amount of work has also been undertaken during the year led by our organisational design programme. We start the next year of this corporate plan with an operating model designed to address the challenges of resources and prioritisation ensuring that we can continue to meet the ambition set for the remainder of the Plan.</w:t>
      </w:r>
    </w:p>
    <w:p w14:paraId="32034475" w14:textId="77777777" w:rsidR="008E1D74" w:rsidRPr="008E1D74" w:rsidRDefault="008E1D74" w:rsidP="008E1D74">
      <w:pPr>
        <w:pStyle w:val="ListParagraph"/>
        <w:spacing w:after="0"/>
        <w:ind w:left="360"/>
        <w:rPr>
          <w:rFonts w:ascii="Calibri" w:eastAsia="Calibri" w:hAnsi="Calibri" w:cs="Calibri"/>
          <w:color w:val="000000" w:themeColor="text1"/>
          <w:szCs w:val="24"/>
        </w:rPr>
      </w:pPr>
      <w:r w:rsidRPr="008E1D74">
        <w:rPr>
          <w:rFonts w:ascii="Calibri" w:eastAsia="Calibri" w:hAnsi="Calibri" w:cs="Calibri"/>
          <w:color w:val="000000" w:themeColor="text1"/>
          <w:szCs w:val="24"/>
        </w:rPr>
        <w:t> </w:t>
      </w:r>
    </w:p>
    <w:p w14:paraId="5D44DC5C" w14:textId="5D20400F" w:rsidR="0007184E" w:rsidRPr="0007184E" w:rsidRDefault="0007184E" w:rsidP="008E1D74">
      <w:pPr>
        <w:pStyle w:val="ListParagraph"/>
        <w:spacing w:after="0"/>
        <w:ind w:left="360"/>
        <w:rPr>
          <w:rFonts w:ascii="Calibri" w:eastAsia="Calibri" w:hAnsi="Calibri" w:cs="Calibri"/>
          <w:color w:val="000000" w:themeColor="text1"/>
          <w:szCs w:val="24"/>
        </w:rPr>
      </w:pPr>
    </w:p>
    <w:p w14:paraId="21C854E2" w14:textId="28D1B011" w:rsidR="00DA6BF4" w:rsidRDefault="00DA6BF4">
      <w:pPr>
        <w:rPr>
          <w:rFonts w:ascii="Calibri" w:eastAsia="Arial" w:hAnsi="Calibri" w:cs="Calibri"/>
          <w:szCs w:val="24"/>
        </w:rPr>
      </w:pPr>
      <w:r>
        <w:rPr>
          <w:rFonts w:ascii="Calibri" w:eastAsia="Arial" w:hAnsi="Calibri" w:cs="Calibri"/>
          <w:szCs w:val="24"/>
        </w:rPr>
        <w:br w:type="page"/>
      </w:r>
    </w:p>
    <w:p w14:paraId="45481FF6" w14:textId="77777777" w:rsidR="00DA6BF4" w:rsidRDefault="00DA6BF4" w:rsidP="00DA6BF4">
      <w:pPr>
        <w:pStyle w:val="ListParagraph"/>
        <w:ind w:left="360"/>
        <w:jc w:val="both"/>
        <w:rPr>
          <w:rFonts w:ascii="Calibri" w:hAnsi="Calibri" w:cs="Calibri"/>
          <w:szCs w:val="24"/>
        </w:rPr>
        <w:sectPr w:rsidR="00DA6BF4" w:rsidSect="000419B1">
          <w:pgSz w:w="11906" w:h="16838"/>
          <w:pgMar w:top="993" w:right="1440" w:bottom="1440" w:left="1440" w:header="567" w:footer="708" w:gutter="0"/>
          <w:cols w:space="708"/>
          <w:docGrid w:linePitch="360"/>
        </w:sectPr>
      </w:pPr>
    </w:p>
    <w:p w14:paraId="09DBA0FA" w14:textId="4AB76E0B" w:rsidR="00DA6BF4" w:rsidRPr="009B6D9E" w:rsidRDefault="00436F2C" w:rsidP="00DA6BF4">
      <w:pPr>
        <w:pStyle w:val="Heading2"/>
        <w:rPr>
          <w:rFonts w:ascii="Calibri" w:hAnsi="Calibri" w:cs="Calibri"/>
          <w:color w:val="4F81BD" w:themeColor="accent1"/>
          <w:sz w:val="28"/>
          <w:szCs w:val="28"/>
        </w:rPr>
      </w:pPr>
      <w:bookmarkStart w:id="1" w:name="_Annex_A_–"/>
      <w:bookmarkStart w:id="2" w:name="AnnexA"/>
      <w:bookmarkEnd w:id="1"/>
      <w:r>
        <w:rPr>
          <w:rFonts w:ascii="Calibri" w:eastAsia="Times New Roman" w:hAnsi="Calibri" w:cs="Calibri"/>
          <w:color w:val="4F81BD" w:themeColor="accent1"/>
          <w:sz w:val="28"/>
          <w:szCs w:val="28"/>
        </w:rPr>
        <w:lastRenderedPageBreak/>
        <w:t>Annex B</w:t>
      </w:r>
      <w:r w:rsidR="00DA6BF4" w:rsidRPr="009B6D9E">
        <w:rPr>
          <w:rFonts w:ascii="Calibri" w:eastAsia="Times New Roman" w:hAnsi="Calibri" w:cs="Calibri"/>
          <w:color w:val="4F81BD" w:themeColor="accent1"/>
          <w:sz w:val="28"/>
          <w:szCs w:val="28"/>
        </w:rPr>
        <w:t xml:space="preserve"> – Corporate Risk Register (High Risks</w:t>
      </w:r>
      <w:r w:rsidR="00DA6BF4" w:rsidRPr="009B6D9E">
        <w:rPr>
          <w:rFonts w:ascii="Calibri" w:hAnsi="Calibri" w:cs="Calibri"/>
          <w:color w:val="4F81BD" w:themeColor="accent1"/>
          <w:sz w:val="28"/>
          <w:szCs w:val="28"/>
        </w:rPr>
        <w:t>)</w:t>
      </w:r>
    </w:p>
    <w:tbl>
      <w:tblPr>
        <w:tblStyle w:val="TableGrid"/>
        <w:tblW w:w="22033" w:type="dxa"/>
        <w:tblInd w:w="-572" w:type="dxa"/>
        <w:tblLayout w:type="fixed"/>
        <w:tblLook w:val="04A0" w:firstRow="1" w:lastRow="0" w:firstColumn="1" w:lastColumn="0" w:noHBand="0" w:noVBand="1"/>
        <w:tblCaption w:val="Risks"/>
      </w:tblPr>
      <w:tblGrid>
        <w:gridCol w:w="2494"/>
        <w:gridCol w:w="3035"/>
        <w:gridCol w:w="5811"/>
        <w:gridCol w:w="1134"/>
        <w:gridCol w:w="851"/>
        <w:gridCol w:w="992"/>
        <w:gridCol w:w="7716"/>
      </w:tblGrid>
      <w:tr w:rsidR="009946D8" w:rsidRPr="00C13090" w14:paraId="0457AD34" w14:textId="77777777" w:rsidTr="00436F2C">
        <w:trPr>
          <w:trHeight w:val="442"/>
          <w:tblHeader/>
        </w:trPr>
        <w:tc>
          <w:tcPr>
            <w:tcW w:w="2494" w:type="dxa"/>
            <w:shd w:val="clear" w:color="auto" w:fill="244061" w:themeFill="accent1" w:themeFillShade="80"/>
            <w:hideMark/>
          </w:tcPr>
          <w:bookmarkEnd w:id="2"/>
          <w:p w14:paraId="130DA1EF" w14:textId="2B22E496" w:rsidR="00C13090" w:rsidRPr="00C13090" w:rsidRDefault="00C13090" w:rsidP="00C13090">
            <w:pPr>
              <w:jc w:val="both"/>
              <w:rPr>
                <w:rFonts w:ascii="Calibri" w:hAnsi="Calibri" w:cs="Calibri"/>
                <w:b/>
                <w:bCs/>
                <w:szCs w:val="24"/>
              </w:rPr>
            </w:pPr>
            <w:r w:rsidRPr="00C13090">
              <w:rPr>
                <w:b/>
              </w:rPr>
              <w:t>RISK TITLE</w:t>
            </w:r>
          </w:p>
        </w:tc>
        <w:tc>
          <w:tcPr>
            <w:tcW w:w="3035" w:type="dxa"/>
            <w:shd w:val="clear" w:color="auto" w:fill="244061" w:themeFill="accent1" w:themeFillShade="80"/>
            <w:hideMark/>
          </w:tcPr>
          <w:p w14:paraId="0D0A1529" w14:textId="77777777" w:rsidR="00C13090" w:rsidRPr="00C13090" w:rsidRDefault="00C13090" w:rsidP="00C13090">
            <w:pPr>
              <w:pStyle w:val="ListParagraph"/>
              <w:ind w:left="360" w:hanging="360"/>
              <w:jc w:val="both"/>
              <w:rPr>
                <w:rFonts w:ascii="Calibri" w:hAnsi="Calibri" w:cs="Calibri"/>
                <w:b/>
                <w:bCs/>
                <w:szCs w:val="24"/>
              </w:rPr>
            </w:pPr>
            <w:r w:rsidRPr="00C13090">
              <w:rPr>
                <w:rFonts w:ascii="Calibri" w:hAnsi="Calibri" w:cs="Calibri"/>
                <w:b/>
                <w:bCs/>
                <w:szCs w:val="24"/>
              </w:rPr>
              <w:t>DESCRIPTION</w:t>
            </w:r>
          </w:p>
        </w:tc>
        <w:tc>
          <w:tcPr>
            <w:tcW w:w="5811" w:type="dxa"/>
            <w:shd w:val="clear" w:color="auto" w:fill="244061" w:themeFill="accent1" w:themeFillShade="80"/>
            <w:hideMark/>
          </w:tcPr>
          <w:p w14:paraId="56DA765F" w14:textId="77777777" w:rsidR="00C13090" w:rsidRPr="00C13090" w:rsidRDefault="00C13090" w:rsidP="00C13090">
            <w:pPr>
              <w:pStyle w:val="ListParagraph"/>
              <w:ind w:left="-113" w:firstLine="113"/>
              <w:jc w:val="both"/>
              <w:rPr>
                <w:rFonts w:ascii="Calibri" w:hAnsi="Calibri" w:cs="Calibri"/>
                <w:b/>
                <w:bCs/>
                <w:szCs w:val="24"/>
              </w:rPr>
            </w:pPr>
            <w:r w:rsidRPr="00C13090">
              <w:rPr>
                <w:rFonts w:ascii="Calibri" w:hAnsi="Calibri" w:cs="Calibri"/>
                <w:b/>
                <w:bCs/>
                <w:szCs w:val="24"/>
              </w:rPr>
              <w:t>CONTROLS</w:t>
            </w:r>
          </w:p>
        </w:tc>
        <w:tc>
          <w:tcPr>
            <w:tcW w:w="1134" w:type="dxa"/>
            <w:shd w:val="clear" w:color="auto" w:fill="244061" w:themeFill="accent1" w:themeFillShade="80"/>
            <w:hideMark/>
          </w:tcPr>
          <w:p w14:paraId="15FC085C" w14:textId="77777777" w:rsidR="00C13090" w:rsidRPr="00C13090" w:rsidRDefault="00C13090" w:rsidP="009946D8">
            <w:pPr>
              <w:pStyle w:val="ListParagraph"/>
              <w:ind w:left="315" w:right="-102" w:hanging="371"/>
              <w:jc w:val="both"/>
              <w:rPr>
                <w:rFonts w:ascii="Calibri" w:hAnsi="Calibri" w:cs="Calibri"/>
                <w:b/>
                <w:bCs/>
                <w:szCs w:val="24"/>
              </w:rPr>
            </w:pPr>
            <w:r w:rsidRPr="00C13090">
              <w:rPr>
                <w:rFonts w:ascii="Calibri" w:hAnsi="Calibri" w:cs="Calibri"/>
                <w:b/>
                <w:bCs/>
                <w:szCs w:val="24"/>
              </w:rPr>
              <w:t>IMPACT</w:t>
            </w:r>
          </w:p>
        </w:tc>
        <w:tc>
          <w:tcPr>
            <w:tcW w:w="851" w:type="dxa"/>
            <w:shd w:val="clear" w:color="auto" w:fill="244061" w:themeFill="accent1" w:themeFillShade="80"/>
            <w:hideMark/>
          </w:tcPr>
          <w:p w14:paraId="00D96FD7" w14:textId="4E463EA9" w:rsidR="00C13090" w:rsidRPr="00C13090" w:rsidRDefault="00C13090" w:rsidP="00C13090">
            <w:pPr>
              <w:pStyle w:val="ListParagraph"/>
              <w:ind w:left="0"/>
              <w:jc w:val="both"/>
              <w:rPr>
                <w:rFonts w:ascii="Calibri" w:hAnsi="Calibri" w:cs="Calibri"/>
                <w:b/>
                <w:bCs/>
                <w:szCs w:val="24"/>
              </w:rPr>
            </w:pPr>
            <w:r w:rsidRPr="00C13090">
              <w:rPr>
                <w:rFonts w:ascii="Calibri" w:hAnsi="Calibri" w:cs="Calibri"/>
                <w:b/>
                <w:bCs/>
                <w:szCs w:val="24"/>
              </w:rPr>
              <w:t>LIKLE</w:t>
            </w:r>
            <w:r>
              <w:rPr>
                <w:rFonts w:ascii="Calibri" w:hAnsi="Calibri" w:cs="Calibri"/>
                <w:b/>
                <w:bCs/>
                <w:szCs w:val="24"/>
              </w:rPr>
              <w:t>-</w:t>
            </w:r>
            <w:r w:rsidRPr="00C13090">
              <w:rPr>
                <w:rFonts w:ascii="Calibri" w:hAnsi="Calibri" w:cs="Calibri"/>
                <w:b/>
                <w:bCs/>
                <w:szCs w:val="24"/>
              </w:rPr>
              <w:t>HOOD</w:t>
            </w:r>
          </w:p>
        </w:tc>
        <w:tc>
          <w:tcPr>
            <w:tcW w:w="992" w:type="dxa"/>
            <w:shd w:val="clear" w:color="auto" w:fill="244061" w:themeFill="accent1" w:themeFillShade="80"/>
            <w:hideMark/>
          </w:tcPr>
          <w:p w14:paraId="30A44A59" w14:textId="578BFBB8" w:rsidR="00C13090" w:rsidRPr="00C13090" w:rsidRDefault="00C13090" w:rsidP="00C13090">
            <w:pPr>
              <w:pStyle w:val="ListParagraph"/>
              <w:ind w:left="0" w:right="-13" w:hanging="20"/>
              <w:jc w:val="both"/>
              <w:rPr>
                <w:rFonts w:ascii="Calibri" w:hAnsi="Calibri" w:cs="Calibri"/>
                <w:b/>
                <w:bCs/>
                <w:szCs w:val="24"/>
              </w:rPr>
            </w:pPr>
            <w:r>
              <w:rPr>
                <w:rFonts w:ascii="Calibri" w:hAnsi="Calibri" w:cs="Calibri"/>
                <w:b/>
                <w:bCs/>
                <w:szCs w:val="24"/>
              </w:rPr>
              <w:t xml:space="preserve">RISK </w:t>
            </w:r>
            <w:r w:rsidRPr="00C13090">
              <w:rPr>
                <w:rFonts w:ascii="Calibri" w:hAnsi="Calibri" w:cs="Calibri"/>
                <w:b/>
                <w:bCs/>
                <w:szCs w:val="24"/>
              </w:rPr>
              <w:t>LEVEL</w:t>
            </w:r>
          </w:p>
        </w:tc>
        <w:tc>
          <w:tcPr>
            <w:tcW w:w="7716" w:type="dxa"/>
            <w:shd w:val="clear" w:color="auto" w:fill="244061" w:themeFill="accent1" w:themeFillShade="80"/>
            <w:hideMark/>
          </w:tcPr>
          <w:p w14:paraId="29C4F780" w14:textId="77777777" w:rsidR="00C13090" w:rsidRPr="00C13090" w:rsidRDefault="00C13090" w:rsidP="00C13090">
            <w:pPr>
              <w:pStyle w:val="ListParagraph"/>
              <w:ind w:left="360" w:hanging="360"/>
              <w:jc w:val="both"/>
              <w:rPr>
                <w:rFonts w:ascii="Calibri" w:hAnsi="Calibri" w:cs="Calibri"/>
                <w:b/>
                <w:bCs/>
                <w:szCs w:val="24"/>
              </w:rPr>
            </w:pPr>
            <w:r w:rsidRPr="00C13090">
              <w:rPr>
                <w:rFonts w:ascii="Calibri" w:hAnsi="Calibri" w:cs="Calibri"/>
                <w:b/>
                <w:bCs/>
                <w:szCs w:val="24"/>
              </w:rPr>
              <w:t>COMMENTS</w:t>
            </w:r>
          </w:p>
        </w:tc>
      </w:tr>
      <w:tr w:rsidR="009946D8" w:rsidRPr="00C13090" w14:paraId="4782C150" w14:textId="77777777" w:rsidTr="00436F2C">
        <w:trPr>
          <w:trHeight w:val="1857"/>
        </w:trPr>
        <w:tc>
          <w:tcPr>
            <w:tcW w:w="2494" w:type="dxa"/>
            <w:hideMark/>
          </w:tcPr>
          <w:p w14:paraId="329C487F" w14:textId="77777777" w:rsidR="00C13090" w:rsidRPr="009946D8" w:rsidRDefault="00C13090" w:rsidP="00C13090">
            <w:pPr>
              <w:pStyle w:val="ListParagraph"/>
              <w:ind w:left="-19" w:right="12" w:firstLine="19"/>
              <w:rPr>
                <w:rFonts w:ascii="Calibri" w:hAnsi="Calibri" w:cs="Calibri"/>
                <w:sz w:val="22"/>
              </w:rPr>
            </w:pPr>
            <w:r w:rsidRPr="009946D8">
              <w:rPr>
                <w:rFonts w:ascii="Calibri" w:hAnsi="Calibri" w:cs="Calibri"/>
                <w:sz w:val="22"/>
              </w:rPr>
              <w:t xml:space="preserve">47 - Computer Virus/Malware </w:t>
            </w:r>
          </w:p>
        </w:tc>
        <w:tc>
          <w:tcPr>
            <w:tcW w:w="3035" w:type="dxa"/>
            <w:hideMark/>
          </w:tcPr>
          <w:p w14:paraId="3095EC7E" w14:textId="0350D859" w:rsidR="00C13090" w:rsidRPr="009946D8" w:rsidRDefault="00C13090" w:rsidP="00C13090">
            <w:pPr>
              <w:pStyle w:val="ListParagraph"/>
              <w:ind w:left="-19" w:right="12" w:firstLine="19"/>
              <w:rPr>
                <w:rFonts w:ascii="Calibri" w:hAnsi="Calibri" w:cs="Calibri"/>
                <w:sz w:val="22"/>
              </w:rPr>
            </w:pPr>
            <w:r w:rsidRPr="009946D8">
              <w:rPr>
                <w:rFonts w:ascii="Calibri" w:hAnsi="Calibri" w:cs="Calibri"/>
                <w:sz w:val="22"/>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5811" w:type="dxa"/>
            <w:hideMark/>
          </w:tcPr>
          <w:p w14:paraId="029E7063" w14:textId="7C4F5D40" w:rsidR="00C13090" w:rsidRPr="009946D8" w:rsidRDefault="00C13090" w:rsidP="00C13090">
            <w:pPr>
              <w:pStyle w:val="ListParagraph"/>
              <w:ind w:left="-19" w:right="12" w:firstLine="19"/>
              <w:rPr>
                <w:rFonts w:ascii="Calibri" w:hAnsi="Calibri" w:cs="Calibri"/>
                <w:sz w:val="22"/>
              </w:rPr>
            </w:pPr>
            <w:r w:rsidRPr="009946D8">
              <w:rPr>
                <w:rFonts w:ascii="Calibri" w:hAnsi="Calibri" w:cs="Calibri"/>
                <w:sz w:val="22"/>
              </w:rPr>
              <w:t>*All file serve</w:t>
            </w:r>
            <w:r w:rsidR="009946D8" w:rsidRPr="009946D8">
              <w:rPr>
                <w:rFonts w:ascii="Calibri" w:hAnsi="Calibri" w:cs="Calibri"/>
                <w:sz w:val="22"/>
              </w:rPr>
              <w:t>rs are protected by Sophos anti</w:t>
            </w:r>
            <w:r w:rsidRPr="009946D8">
              <w:rPr>
                <w:rFonts w:ascii="Calibri" w:hAnsi="Calibri" w:cs="Calibri"/>
                <w:sz w:val="22"/>
              </w:rPr>
              <w:t>virus protection. Upgrades are performed automatically and can also be applied in an ad-hoc manner</w:t>
            </w:r>
            <w:r w:rsidRPr="009946D8">
              <w:rPr>
                <w:rFonts w:ascii="Calibri" w:hAnsi="Calibri" w:cs="Calibri"/>
                <w:sz w:val="22"/>
              </w:rPr>
              <w:br/>
              <w:t>*All P</w:t>
            </w:r>
            <w:r w:rsidR="009946D8" w:rsidRPr="009946D8">
              <w:rPr>
                <w:rFonts w:ascii="Calibri" w:hAnsi="Calibri" w:cs="Calibri"/>
                <w:sz w:val="22"/>
              </w:rPr>
              <w:t>Cs are protected by Sophos anti</w:t>
            </w:r>
            <w:r w:rsidRPr="009946D8">
              <w:rPr>
                <w:rFonts w:ascii="Calibri" w:hAnsi="Calibri" w:cs="Calibri"/>
                <w:sz w:val="22"/>
              </w:rPr>
              <w:t>virus protection. Upgrades are received on a daily basis but can be applied ad-hoc</w:t>
            </w:r>
            <w:r w:rsidRPr="009946D8">
              <w:rPr>
                <w:rFonts w:ascii="Calibri" w:hAnsi="Calibri" w:cs="Calibri"/>
                <w:sz w:val="22"/>
              </w:rPr>
              <w:br/>
              <w:t xml:space="preserve">*All incoming emails are scanned for viruses. </w:t>
            </w:r>
            <w:r w:rsidRPr="009946D8">
              <w:rPr>
                <w:rFonts w:ascii="Calibri" w:hAnsi="Calibri" w:cs="Calibri"/>
                <w:sz w:val="22"/>
              </w:rPr>
              <w:br/>
              <w:t xml:space="preserve">*All internet access, are scanned for viruses via </w:t>
            </w:r>
            <w:proofErr w:type="spellStart"/>
            <w:r w:rsidRPr="009946D8">
              <w:rPr>
                <w:rFonts w:ascii="Calibri" w:hAnsi="Calibri" w:cs="Calibri"/>
                <w:sz w:val="22"/>
              </w:rPr>
              <w:t>Zscaler</w:t>
            </w:r>
            <w:proofErr w:type="spellEnd"/>
            <w:r w:rsidRPr="009946D8">
              <w:rPr>
                <w:rFonts w:ascii="Calibri" w:hAnsi="Calibri" w:cs="Calibri"/>
                <w:sz w:val="22"/>
              </w:rPr>
              <w:t xml:space="preserve"> service.</w:t>
            </w:r>
            <w:r w:rsidRPr="009946D8">
              <w:rPr>
                <w:rFonts w:ascii="Calibri" w:hAnsi="Calibri" w:cs="Calibri"/>
                <w:sz w:val="22"/>
              </w:rPr>
              <w:br/>
              <w:t>*Raise staff awareness of potential risks relating to email links and infected documents through regular communications.</w:t>
            </w:r>
            <w:r w:rsidRPr="009946D8">
              <w:rPr>
                <w:rFonts w:ascii="Calibri" w:hAnsi="Calibri" w:cs="Calibri"/>
                <w:sz w:val="22"/>
              </w:rPr>
              <w:br/>
              <w:t>*Sandbox controls/ environment implemented</w:t>
            </w:r>
            <w:r w:rsidRPr="009946D8">
              <w:rPr>
                <w:rFonts w:ascii="Calibri" w:hAnsi="Calibri" w:cs="Calibri"/>
                <w:sz w:val="22"/>
              </w:rPr>
              <w:br/>
              <w:t xml:space="preserve">*Control of USB devices </w:t>
            </w:r>
            <w:r w:rsidRPr="009946D8">
              <w:rPr>
                <w:rFonts w:ascii="Calibri" w:hAnsi="Calibri" w:cs="Calibri"/>
                <w:sz w:val="22"/>
              </w:rPr>
              <w:br/>
              <w:t>*Awareness raising with staff via Blogs and update articles</w:t>
            </w:r>
            <w:r w:rsidRPr="009946D8">
              <w:rPr>
                <w:rFonts w:ascii="Calibri" w:hAnsi="Calibri" w:cs="Calibri"/>
                <w:sz w:val="22"/>
              </w:rPr>
              <w:br/>
              <w:t>*Incident Management Group in place</w:t>
            </w:r>
            <w:r w:rsidRPr="009946D8">
              <w:rPr>
                <w:rFonts w:ascii="Calibri" w:hAnsi="Calibri" w:cs="Calibri"/>
                <w:sz w:val="22"/>
              </w:rPr>
              <w:br/>
              <w:t xml:space="preserve">*Corporate data backed up to cloud </w:t>
            </w:r>
          </w:p>
        </w:tc>
        <w:tc>
          <w:tcPr>
            <w:tcW w:w="1134" w:type="dxa"/>
            <w:hideMark/>
          </w:tcPr>
          <w:p w14:paraId="134A3031" w14:textId="77777777" w:rsidR="00C13090" w:rsidRPr="009946D8" w:rsidRDefault="00C13090" w:rsidP="00C13090">
            <w:pPr>
              <w:pStyle w:val="ListParagraph"/>
              <w:ind w:left="-19" w:right="12" w:firstLine="19"/>
              <w:rPr>
                <w:rFonts w:ascii="Calibri" w:hAnsi="Calibri" w:cs="Calibri"/>
                <w:sz w:val="22"/>
              </w:rPr>
            </w:pPr>
            <w:r w:rsidRPr="009946D8">
              <w:rPr>
                <w:rFonts w:ascii="Calibri" w:hAnsi="Calibri" w:cs="Calibri"/>
                <w:sz w:val="22"/>
              </w:rPr>
              <w:t>4</w:t>
            </w:r>
          </w:p>
        </w:tc>
        <w:tc>
          <w:tcPr>
            <w:tcW w:w="851" w:type="dxa"/>
            <w:hideMark/>
          </w:tcPr>
          <w:p w14:paraId="202775B3" w14:textId="77777777" w:rsidR="00C13090" w:rsidRPr="009946D8" w:rsidRDefault="00C13090" w:rsidP="00C13090">
            <w:pPr>
              <w:pStyle w:val="ListParagraph"/>
              <w:ind w:left="-19" w:right="12" w:firstLine="19"/>
              <w:rPr>
                <w:rFonts w:ascii="Calibri" w:hAnsi="Calibri" w:cs="Calibri"/>
                <w:sz w:val="22"/>
              </w:rPr>
            </w:pPr>
            <w:r w:rsidRPr="009946D8">
              <w:rPr>
                <w:rFonts w:ascii="Calibri" w:hAnsi="Calibri" w:cs="Calibri"/>
                <w:sz w:val="22"/>
              </w:rPr>
              <w:t>3</w:t>
            </w:r>
          </w:p>
        </w:tc>
        <w:tc>
          <w:tcPr>
            <w:tcW w:w="992" w:type="dxa"/>
            <w:hideMark/>
          </w:tcPr>
          <w:p w14:paraId="24DB151B" w14:textId="77777777" w:rsidR="00C13090" w:rsidRPr="009946D8" w:rsidRDefault="00C13090" w:rsidP="00C13090">
            <w:pPr>
              <w:pStyle w:val="ListParagraph"/>
              <w:ind w:left="-19" w:right="12" w:firstLine="19"/>
              <w:rPr>
                <w:rFonts w:ascii="Calibri" w:hAnsi="Calibri" w:cs="Calibri"/>
                <w:sz w:val="22"/>
              </w:rPr>
            </w:pPr>
            <w:r w:rsidRPr="009946D8">
              <w:rPr>
                <w:rFonts w:ascii="Calibri" w:hAnsi="Calibri" w:cs="Calibri"/>
                <w:sz w:val="22"/>
              </w:rPr>
              <w:t>High</w:t>
            </w:r>
          </w:p>
        </w:tc>
        <w:tc>
          <w:tcPr>
            <w:tcW w:w="7716" w:type="dxa"/>
            <w:hideMark/>
          </w:tcPr>
          <w:p w14:paraId="03C56A11" w14:textId="77777777" w:rsidR="00C13090" w:rsidRPr="009946D8" w:rsidRDefault="00C13090" w:rsidP="00C13090">
            <w:pPr>
              <w:pStyle w:val="ListParagraph"/>
              <w:ind w:left="-19" w:right="12" w:firstLine="19"/>
              <w:rPr>
                <w:rFonts w:ascii="Calibri" w:hAnsi="Calibri" w:cs="Calibri"/>
                <w:sz w:val="22"/>
              </w:rPr>
            </w:pPr>
            <w:r w:rsidRPr="009946D8">
              <w:rPr>
                <w:rFonts w:ascii="Calibri" w:hAnsi="Calibri" w:cs="Calibri"/>
                <w:sz w:val="22"/>
              </w:rPr>
              <w:t xml:space="preserve">Quite a bit of infrastructure has changed since the last update. Email is now checked by a cloud based system managed by Sophos and we ensure that any external email is highlighted by banner alerting that it is from an external source. </w:t>
            </w:r>
            <w:proofErr w:type="spellStart"/>
            <w:r w:rsidRPr="009946D8">
              <w:rPr>
                <w:rFonts w:ascii="Calibri" w:hAnsi="Calibri" w:cs="Calibri"/>
                <w:sz w:val="22"/>
              </w:rPr>
              <w:t>Zfilter</w:t>
            </w:r>
            <w:proofErr w:type="spellEnd"/>
            <w:r w:rsidRPr="009946D8">
              <w:rPr>
                <w:rFonts w:ascii="Calibri" w:hAnsi="Calibri" w:cs="Calibri"/>
                <w:sz w:val="22"/>
              </w:rPr>
              <w:t xml:space="preserve"> continues to give us a huge amount of data on user behaviour. We have implemented a SIEM and are starting to pull through system logs so we can see the current state of the infrastructure.</w:t>
            </w:r>
          </w:p>
        </w:tc>
      </w:tr>
      <w:tr w:rsidR="00436F2C" w:rsidRPr="00C13090" w14:paraId="0E1C150C" w14:textId="77777777" w:rsidTr="00436F2C">
        <w:trPr>
          <w:trHeight w:val="1857"/>
        </w:trPr>
        <w:tc>
          <w:tcPr>
            <w:tcW w:w="2494" w:type="dxa"/>
            <w:shd w:val="clear" w:color="auto" w:fill="auto"/>
          </w:tcPr>
          <w:p w14:paraId="5C0B923A" w14:textId="5BB056C3" w:rsidR="00436F2C" w:rsidRPr="009946D8" w:rsidRDefault="00436F2C" w:rsidP="00436F2C">
            <w:pPr>
              <w:pStyle w:val="ListParagraph"/>
              <w:ind w:left="-19" w:right="12" w:firstLine="19"/>
              <w:rPr>
                <w:rFonts w:ascii="Calibri" w:hAnsi="Calibri" w:cs="Calibri"/>
                <w:sz w:val="22"/>
              </w:rPr>
            </w:pPr>
            <w:r w:rsidRPr="009946D8">
              <w:rPr>
                <w:sz w:val="22"/>
              </w:rPr>
              <w:t>253 - Peatland restoration target and budget.</w:t>
            </w:r>
          </w:p>
        </w:tc>
        <w:tc>
          <w:tcPr>
            <w:tcW w:w="3035" w:type="dxa"/>
            <w:shd w:val="clear" w:color="auto" w:fill="auto"/>
          </w:tcPr>
          <w:p w14:paraId="42F5AD30" w14:textId="16FD521B" w:rsidR="00436F2C" w:rsidRPr="009946D8" w:rsidRDefault="00436F2C" w:rsidP="00436F2C">
            <w:pPr>
              <w:pStyle w:val="ListParagraph"/>
              <w:ind w:left="-19" w:right="12" w:firstLine="19"/>
              <w:rPr>
                <w:rFonts w:ascii="Calibri" w:hAnsi="Calibri" w:cs="Calibri"/>
                <w:sz w:val="22"/>
              </w:rPr>
            </w:pPr>
            <w:r w:rsidRPr="009946D8">
              <w:rPr>
                <w:sz w:val="22"/>
              </w:rPr>
              <w:t>As a result of the immature and complex operating environment, there is a risk to: meeting the annual Peatland ACTION restoration hectare target; and spending the annual budget.</w:t>
            </w:r>
          </w:p>
        </w:tc>
        <w:tc>
          <w:tcPr>
            <w:tcW w:w="5811" w:type="dxa"/>
            <w:shd w:val="clear" w:color="auto" w:fill="auto"/>
          </w:tcPr>
          <w:p w14:paraId="0F43926E" w14:textId="77777777" w:rsidR="00436F2C" w:rsidRPr="009946D8" w:rsidRDefault="00436F2C" w:rsidP="00436F2C">
            <w:pPr>
              <w:rPr>
                <w:sz w:val="22"/>
              </w:rPr>
            </w:pPr>
            <w:r>
              <w:rPr>
                <w:sz w:val="22"/>
              </w:rPr>
              <w:t xml:space="preserve">• </w:t>
            </w:r>
            <w:r w:rsidRPr="009946D8">
              <w:rPr>
                <w:sz w:val="22"/>
              </w:rPr>
              <w:t>Realistic planning</w:t>
            </w:r>
          </w:p>
          <w:p w14:paraId="2E55376A" w14:textId="77777777" w:rsidR="00436F2C" w:rsidRPr="009946D8" w:rsidRDefault="00436F2C" w:rsidP="00436F2C">
            <w:pPr>
              <w:rPr>
                <w:sz w:val="22"/>
              </w:rPr>
            </w:pPr>
            <w:r>
              <w:rPr>
                <w:sz w:val="22"/>
              </w:rPr>
              <w:t xml:space="preserve">• </w:t>
            </w:r>
            <w:r w:rsidRPr="009946D8">
              <w:rPr>
                <w:sz w:val="22"/>
              </w:rPr>
              <w:t>Invigorating demand</w:t>
            </w:r>
          </w:p>
          <w:p w14:paraId="163BB2DB" w14:textId="77777777" w:rsidR="00436F2C" w:rsidRPr="009946D8" w:rsidRDefault="00436F2C" w:rsidP="00436F2C">
            <w:pPr>
              <w:rPr>
                <w:sz w:val="22"/>
              </w:rPr>
            </w:pPr>
            <w:r>
              <w:rPr>
                <w:sz w:val="22"/>
              </w:rPr>
              <w:t xml:space="preserve">• </w:t>
            </w:r>
            <w:r w:rsidRPr="009946D8">
              <w:rPr>
                <w:sz w:val="22"/>
              </w:rPr>
              <w:t>Real-time monitoring</w:t>
            </w:r>
          </w:p>
          <w:p w14:paraId="0B492AC4" w14:textId="77777777" w:rsidR="00436F2C" w:rsidRPr="009946D8" w:rsidRDefault="00436F2C" w:rsidP="00436F2C">
            <w:pPr>
              <w:rPr>
                <w:sz w:val="22"/>
              </w:rPr>
            </w:pPr>
            <w:r>
              <w:rPr>
                <w:sz w:val="22"/>
              </w:rPr>
              <w:t xml:space="preserve">• </w:t>
            </w:r>
            <w:r w:rsidRPr="009946D8">
              <w:rPr>
                <w:sz w:val="22"/>
              </w:rPr>
              <w:t>Increasing resilience to change in projections</w:t>
            </w:r>
          </w:p>
          <w:p w14:paraId="10FA6551" w14:textId="77777777" w:rsidR="00436F2C" w:rsidRPr="009946D8" w:rsidRDefault="00436F2C" w:rsidP="00436F2C">
            <w:pPr>
              <w:rPr>
                <w:sz w:val="22"/>
              </w:rPr>
            </w:pPr>
            <w:r>
              <w:rPr>
                <w:sz w:val="22"/>
              </w:rPr>
              <w:t xml:space="preserve">• </w:t>
            </w:r>
            <w:r w:rsidRPr="009946D8">
              <w:rPr>
                <w:sz w:val="22"/>
              </w:rPr>
              <w:t>Regular and robust review and control</w:t>
            </w:r>
          </w:p>
          <w:p w14:paraId="6601D66A" w14:textId="710D8C2B" w:rsidR="00436F2C" w:rsidRPr="009946D8" w:rsidRDefault="00436F2C" w:rsidP="00436F2C">
            <w:pPr>
              <w:pStyle w:val="ListParagraph"/>
              <w:ind w:left="-19" w:right="12" w:firstLine="19"/>
              <w:rPr>
                <w:rFonts w:ascii="Calibri" w:hAnsi="Calibri" w:cs="Calibri"/>
                <w:sz w:val="22"/>
              </w:rPr>
            </w:pPr>
            <w:r>
              <w:rPr>
                <w:sz w:val="22"/>
              </w:rPr>
              <w:t xml:space="preserve">• </w:t>
            </w:r>
            <w:r w:rsidRPr="009946D8">
              <w:rPr>
                <w:sz w:val="22"/>
              </w:rPr>
              <w:t>New Guidance on operating during nesting season being update to allow risk based approach to</w:t>
            </w:r>
            <w:r>
              <w:rPr>
                <w:sz w:val="22"/>
              </w:rPr>
              <w:t xml:space="preserve"> operations during that period.</w:t>
            </w:r>
          </w:p>
        </w:tc>
        <w:tc>
          <w:tcPr>
            <w:tcW w:w="1134" w:type="dxa"/>
            <w:shd w:val="clear" w:color="auto" w:fill="auto"/>
          </w:tcPr>
          <w:p w14:paraId="6F8B8163" w14:textId="2FC75338" w:rsidR="00436F2C" w:rsidRPr="009946D8" w:rsidRDefault="00436F2C" w:rsidP="00436F2C">
            <w:pPr>
              <w:pStyle w:val="ListParagraph"/>
              <w:ind w:left="-19" w:right="12" w:firstLine="19"/>
              <w:rPr>
                <w:rFonts w:ascii="Calibri" w:hAnsi="Calibri" w:cs="Calibri"/>
                <w:sz w:val="22"/>
              </w:rPr>
            </w:pPr>
            <w:r>
              <w:rPr>
                <w:sz w:val="22"/>
              </w:rPr>
              <w:t>4</w:t>
            </w:r>
          </w:p>
        </w:tc>
        <w:tc>
          <w:tcPr>
            <w:tcW w:w="851" w:type="dxa"/>
            <w:shd w:val="clear" w:color="auto" w:fill="auto"/>
          </w:tcPr>
          <w:p w14:paraId="55EFADD9" w14:textId="0CD06017" w:rsidR="00436F2C" w:rsidRPr="009946D8" w:rsidRDefault="00436F2C" w:rsidP="00436F2C">
            <w:pPr>
              <w:pStyle w:val="ListParagraph"/>
              <w:ind w:left="-19" w:right="12" w:firstLine="19"/>
              <w:rPr>
                <w:rFonts w:ascii="Calibri" w:hAnsi="Calibri" w:cs="Calibri"/>
                <w:sz w:val="22"/>
              </w:rPr>
            </w:pPr>
            <w:r>
              <w:rPr>
                <w:sz w:val="22"/>
              </w:rPr>
              <w:t>4</w:t>
            </w:r>
          </w:p>
        </w:tc>
        <w:tc>
          <w:tcPr>
            <w:tcW w:w="992" w:type="dxa"/>
            <w:shd w:val="clear" w:color="auto" w:fill="auto"/>
          </w:tcPr>
          <w:p w14:paraId="66ED3379" w14:textId="3103168B" w:rsidR="00436F2C" w:rsidRPr="009946D8" w:rsidRDefault="00436F2C" w:rsidP="00436F2C">
            <w:pPr>
              <w:pStyle w:val="ListParagraph"/>
              <w:ind w:left="-19" w:right="12" w:firstLine="19"/>
              <w:rPr>
                <w:rFonts w:ascii="Calibri" w:hAnsi="Calibri" w:cs="Calibri"/>
                <w:sz w:val="22"/>
              </w:rPr>
            </w:pPr>
            <w:r>
              <w:rPr>
                <w:sz w:val="22"/>
              </w:rPr>
              <w:t>High</w:t>
            </w:r>
          </w:p>
        </w:tc>
        <w:tc>
          <w:tcPr>
            <w:tcW w:w="7716" w:type="dxa"/>
            <w:shd w:val="clear" w:color="auto" w:fill="auto"/>
          </w:tcPr>
          <w:p w14:paraId="5E849136" w14:textId="77777777" w:rsidR="00436F2C" w:rsidRDefault="00436F2C" w:rsidP="00436F2C">
            <w:pPr>
              <w:rPr>
                <w:sz w:val="22"/>
              </w:rPr>
            </w:pPr>
            <w:r w:rsidRPr="00EC3882">
              <w:rPr>
                <w:sz w:val="22"/>
              </w:rPr>
              <w:t xml:space="preserve">• Realistic planning, We are still being over ambitious. </w:t>
            </w:r>
          </w:p>
          <w:p w14:paraId="1EC39FBB" w14:textId="77777777" w:rsidR="00436F2C" w:rsidRDefault="00436F2C" w:rsidP="00436F2C">
            <w:pPr>
              <w:rPr>
                <w:sz w:val="22"/>
              </w:rPr>
            </w:pPr>
            <w:r w:rsidRPr="00EC3882">
              <w:rPr>
                <w:sz w:val="22"/>
              </w:rPr>
              <w:t>• Invigorating demand - demand stalled by uncertainty over carbon market and delays in Code validatio</w:t>
            </w:r>
            <w:r>
              <w:rPr>
                <w:sz w:val="22"/>
              </w:rPr>
              <w:t xml:space="preserve">n </w:t>
            </w:r>
          </w:p>
          <w:p w14:paraId="51D39DFA" w14:textId="77777777" w:rsidR="00436F2C" w:rsidRDefault="00436F2C" w:rsidP="00436F2C">
            <w:pPr>
              <w:rPr>
                <w:sz w:val="22"/>
              </w:rPr>
            </w:pPr>
            <w:r>
              <w:rPr>
                <w:sz w:val="22"/>
              </w:rPr>
              <w:t xml:space="preserve">• Real-time monitoring – </w:t>
            </w:r>
            <w:proofErr w:type="gramStart"/>
            <w:r>
              <w:rPr>
                <w:sz w:val="22"/>
              </w:rPr>
              <w:t>good</w:t>
            </w:r>
            <w:proofErr w:type="gramEnd"/>
            <w:r>
              <w:rPr>
                <w:sz w:val="22"/>
              </w:rPr>
              <w:t>.</w:t>
            </w:r>
            <w:r w:rsidRPr="00EC3882">
              <w:rPr>
                <w:sz w:val="22"/>
              </w:rPr>
              <w:t xml:space="preserve"> Monitoring allowed for return of £2.5m </w:t>
            </w:r>
          </w:p>
          <w:p w14:paraId="3E605FE1" w14:textId="77777777" w:rsidR="00436F2C" w:rsidRDefault="00436F2C" w:rsidP="00436F2C">
            <w:pPr>
              <w:rPr>
                <w:sz w:val="22"/>
              </w:rPr>
            </w:pPr>
            <w:r w:rsidRPr="00EC3882">
              <w:rPr>
                <w:sz w:val="22"/>
              </w:rPr>
              <w:t>• Increasing resilience to change in projections - resilience still poor. Our pipeline is not sufficient to cope with slippage.</w:t>
            </w:r>
          </w:p>
          <w:p w14:paraId="124B0F56" w14:textId="77777777" w:rsidR="00436F2C" w:rsidRDefault="00436F2C" w:rsidP="00436F2C">
            <w:pPr>
              <w:rPr>
                <w:sz w:val="22"/>
              </w:rPr>
            </w:pPr>
            <w:r w:rsidRPr="00EC3882">
              <w:rPr>
                <w:sz w:val="22"/>
              </w:rPr>
              <w:t xml:space="preserve">• Regular and robust review and control - monthly reports identifying slippage </w:t>
            </w:r>
          </w:p>
          <w:p w14:paraId="34DC9A66" w14:textId="64980C7D" w:rsidR="00436F2C" w:rsidRPr="009946D8" w:rsidRDefault="00436F2C" w:rsidP="00436F2C">
            <w:pPr>
              <w:pStyle w:val="ListParagraph"/>
              <w:ind w:left="-19" w:right="12" w:firstLine="19"/>
              <w:rPr>
                <w:rFonts w:ascii="Calibri" w:hAnsi="Calibri" w:cs="Calibri"/>
                <w:sz w:val="22"/>
              </w:rPr>
            </w:pPr>
            <w:r w:rsidRPr="00EC3882">
              <w:rPr>
                <w:sz w:val="22"/>
              </w:rPr>
              <w:t>• New Guidance on operating during nesting season being update to allow risk based approach to operations during that period. - Guidance published, but requires contractors/land owners to get used to operating in the BBS</w:t>
            </w:r>
          </w:p>
        </w:tc>
      </w:tr>
      <w:tr w:rsidR="00436F2C" w:rsidRPr="00C13090" w14:paraId="396201E7" w14:textId="77777777" w:rsidTr="00436F2C">
        <w:trPr>
          <w:trHeight w:val="1857"/>
        </w:trPr>
        <w:tc>
          <w:tcPr>
            <w:tcW w:w="2494" w:type="dxa"/>
            <w:shd w:val="clear" w:color="auto" w:fill="auto"/>
          </w:tcPr>
          <w:p w14:paraId="2847177B" w14:textId="344A4C9A" w:rsidR="00436F2C" w:rsidRPr="009946D8" w:rsidRDefault="00436F2C" w:rsidP="00436F2C">
            <w:pPr>
              <w:pStyle w:val="ListParagraph"/>
              <w:ind w:left="-19" w:right="12" w:firstLine="19"/>
              <w:rPr>
                <w:sz w:val="22"/>
              </w:rPr>
            </w:pPr>
            <w:r w:rsidRPr="00EC3882">
              <w:rPr>
                <w:sz w:val="22"/>
              </w:rPr>
              <w:t>393 - Future Funding of NatureScot</w:t>
            </w:r>
          </w:p>
        </w:tc>
        <w:tc>
          <w:tcPr>
            <w:tcW w:w="3035" w:type="dxa"/>
            <w:shd w:val="clear" w:color="auto" w:fill="auto"/>
          </w:tcPr>
          <w:p w14:paraId="4A5C94C3" w14:textId="216973D5" w:rsidR="00436F2C" w:rsidRPr="009946D8" w:rsidRDefault="00436F2C" w:rsidP="00436F2C">
            <w:pPr>
              <w:pStyle w:val="ListParagraph"/>
              <w:ind w:left="-19" w:right="12" w:firstLine="19"/>
              <w:rPr>
                <w:sz w:val="22"/>
              </w:rPr>
            </w:pPr>
            <w:r>
              <w:rPr>
                <w:rFonts w:ascii="Calibri" w:hAnsi="Calibri" w:cs="Calibri"/>
                <w:bCs/>
                <w:sz w:val="22"/>
              </w:rPr>
              <w:t xml:space="preserve">As a result of on-going </w:t>
            </w:r>
            <w:r w:rsidRPr="00EC3882">
              <w:rPr>
                <w:rFonts w:ascii="Calibri" w:hAnsi="Calibri" w:cs="Calibri"/>
                <w:bCs/>
                <w:sz w:val="22"/>
              </w:rPr>
              <w:t>reductions in public exp</w:t>
            </w:r>
            <w:r>
              <w:rPr>
                <w:rFonts w:ascii="Calibri" w:hAnsi="Calibri" w:cs="Calibri"/>
                <w:bCs/>
                <w:sz w:val="22"/>
              </w:rPr>
              <w:t xml:space="preserve">enditure or new cost pressures </w:t>
            </w:r>
            <w:r w:rsidRPr="00EC3882">
              <w:rPr>
                <w:rFonts w:ascii="Calibri" w:hAnsi="Calibri" w:cs="Calibri"/>
                <w:bCs/>
                <w:sz w:val="22"/>
              </w:rPr>
              <w:t>there is a risk our grant-in-aid settlement may not match statutory and fixed costs as well as corporate plan priorities.  Unless other funding sources are secured this could result in an inability to adequately resource delivery of agreed priorities, leading to failed ou</w:t>
            </w:r>
            <w:r>
              <w:rPr>
                <w:rFonts w:ascii="Calibri" w:hAnsi="Calibri" w:cs="Calibri"/>
                <w:bCs/>
                <w:sz w:val="22"/>
              </w:rPr>
              <w:t>tcomes and reputational damage.</w:t>
            </w:r>
          </w:p>
        </w:tc>
        <w:tc>
          <w:tcPr>
            <w:tcW w:w="5811" w:type="dxa"/>
            <w:shd w:val="clear" w:color="auto" w:fill="auto"/>
          </w:tcPr>
          <w:p w14:paraId="658D7B95"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t>* Ensure that our priorities are aligned with published Programmes for Government and ministerial portfolio priorities, specifically those aligned to the Programme for Government and Bute House Agreement</w:t>
            </w:r>
          </w:p>
          <w:p w14:paraId="7FCAEEB9"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t>* Provide realistic and evidenced assessment of the impact of possible cuts in our grant-in-aid budget through the annual Spending Review process.</w:t>
            </w:r>
          </w:p>
          <w:p w14:paraId="2735291E"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t xml:space="preserve">* Develop and put forward proposals, through the annual Spending Review process and other avenues with Scottish Government, for delivering more and better outcomes for nature and people through wider Scottish Government funding. </w:t>
            </w:r>
          </w:p>
          <w:p w14:paraId="3D772BC1"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t>*</w:t>
            </w:r>
            <w:r>
              <w:rPr>
                <w:rFonts w:ascii="Calibri" w:hAnsi="Calibri" w:cs="Calibri"/>
                <w:bCs/>
                <w:sz w:val="22"/>
              </w:rPr>
              <w:t xml:space="preserve"> </w:t>
            </w:r>
            <w:r w:rsidRPr="00EC3882">
              <w:rPr>
                <w:rFonts w:ascii="Calibri" w:hAnsi="Calibri" w:cs="Calibri"/>
                <w:bCs/>
                <w:sz w:val="22"/>
              </w:rPr>
              <w:t>Reduce expenditure in some business areas through budget setting processes aligned to business planning cycle.</w:t>
            </w:r>
          </w:p>
          <w:p w14:paraId="1FD66C5F"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t>* Identify efficiencies and savings in our current spending and ways of working to maximise the resources available for front line delivery.</w:t>
            </w:r>
          </w:p>
          <w:p w14:paraId="00084983"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t>* Have an effective communications strategy in place which promotes the added value of our work.</w:t>
            </w:r>
          </w:p>
          <w:p w14:paraId="58F8E7A0"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t>* Identify and implement opportunities to generate income from the services we provide.</w:t>
            </w:r>
          </w:p>
          <w:p w14:paraId="5FDAD870"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lastRenderedPageBreak/>
              <w:t>* Identify and implement opportunities for external funding of NatureScot-led work through the business planning process (including at Outcome and Activity levels) and at the project development stage for significant scale projects.</w:t>
            </w:r>
          </w:p>
          <w:p w14:paraId="69AE3D11" w14:textId="77777777" w:rsidR="00436F2C" w:rsidRPr="00EC3882" w:rsidRDefault="00436F2C" w:rsidP="00436F2C">
            <w:pPr>
              <w:pStyle w:val="ListParagraph"/>
              <w:ind w:left="0"/>
              <w:rPr>
                <w:rFonts w:ascii="Calibri" w:hAnsi="Calibri" w:cs="Calibri"/>
                <w:bCs/>
                <w:sz w:val="22"/>
              </w:rPr>
            </w:pPr>
            <w:r w:rsidRPr="00EC3882">
              <w:rPr>
                <w:rFonts w:ascii="Calibri" w:hAnsi="Calibri" w:cs="Calibri"/>
                <w:bCs/>
                <w:sz w:val="22"/>
              </w:rPr>
              <w:t>* Develop proposals for new, preventative projects that can help deliver a wider set of SG priorities, and build awareness and support of these.</w:t>
            </w:r>
          </w:p>
          <w:p w14:paraId="5CC3D6D4" w14:textId="5C69A318" w:rsidR="00436F2C" w:rsidRDefault="00436F2C" w:rsidP="00436F2C">
            <w:pPr>
              <w:rPr>
                <w:sz w:val="22"/>
              </w:rPr>
            </w:pPr>
            <w:r w:rsidRPr="00EC3882">
              <w:rPr>
                <w:rFonts w:ascii="Calibri" w:hAnsi="Calibri" w:cs="Calibri"/>
                <w:bCs/>
                <w:sz w:val="22"/>
              </w:rPr>
              <w:t>* Develop and refresh a short, medium and longer term financial plan based on</w:t>
            </w:r>
            <w:r>
              <w:rPr>
                <w:rFonts w:ascii="Calibri" w:hAnsi="Calibri" w:cs="Calibri"/>
                <w:bCs/>
                <w:sz w:val="22"/>
              </w:rPr>
              <w:t xml:space="preserve"> potential financial scenarios.</w:t>
            </w:r>
          </w:p>
        </w:tc>
        <w:tc>
          <w:tcPr>
            <w:tcW w:w="1134" w:type="dxa"/>
            <w:shd w:val="clear" w:color="auto" w:fill="auto"/>
          </w:tcPr>
          <w:p w14:paraId="6015629F" w14:textId="5BA2BB77" w:rsidR="00436F2C" w:rsidRDefault="00436F2C" w:rsidP="00436F2C">
            <w:pPr>
              <w:pStyle w:val="ListParagraph"/>
              <w:ind w:left="-19" w:right="12" w:firstLine="19"/>
              <w:rPr>
                <w:sz w:val="22"/>
              </w:rPr>
            </w:pPr>
            <w:r>
              <w:rPr>
                <w:rFonts w:ascii="Calibri" w:hAnsi="Calibri" w:cs="Calibri"/>
                <w:bCs/>
                <w:sz w:val="22"/>
              </w:rPr>
              <w:lastRenderedPageBreak/>
              <w:t>4</w:t>
            </w:r>
          </w:p>
        </w:tc>
        <w:tc>
          <w:tcPr>
            <w:tcW w:w="851" w:type="dxa"/>
            <w:shd w:val="clear" w:color="auto" w:fill="auto"/>
          </w:tcPr>
          <w:p w14:paraId="2F756546" w14:textId="0CFEA5B7" w:rsidR="00436F2C" w:rsidRDefault="00436F2C" w:rsidP="00436F2C">
            <w:pPr>
              <w:pStyle w:val="ListParagraph"/>
              <w:ind w:left="-19" w:right="12" w:firstLine="19"/>
              <w:rPr>
                <w:sz w:val="22"/>
              </w:rPr>
            </w:pPr>
            <w:r>
              <w:rPr>
                <w:rFonts w:ascii="Calibri" w:hAnsi="Calibri" w:cs="Calibri"/>
                <w:bCs/>
                <w:sz w:val="22"/>
              </w:rPr>
              <w:t>3</w:t>
            </w:r>
          </w:p>
        </w:tc>
        <w:tc>
          <w:tcPr>
            <w:tcW w:w="992" w:type="dxa"/>
            <w:shd w:val="clear" w:color="auto" w:fill="auto"/>
          </w:tcPr>
          <w:p w14:paraId="45BAFD67" w14:textId="20281D06" w:rsidR="00436F2C" w:rsidRDefault="00436F2C" w:rsidP="00436F2C">
            <w:pPr>
              <w:pStyle w:val="ListParagraph"/>
              <w:ind w:left="-19" w:right="12" w:firstLine="19"/>
              <w:rPr>
                <w:sz w:val="22"/>
              </w:rPr>
            </w:pPr>
            <w:r>
              <w:rPr>
                <w:rFonts w:ascii="Calibri" w:hAnsi="Calibri" w:cs="Calibri"/>
                <w:bCs/>
                <w:sz w:val="22"/>
              </w:rPr>
              <w:t>High</w:t>
            </w:r>
          </w:p>
        </w:tc>
        <w:tc>
          <w:tcPr>
            <w:tcW w:w="7716" w:type="dxa"/>
            <w:shd w:val="clear" w:color="auto" w:fill="auto"/>
          </w:tcPr>
          <w:p w14:paraId="3198437E" w14:textId="3597C1BC" w:rsidR="00436F2C" w:rsidRPr="00EC3882" w:rsidRDefault="00436F2C" w:rsidP="00436F2C">
            <w:pPr>
              <w:rPr>
                <w:sz w:val="22"/>
              </w:rPr>
            </w:pPr>
            <w:r w:rsidRPr="00EC3882">
              <w:rPr>
                <w:rFonts w:ascii="Calibri" w:hAnsi="Calibri" w:cs="Calibri"/>
                <w:bCs/>
                <w:sz w:val="22"/>
              </w:rPr>
              <w:t>Work ongoing preparing resourcing plans to support our Business Plan for the coming year. Impacts have been shared with Scottish Government in advance of Board approving the business plan mid-March. No change to scores.</w:t>
            </w:r>
          </w:p>
        </w:tc>
      </w:tr>
      <w:tr w:rsidR="00436F2C" w:rsidRPr="00C13090" w14:paraId="03ECE803" w14:textId="77777777" w:rsidTr="00436F2C">
        <w:trPr>
          <w:trHeight w:val="1857"/>
        </w:trPr>
        <w:tc>
          <w:tcPr>
            <w:tcW w:w="2494" w:type="dxa"/>
            <w:shd w:val="clear" w:color="auto" w:fill="auto"/>
          </w:tcPr>
          <w:p w14:paraId="7F1BB811" w14:textId="50AE5F65" w:rsidR="00436F2C" w:rsidRPr="00EC3882" w:rsidRDefault="00436F2C" w:rsidP="00436F2C">
            <w:pPr>
              <w:pStyle w:val="ListParagraph"/>
              <w:ind w:left="-19" w:right="12" w:firstLine="19"/>
              <w:rPr>
                <w:sz w:val="22"/>
              </w:rPr>
            </w:pPr>
            <w:r>
              <w:rPr>
                <w:sz w:val="22"/>
              </w:rPr>
              <w:t>691 - Lack of support for Fusion</w:t>
            </w:r>
          </w:p>
        </w:tc>
        <w:tc>
          <w:tcPr>
            <w:tcW w:w="3035" w:type="dxa"/>
            <w:shd w:val="clear" w:color="auto" w:fill="auto"/>
          </w:tcPr>
          <w:p w14:paraId="65716414" w14:textId="041E284F" w:rsidR="00436F2C" w:rsidRPr="00EC3882" w:rsidRDefault="00436F2C" w:rsidP="00436F2C">
            <w:pPr>
              <w:pStyle w:val="ListParagraph"/>
              <w:ind w:left="-19" w:right="12" w:firstLine="19"/>
              <w:rPr>
                <w:rFonts w:ascii="Calibri" w:hAnsi="Calibri" w:cs="Calibri"/>
                <w:bCs/>
                <w:sz w:val="22"/>
              </w:rPr>
            </w:pPr>
            <w:r w:rsidRPr="00257C14">
              <w:rPr>
                <w:rFonts w:ascii="Calibri" w:hAnsi="Calibri" w:cs="Calibri"/>
                <w:bCs/>
                <w:sz w:val="22"/>
              </w:rPr>
              <w:t>Due to the specialised nature of Oracle Fusion and the interface with NatureScot’s Business Planning System, as a result of key system support staff leaving the organisation, there is a risk that there will be insufficient knowledge and ability to operate key processes or to develop the system and reports.  This may result in an inability to adapt the system to changing business needs, reporting delays or to operational inefficiencies and payment challenges that could affect all users of the system.</w:t>
            </w:r>
          </w:p>
        </w:tc>
        <w:tc>
          <w:tcPr>
            <w:tcW w:w="5811" w:type="dxa"/>
            <w:shd w:val="clear" w:color="auto" w:fill="auto"/>
          </w:tcPr>
          <w:p w14:paraId="13FD109B" w14:textId="77777777" w:rsidR="00436F2C" w:rsidRPr="00257C14" w:rsidRDefault="00436F2C" w:rsidP="003E7B62">
            <w:pPr>
              <w:pStyle w:val="ListParagraph"/>
              <w:numPr>
                <w:ilvl w:val="0"/>
                <w:numId w:val="19"/>
              </w:numPr>
              <w:ind w:left="179" w:hanging="179"/>
              <w:rPr>
                <w:rFonts w:ascii="Calibri" w:hAnsi="Calibri" w:cs="Calibri"/>
                <w:bCs/>
                <w:sz w:val="22"/>
              </w:rPr>
            </w:pPr>
            <w:r w:rsidRPr="00257C14">
              <w:rPr>
                <w:rFonts w:ascii="Calibri" w:hAnsi="Calibri" w:cs="Calibri"/>
                <w:bCs/>
                <w:sz w:val="22"/>
              </w:rPr>
              <w:t>Engage in a shared service arrangement with other organisations using Fusion e.g. HES, SLAB</w:t>
            </w:r>
          </w:p>
          <w:p w14:paraId="6E72BCBC" w14:textId="77777777" w:rsidR="00436F2C" w:rsidRPr="00257C14" w:rsidRDefault="00436F2C" w:rsidP="003E7B62">
            <w:pPr>
              <w:pStyle w:val="ListParagraph"/>
              <w:numPr>
                <w:ilvl w:val="0"/>
                <w:numId w:val="19"/>
              </w:numPr>
              <w:ind w:left="179" w:hanging="179"/>
              <w:rPr>
                <w:rFonts w:ascii="Calibri" w:hAnsi="Calibri" w:cs="Calibri"/>
                <w:bCs/>
                <w:sz w:val="22"/>
              </w:rPr>
            </w:pPr>
            <w:r w:rsidRPr="00257C14">
              <w:rPr>
                <w:rFonts w:ascii="Calibri" w:hAnsi="Calibri" w:cs="Calibri"/>
                <w:bCs/>
                <w:sz w:val="22"/>
              </w:rPr>
              <w:t>Make use of the support arrangement from Inoapps currently utilised by POD.  There may not be sufficient knowledge from Inoapps to initially support some finance and procurement processes.</w:t>
            </w:r>
          </w:p>
          <w:p w14:paraId="42BF5B81" w14:textId="77777777" w:rsidR="00436F2C" w:rsidRDefault="00436F2C" w:rsidP="003E7B62">
            <w:pPr>
              <w:pStyle w:val="ListParagraph"/>
              <w:numPr>
                <w:ilvl w:val="0"/>
                <w:numId w:val="19"/>
              </w:numPr>
              <w:ind w:left="179" w:hanging="179"/>
              <w:rPr>
                <w:rFonts w:ascii="Calibri" w:hAnsi="Calibri" w:cs="Calibri"/>
                <w:bCs/>
                <w:sz w:val="22"/>
              </w:rPr>
            </w:pPr>
            <w:r w:rsidRPr="00257C14">
              <w:rPr>
                <w:rFonts w:ascii="Calibri" w:hAnsi="Calibri" w:cs="Calibri"/>
                <w:bCs/>
                <w:sz w:val="22"/>
              </w:rPr>
              <w:t>Explore potential for a third party to provide level 2 support to assist that provided by NatureScot staff.</w:t>
            </w:r>
          </w:p>
          <w:p w14:paraId="42262A39" w14:textId="77777777" w:rsidR="00436F2C" w:rsidRPr="00257C14" w:rsidRDefault="00436F2C" w:rsidP="003E7B62">
            <w:pPr>
              <w:pStyle w:val="ListParagraph"/>
              <w:numPr>
                <w:ilvl w:val="0"/>
                <w:numId w:val="19"/>
              </w:numPr>
              <w:ind w:left="179" w:hanging="179"/>
              <w:rPr>
                <w:rFonts w:ascii="Calibri" w:hAnsi="Calibri" w:cs="Calibri"/>
                <w:bCs/>
                <w:sz w:val="22"/>
              </w:rPr>
            </w:pPr>
            <w:r w:rsidRPr="00257C14">
              <w:rPr>
                <w:rFonts w:ascii="Calibri" w:hAnsi="Calibri" w:cs="Calibri"/>
                <w:bCs/>
                <w:sz w:val="22"/>
              </w:rPr>
              <w:t>Recruit to the two vacant functional analyst positions.</w:t>
            </w:r>
          </w:p>
          <w:p w14:paraId="4D2E95B0" w14:textId="77777777" w:rsidR="00436F2C" w:rsidRPr="00257C14" w:rsidRDefault="00436F2C" w:rsidP="003E7B62">
            <w:pPr>
              <w:pStyle w:val="ListParagraph"/>
              <w:numPr>
                <w:ilvl w:val="0"/>
                <w:numId w:val="19"/>
              </w:numPr>
              <w:ind w:left="179" w:hanging="179"/>
              <w:rPr>
                <w:rFonts w:ascii="Calibri" w:hAnsi="Calibri" w:cs="Calibri"/>
                <w:bCs/>
                <w:sz w:val="22"/>
              </w:rPr>
            </w:pPr>
            <w:r w:rsidRPr="00257C14">
              <w:rPr>
                <w:rFonts w:ascii="Calibri" w:hAnsi="Calibri" w:cs="Calibri"/>
                <w:bCs/>
                <w:sz w:val="22"/>
              </w:rPr>
              <w:t xml:space="preserve">Recruit to the vacant Oracle Cloud Service Manager position </w:t>
            </w:r>
          </w:p>
          <w:p w14:paraId="0F3157A2" w14:textId="3247120A" w:rsidR="00436F2C" w:rsidRDefault="00436F2C" w:rsidP="003E7B62">
            <w:pPr>
              <w:pStyle w:val="ListParagraph"/>
              <w:numPr>
                <w:ilvl w:val="0"/>
                <w:numId w:val="19"/>
              </w:numPr>
              <w:ind w:left="179" w:hanging="179"/>
              <w:rPr>
                <w:rFonts w:ascii="Calibri" w:hAnsi="Calibri" w:cs="Calibri"/>
                <w:bCs/>
                <w:sz w:val="22"/>
              </w:rPr>
            </w:pPr>
            <w:r w:rsidRPr="00257C14">
              <w:rPr>
                <w:rFonts w:ascii="Calibri" w:hAnsi="Calibri" w:cs="Calibri"/>
                <w:bCs/>
                <w:sz w:val="22"/>
              </w:rPr>
              <w:t>Draw on finance staff with an awareness of Fusion and the interface with Business Planning as well as the functional analysts who support the POD elements of Fusion, in order to support the finance elements of Fusion.  It should be noted that this will not provide all of the specialist knowledge required.</w:t>
            </w:r>
          </w:p>
          <w:p w14:paraId="4A192F81" w14:textId="344C707B" w:rsidR="00436F2C" w:rsidRPr="00436F2C" w:rsidRDefault="00436F2C" w:rsidP="003E7B62">
            <w:pPr>
              <w:pStyle w:val="ListParagraph"/>
              <w:numPr>
                <w:ilvl w:val="0"/>
                <w:numId w:val="19"/>
              </w:numPr>
              <w:ind w:left="179" w:hanging="179"/>
              <w:rPr>
                <w:rFonts w:ascii="Calibri" w:hAnsi="Calibri" w:cs="Calibri"/>
                <w:bCs/>
                <w:sz w:val="22"/>
              </w:rPr>
            </w:pPr>
            <w:r>
              <w:rPr>
                <w:rFonts w:ascii="Calibri" w:hAnsi="Calibri" w:cs="Calibri"/>
                <w:bCs/>
                <w:sz w:val="22"/>
              </w:rPr>
              <w:t>I</w:t>
            </w:r>
            <w:r w:rsidRPr="00436F2C">
              <w:rPr>
                <w:rFonts w:ascii="Calibri" w:hAnsi="Calibri" w:cs="Calibri"/>
                <w:bCs/>
                <w:sz w:val="22"/>
              </w:rPr>
              <w:t xml:space="preserve">mplement a networked team approach to involve staff from a wider group to share knowledge and provide resilience in future.  </w:t>
            </w:r>
          </w:p>
        </w:tc>
        <w:tc>
          <w:tcPr>
            <w:tcW w:w="1134" w:type="dxa"/>
            <w:shd w:val="clear" w:color="auto" w:fill="auto"/>
          </w:tcPr>
          <w:p w14:paraId="43403258" w14:textId="39855EB6" w:rsidR="00436F2C" w:rsidRDefault="00436F2C" w:rsidP="00436F2C">
            <w:pPr>
              <w:pStyle w:val="ListParagraph"/>
              <w:ind w:left="-19" w:right="12" w:firstLine="19"/>
              <w:rPr>
                <w:rFonts w:ascii="Calibri" w:hAnsi="Calibri" w:cs="Calibri"/>
                <w:bCs/>
                <w:sz w:val="22"/>
              </w:rPr>
            </w:pPr>
            <w:r>
              <w:rPr>
                <w:rFonts w:ascii="Calibri" w:hAnsi="Calibri" w:cs="Calibri"/>
                <w:bCs/>
                <w:sz w:val="22"/>
              </w:rPr>
              <w:t>4</w:t>
            </w:r>
          </w:p>
        </w:tc>
        <w:tc>
          <w:tcPr>
            <w:tcW w:w="851" w:type="dxa"/>
            <w:shd w:val="clear" w:color="auto" w:fill="auto"/>
          </w:tcPr>
          <w:p w14:paraId="10D82294" w14:textId="4C8F510C" w:rsidR="00436F2C" w:rsidRDefault="00436F2C" w:rsidP="00436F2C">
            <w:pPr>
              <w:pStyle w:val="ListParagraph"/>
              <w:ind w:left="-19" w:right="12" w:firstLine="19"/>
              <w:rPr>
                <w:rFonts w:ascii="Calibri" w:hAnsi="Calibri" w:cs="Calibri"/>
                <w:bCs/>
                <w:sz w:val="22"/>
              </w:rPr>
            </w:pPr>
            <w:r>
              <w:rPr>
                <w:rFonts w:ascii="Calibri" w:hAnsi="Calibri" w:cs="Calibri"/>
                <w:bCs/>
                <w:sz w:val="22"/>
              </w:rPr>
              <w:t>3</w:t>
            </w:r>
          </w:p>
        </w:tc>
        <w:tc>
          <w:tcPr>
            <w:tcW w:w="992" w:type="dxa"/>
            <w:shd w:val="clear" w:color="auto" w:fill="auto"/>
          </w:tcPr>
          <w:p w14:paraId="4EB33B9E" w14:textId="31250689" w:rsidR="00436F2C" w:rsidRDefault="00436F2C" w:rsidP="00436F2C">
            <w:pPr>
              <w:pStyle w:val="ListParagraph"/>
              <w:ind w:left="-19" w:right="12" w:firstLine="19"/>
              <w:rPr>
                <w:rFonts w:ascii="Calibri" w:hAnsi="Calibri" w:cs="Calibri"/>
                <w:bCs/>
                <w:sz w:val="22"/>
              </w:rPr>
            </w:pPr>
            <w:r>
              <w:rPr>
                <w:rFonts w:ascii="Calibri" w:hAnsi="Calibri" w:cs="Calibri"/>
                <w:bCs/>
                <w:sz w:val="22"/>
              </w:rPr>
              <w:t>High</w:t>
            </w:r>
          </w:p>
        </w:tc>
        <w:tc>
          <w:tcPr>
            <w:tcW w:w="7716" w:type="dxa"/>
            <w:shd w:val="clear" w:color="auto" w:fill="auto"/>
          </w:tcPr>
          <w:p w14:paraId="4D02EA8C" w14:textId="7478930D" w:rsidR="00436F2C" w:rsidRPr="00EC3882" w:rsidRDefault="00436F2C" w:rsidP="00436F2C">
            <w:pPr>
              <w:rPr>
                <w:rFonts w:ascii="Calibri" w:hAnsi="Calibri" w:cs="Calibri"/>
                <w:bCs/>
                <w:sz w:val="22"/>
              </w:rPr>
            </w:pPr>
            <w:r w:rsidRPr="00257C14">
              <w:rPr>
                <w:rFonts w:ascii="Calibri" w:hAnsi="Calibri" w:cs="Calibri"/>
                <w:bCs/>
                <w:sz w:val="22"/>
              </w:rPr>
              <w:t>Of the four vacant positions at the start of the year, we have recruited to three of these positions. The two Finance, Planning and Performance support analysts are now in post and another individual has accepted the Oracle Cloud Services Manager position. The Peopl</w:t>
            </w:r>
            <w:r>
              <w:rPr>
                <w:rFonts w:ascii="Calibri" w:hAnsi="Calibri" w:cs="Calibri"/>
                <w:bCs/>
                <w:sz w:val="22"/>
              </w:rPr>
              <w:t>e and</w:t>
            </w:r>
            <w:r w:rsidRPr="00257C14">
              <w:rPr>
                <w:rFonts w:ascii="Calibri" w:hAnsi="Calibri" w:cs="Calibri"/>
                <w:bCs/>
                <w:sz w:val="22"/>
              </w:rPr>
              <w:t xml:space="preserve"> Organisational Development support analyst position is currently being advertised. The development of the current support analyst to take on a wider ranging role developing support arrangements for NatureScot is underway. Work on the procurement tender document for Fusion support is progressing and will include a focus on knowledge transfer to ensure that the skills of NatureScot staff are developed. We have also discussed the potential for shared service arrangements with SG colleagues who are implementing an Oracle solution in April 2024. We are also discussing ways to working together and sharing knowledge with fellow Fusion users. A </w:t>
            </w:r>
            <w:proofErr w:type="spellStart"/>
            <w:r w:rsidRPr="00257C14">
              <w:rPr>
                <w:rFonts w:ascii="Calibri" w:hAnsi="Calibri" w:cs="Calibri"/>
                <w:bCs/>
                <w:sz w:val="22"/>
              </w:rPr>
              <w:t>workstream</w:t>
            </w:r>
            <w:proofErr w:type="spellEnd"/>
            <w:r w:rsidRPr="00257C14">
              <w:rPr>
                <w:rFonts w:ascii="Calibri" w:hAnsi="Calibri" w:cs="Calibri"/>
                <w:bCs/>
                <w:sz w:val="22"/>
              </w:rPr>
              <w:t xml:space="preserve"> with the Oracle User Group that is dedicated to senior responsible officers in a number of organisations is currently being established. It is proposed that this risk is de-escalated from corporate risk status once the Oracle Cloud Services Manager is in post.</w:t>
            </w:r>
          </w:p>
        </w:tc>
      </w:tr>
    </w:tbl>
    <w:p w14:paraId="57768B61" w14:textId="47FC39ED" w:rsidR="00EC3882" w:rsidRPr="00436F2C" w:rsidRDefault="00EC3882" w:rsidP="00436F2C">
      <w:pPr>
        <w:jc w:val="both"/>
        <w:rPr>
          <w:rFonts w:ascii="Calibri" w:hAnsi="Calibri" w:cs="Calibri"/>
          <w:szCs w:val="24"/>
        </w:rPr>
      </w:pPr>
    </w:p>
    <w:p w14:paraId="335B7159" w14:textId="56184257" w:rsidR="00257C14" w:rsidRDefault="00257C14" w:rsidP="00DA6BF4">
      <w:pPr>
        <w:pStyle w:val="ListParagraph"/>
        <w:ind w:left="360"/>
        <w:jc w:val="both"/>
        <w:rPr>
          <w:rFonts w:ascii="Calibri" w:hAnsi="Calibri" w:cs="Calibri"/>
          <w:szCs w:val="24"/>
        </w:rPr>
      </w:pPr>
    </w:p>
    <w:p w14:paraId="7BB5E9BB" w14:textId="57027DA3" w:rsidR="00257C14" w:rsidRPr="00257C14" w:rsidRDefault="00257C14" w:rsidP="00436F2C">
      <w:pPr>
        <w:pStyle w:val="Heading2"/>
        <w:rPr>
          <w:rFonts w:ascii="Calibri" w:hAnsi="Calibri" w:cs="Calibri"/>
          <w:szCs w:val="24"/>
        </w:rPr>
      </w:pPr>
    </w:p>
    <w:sectPr w:rsidR="00257C14" w:rsidRPr="00257C14" w:rsidSect="00436F2C">
      <w:pgSz w:w="23808" w:h="16840" w:orient="landscape" w:code="8"/>
      <w:pgMar w:top="1440" w:right="992"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5271" w14:textId="77777777" w:rsidR="00D753F5" w:rsidRDefault="00D753F5" w:rsidP="00204D20">
      <w:pPr>
        <w:spacing w:after="0" w:line="240" w:lineRule="auto"/>
      </w:pPr>
      <w:r>
        <w:separator/>
      </w:r>
    </w:p>
  </w:endnote>
  <w:endnote w:type="continuationSeparator" w:id="0">
    <w:p w14:paraId="68B4003C" w14:textId="77777777" w:rsidR="00D753F5" w:rsidRDefault="00D753F5"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7F5150" w:rsidRDefault="007F5150">
    <w:pPr>
      <w:pStyle w:val="Footer"/>
      <w:jc w:val="center"/>
    </w:pPr>
  </w:p>
  <w:p w14:paraId="20364FD6" w14:textId="77777777" w:rsidR="007F5150" w:rsidRDefault="007F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BE26" w14:textId="77777777" w:rsidR="00D753F5" w:rsidRDefault="00D753F5" w:rsidP="00204D20">
      <w:pPr>
        <w:spacing w:after="0" w:line="240" w:lineRule="auto"/>
      </w:pPr>
      <w:r>
        <w:separator/>
      </w:r>
    </w:p>
  </w:footnote>
  <w:footnote w:type="continuationSeparator" w:id="0">
    <w:p w14:paraId="69D4BD36" w14:textId="77777777" w:rsidR="00D753F5" w:rsidRDefault="00D753F5"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F491" w14:textId="72F4EA9D" w:rsidR="00014145" w:rsidRPr="00014145" w:rsidRDefault="00014145" w:rsidP="00014145">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976"/>
    <w:multiLevelType w:val="hybridMultilevel"/>
    <w:tmpl w:val="D6982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013D3"/>
    <w:multiLevelType w:val="hybridMultilevel"/>
    <w:tmpl w:val="84FE8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237CD"/>
    <w:multiLevelType w:val="hybridMultilevel"/>
    <w:tmpl w:val="C1A6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3057E"/>
    <w:multiLevelType w:val="hybridMultilevel"/>
    <w:tmpl w:val="BF38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D7B05"/>
    <w:multiLevelType w:val="hybridMultilevel"/>
    <w:tmpl w:val="9752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97163"/>
    <w:multiLevelType w:val="hybridMultilevel"/>
    <w:tmpl w:val="5214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687B"/>
    <w:multiLevelType w:val="hybridMultilevel"/>
    <w:tmpl w:val="77A6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CB63E4"/>
    <w:multiLevelType w:val="hybridMultilevel"/>
    <w:tmpl w:val="001687D8"/>
    <w:lvl w:ilvl="0" w:tplc="08090001">
      <w:start w:val="1"/>
      <w:numFmt w:val="bullet"/>
      <w:lvlText w:val=""/>
      <w:lvlJc w:val="left"/>
      <w:pPr>
        <w:ind w:left="643" w:hanging="360"/>
      </w:pPr>
      <w:rPr>
        <w:rFonts w:ascii="Symbol" w:hAnsi="Symbol" w:hint="default"/>
      </w:rPr>
    </w:lvl>
    <w:lvl w:ilvl="1" w:tplc="A30EECB6">
      <w:start w:val="4"/>
      <w:numFmt w:val="bullet"/>
      <w:lvlText w:val="-"/>
      <w:lvlJc w:val="left"/>
      <w:pPr>
        <w:ind w:left="1363" w:hanging="360"/>
      </w:pPr>
      <w:rPr>
        <w:rFonts w:ascii="Calibri" w:eastAsiaTheme="minorHAnsi" w:hAnsi="Calibri" w:cs="Calibri" w:hint="default"/>
        <w:color w:val="auto"/>
        <w:sz w:val="24"/>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F131B"/>
    <w:multiLevelType w:val="hybridMultilevel"/>
    <w:tmpl w:val="2BB8C1B8"/>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15:restartNumberingAfterBreak="0">
    <w:nsid w:val="35C7614F"/>
    <w:multiLevelType w:val="hybridMultilevel"/>
    <w:tmpl w:val="AD2AC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B4D33"/>
    <w:multiLevelType w:val="hybridMultilevel"/>
    <w:tmpl w:val="883E2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B54958"/>
    <w:multiLevelType w:val="hybridMultilevel"/>
    <w:tmpl w:val="2214B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F820AF"/>
    <w:multiLevelType w:val="hybridMultilevel"/>
    <w:tmpl w:val="C916DA72"/>
    <w:lvl w:ilvl="0" w:tplc="08090001">
      <w:start w:val="1"/>
      <w:numFmt w:val="bullet"/>
      <w:lvlText w:val=""/>
      <w:lvlJc w:val="left"/>
      <w:pPr>
        <w:ind w:left="643" w:hanging="360"/>
      </w:pPr>
      <w:rPr>
        <w:rFonts w:ascii="Symbol" w:hAnsi="Symbol" w:hint="default"/>
      </w:rPr>
    </w:lvl>
    <w:lvl w:ilvl="1" w:tplc="A30EECB6">
      <w:start w:val="4"/>
      <w:numFmt w:val="bullet"/>
      <w:lvlText w:val="-"/>
      <w:lvlJc w:val="left"/>
      <w:pPr>
        <w:ind w:left="1363" w:hanging="360"/>
      </w:pPr>
      <w:rPr>
        <w:rFonts w:ascii="Calibri" w:eastAsiaTheme="minorHAnsi" w:hAnsi="Calibri" w:cs="Calibri" w:hint="default"/>
        <w:color w:val="auto"/>
        <w:sz w:val="24"/>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65856631"/>
    <w:multiLevelType w:val="hybridMultilevel"/>
    <w:tmpl w:val="2800C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824180"/>
    <w:multiLevelType w:val="hybridMultilevel"/>
    <w:tmpl w:val="163A0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AA2601"/>
    <w:multiLevelType w:val="hybridMultilevel"/>
    <w:tmpl w:val="228CB164"/>
    <w:lvl w:ilvl="0" w:tplc="93721DA8">
      <w:start w:val="1"/>
      <w:numFmt w:val="decimal"/>
      <w:lvlText w:val="%1."/>
      <w:lvlJc w:val="left"/>
      <w:pPr>
        <w:ind w:left="360" w:hanging="360"/>
      </w:pPr>
      <w:rPr>
        <w:i w:val="0"/>
        <w:color w:val="auto"/>
      </w:rPr>
    </w:lvl>
    <w:lvl w:ilvl="1" w:tplc="08090001">
      <w:start w:val="1"/>
      <w:numFmt w:val="bullet"/>
      <w:lvlText w:val=""/>
      <w:lvlJc w:val="left"/>
      <w:pPr>
        <w:ind w:left="1353"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B36476"/>
    <w:multiLevelType w:val="hybridMultilevel"/>
    <w:tmpl w:val="1D0C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7BE7D84"/>
    <w:multiLevelType w:val="hybridMultilevel"/>
    <w:tmpl w:val="EB5C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E60CED"/>
    <w:multiLevelType w:val="hybridMultilevel"/>
    <w:tmpl w:val="1E1A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6"/>
  </w:num>
  <w:num w:numId="4">
    <w:abstractNumId w:val="5"/>
  </w:num>
  <w:num w:numId="5">
    <w:abstractNumId w:val="15"/>
  </w:num>
  <w:num w:numId="6">
    <w:abstractNumId w:val="12"/>
  </w:num>
  <w:num w:numId="7">
    <w:abstractNumId w:val="13"/>
  </w:num>
  <w:num w:numId="8">
    <w:abstractNumId w:val="7"/>
  </w:num>
  <w:num w:numId="9">
    <w:abstractNumId w:val="19"/>
  </w:num>
  <w:num w:numId="10">
    <w:abstractNumId w:val="11"/>
  </w:num>
  <w:num w:numId="11">
    <w:abstractNumId w:val="1"/>
  </w:num>
  <w:num w:numId="12">
    <w:abstractNumId w:val="2"/>
  </w:num>
  <w:num w:numId="13">
    <w:abstractNumId w:val="4"/>
  </w:num>
  <w:num w:numId="14">
    <w:abstractNumId w:val="14"/>
  </w:num>
  <w:num w:numId="15">
    <w:abstractNumId w:val="9"/>
  </w:num>
  <w:num w:numId="16">
    <w:abstractNumId w:val="18"/>
  </w:num>
  <w:num w:numId="17">
    <w:abstractNumId w:val="6"/>
  </w:num>
  <w:num w:numId="18">
    <w:abstractNumId w:val="8"/>
  </w:num>
  <w:num w:numId="19">
    <w:abstractNumId w:val="10"/>
  </w:num>
  <w:num w:numId="20">
    <w:abstractNumId w:val="0"/>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3504"/>
    <w:rsid w:val="000048EA"/>
    <w:rsid w:val="00014145"/>
    <w:rsid w:val="00024794"/>
    <w:rsid w:val="00032678"/>
    <w:rsid w:val="000332EB"/>
    <w:rsid w:val="00034B4C"/>
    <w:rsid w:val="00036CE2"/>
    <w:rsid w:val="00040E69"/>
    <w:rsid w:val="000419B1"/>
    <w:rsid w:val="00062D8D"/>
    <w:rsid w:val="0007184E"/>
    <w:rsid w:val="000769E0"/>
    <w:rsid w:val="000936B1"/>
    <w:rsid w:val="000B689B"/>
    <w:rsid w:val="000C41B4"/>
    <w:rsid w:val="000D5B39"/>
    <w:rsid w:val="000E7A54"/>
    <w:rsid w:val="001033FB"/>
    <w:rsid w:val="00111B84"/>
    <w:rsid w:val="001160F9"/>
    <w:rsid w:val="00120B7F"/>
    <w:rsid w:val="00124DBA"/>
    <w:rsid w:val="001272C6"/>
    <w:rsid w:val="001332B9"/>
    <w:rsid w:val="00146276"/>
    <w:rsid w:val="0015591D"/>
    <w:rsid w:val="00156416"/>
    <w:rsid w:val="0015754B"/>
    <w:rsid w:val="00162DE7"/>
    <w:rsid w:val="001753AB"/>
    <w:rsid w:val="00181671"/>
    <w:rsid w:val="00183C38"/>
    <w:rsid w:val="0018758C"/>
    <w:rsid w:val="001B67AC"/>
    <w:rsid w:val="001B6867"/>
    <w:rsid w:val="001C3807"/>
    <w:rsid w:val="001E181A"/>
    <w:rsid w:val="001F2C21"/>
    <w:rsid w:val="001F5F6E"/>
    <w:rsid w:val="001F7397"/>
    <w:rsid w:val="00204D20"/>
    <w:rsid w:val="0020596F"/>
    <w:rsid w:val="00217896"/>
    <w:rsid w:val="00221E75"/>
    <w:rsid w:val="00230933"/>
    <w:rsid w:val="00236700"/>
    <w:rsid w:val="00257A02"/>
    <w:rsid w:val="00257C14"/>
    <w:rsid w:val="00264512"/>
    <w:rsid w:val="00264740"/>
    <w:rsid w:val="00265931"/>
    <w:rsid w:val="0027019B"/>
    <w:rsid w:val="00280BA7"/>
    <w:rsid w:val="00283A66"/>
    <w:rsid w:val="00297973"/>
    <w:rsid w:val="002A1513"/>
    <w:rsid w:val="002A3587"/>
    <w:rsid w:val="002A7A0F"/>
    <w:rsid w:val="002B21E8"/>
    <w:rsid w:val="002D01E8"/>
    <w:rsid w:val="002D216A"/>
    <w:rsid w:val="002E42FA"/>
    <w:rsid w:val="00304855"/>
    <w:rsid w:val="00322D98"/>
    <w:rsid w:val="0032429D"/>
    <w:rsid w:val="0033297B"/>
    <w:rsid w:val="003344F1"/>
    <w:rsid w:val="0033601C"/>
    <w:rsid w:val="00366E4B"/>
    <w:rsid w:val="00387703"/>
    <w:rsid w:val="00393BD7"/>
    <w:rsid w:val="00395590"/>
    <w:rsid w:val="003A0BAA"/>
    <w:rsid w:val="003A1445"/>
    <w:rsid w:val="003B1469"/>
    <w:rsid w:val="003B170D"/>
    <w:rsid w:val="003C0B5D"/>
    <w:rsid w:val="003C277D"/>
    <w:rsid w:val="003C2E42"/>
    <w:rsid w:val="003C3F48"/>
    <w:rsid w:val="003C64FE"/>
    <w:rsid w:val="003E22BB"/>
    <w:rsid w:val="003E2D1E"/>
    <w:rsid w:val="003E509E"/>
    <w:rsid w:val="003E7745"/>
    <w:rsid w:val="003E7B62"/>
    <w:rsid w:val="00403E38"/>
    <w:rsid w:val="00410275"/>
    <w:rsid w:val="004204D7"/>
    <w:rsid w:val="004256C5"/>
    <w:rsid w:val="00436F2C"/>
    <w:rsid w:val="00441B0D"/>
    <w:rsid w:val="0045609C"/>
    <w:rsid w:val="00460391"/>
    <w:rsid w:val="00471632"/>
    <w:rsid w:val="00473E82"/>
    <w:rsid w:val="00474D07"/>
    <w:rsid w:val="00482BAA"/>
    <w:rsid w:val="00485D76"/>
    <w:rsid w:val="0049286B"/>
    <w:rsid w:val="00495CF0"/>
    <w:rsid w:val="004B1916"/>
    <w:rsid w:val="004B3932"/>
    <w:rsid w:val="004C546D"/>
    <w:rsid w:val="004C54F1"/>
    <w:rsid w:val="004D5CD3"/>
    <w:rsid w:val="004E64BD"/>
    <w:rsid w:val="004F1BBD"/>
    <w:rsid w:val="004F3D8D"/>
    <w:rsid w:val="00501026"/>
    <w:rsid w:val="00501AA6"/>
    <w:rsid w:val="00505836"/>
    <w:rsid w:val="00506E5C"/>
    <w:rsid w:val="00517412"/>
    <w:rsid w:val="00517D22"/>
    <w:rsid w:val="005261AF"/>
    <w:rsid w:val="00530421"/>
    <w:rsid w:val="00545A1C"/>
    <w:rsid w:val="00546D2A"/>
    <w:rsid w:val="00554F2A"/>
    <w:rsid w:val="00563F42"/>
    <w:rsid w:val="00567227"/>
    <w:rsid w:val="00567DC0"/>
    <w:rsid w:val="00584BB7"/>
    <w:rsid w:val="005926A8"/>
    <w:rsid w:val="0059639A"/>
    <w:rsid w:val="005A3F1A"/>
    <w:rsid w:val="005A6337"/>
    <w:rsid w:val="005B14CB"/>
    <w:rsid w:val="005B5B5E"/>
    <w:rsid w:val="005C2A4F"/>
    <w:rsid w:val="005C6F3F"/>
    <w:rsid w:val="005D0812"/>
    <w:rsid w:val="005D0E4E"/>
    <w:rsid w:val="005E2EB0"/>
    <w:rsid w:val="005E4FA9"/>
    <w:rsid w:val="005F2537"/>
    <w:rsid w:val="005F53C1"/>
    <w:rsid w:val="00600E8F"/>
    <w:rsid w:val="00604DB9"/>
    <w:rsid w:val="00605B7E"/>
    <w:rsid w:val="00611CD6"/>
    <w:rsid w:val="0061200E"/>
    <w:rsid w:val="00617B4C"/>
    <w:rsid w:val="00617BA8"/>
    <w:rsid w:val="00633F28"/>
    <w:rsid w:val="00661467"/>
    <w:rsid w:val="0066660C"/>
    <w:rsid w:val="0067308B"/>
    <w:rsid w:val="006751FA"/>
    <w:rsid w:val="00683DAA"/>
    <w:rsid w:val="00690252"/>
    <w:rsid w:val="00690577"/>
    <w:rsid w:val="006A63F4"/>
    <w:rsid w:val="006B521F"/>
    <w:rsid w:val="006C3DBC"/>
    <w:rsid w:val="006D3FA5"/>
    <w:rsid w:val="006D4551"/>
    <w:rsid w:val="006E075C"/>
    <w:rsid w:val="006E336B"/>
    <w:rsid w:val="006E7E40"/>
    <w:rsid w:val="006F55CD"/>
    <w:rsid w:val="00700844"/>
    <w:rsid w:val="00701143"/>
    <w:rsid w:val="0070429E"/>
    <w:rsid w:val="00713E99"/>
    <w:rsid w:val="00716A6A"/>
    <w:rsid w:val="00717EC9"/>
    <w:rsid w:val="007226E4"/>
    <w:rsid w:val="00733EC2"/>
    <w:rsid w:val="00734E52"/>
    <w:rsid w:val="00735B86"/>
    <w:rsid w:val="007420DE"/>
    <w:rsid w:val="00751947"/>
    <w:rsid w:val="007610D6"/>
    <w:rsid w:val="00772534"/>
    <w:rsid w:val="007A33E7"/>
    <w:rsid w:val="007B4A40"/>
    <w:rsid w:val="007C4EAA"/>
    <w:rsid w:val="007C5167"/>
    <w:rsid w:val="007D33E1"/>
    <w:rsid w:val="007D4236"/>
    <w:rsid w:val="007D5F0B"/>
    <w:rsid w:val="007E265C"/>
    <w:rsid w:val="007F5150"/>
    <w:rsid w:val="007F67F2"/>
    <w:rsid w:val="007F79B5"/>
    <w:rsid w:val="007F7FD5"/>
    <w:rsid w:val="00806263"/>
    <w:rsid w:val="00831622"/>
    <w:rsid w:val="00834565"/>
    <w:rsid w:val="008558A8"/>
    <w:rsid w:val="00857AD1"/>
    <w:rsid w:val="00864E08"/>
    <w:rsid w:val="00866908"/>
    <w:rsid w:val="00871EC6"/>
    <w:rsid w:val="008818D2"/>
    <w:rsid w:val="00882607"/>
    <w:rsid w:val="00886E2C"/>
    <w:rsid w:val="00892172"/>
    <w:rsid w:val="00897B62"/>
    <w:rsid w:val="008A0E44"/>
    <w:rsid w:val="008A515F"/>
    <w:rsid w:val="008B5715"/>
    <w:rsid w:val="008D6803"/>
    <w:rsid w:val="008D6853"/>
    <w:rsid w:val="008E1D74"/>
    <w:rsid w:val="008F3AA0"/>
    <w:rsid w:val="00910E8A"/>
    <w:rsid w:val="00917692"/>
    <w:rsid w:val="00917A40"/>
    <w:rsid w:val="0092028E"/>
    <w:rsid w:val="009214B6"/>
    <w:rsid w:val="0092491F"/>
    <w:rsid w:val="0093190C"/>
    <w:rsid w:val="009414C4"/>
    <w:rsid w:val="00944707"/>
    <w:rsid w:val="00946309"/>
    <w:rsid w:val="00947A38"/>
    <w:rsid w:val="00953894"/>
    <w:rsid w:val="009572B8"/>
    <w:rsid w:val="00961689"/>
    <w:rsid w:val="0097201B"/>
    <w:rsid w:val="00976B38"/>
    <w:rsid w:val="00983C7E"/>
    <w:rsid w:val="00985ED0"/>
    <w:rsid w:val="009866F2"/>
    <w:rsid w:val="009946D8"/>
    <w:rsid w:val="009A0129"/>
    <w:rsid w:val="009A1B3B"/>
    <w:rsid w:val="009A549A"/>
    <w:rsid w:val="009B1B55"/>
    <w:rsid w:val="009B467A"/>
    <w:rsid w:val="009B6B14"/>
    <w:rsid w:val="009C01AC"/>
    <w:rsid w:val="009C22ED"/>
    <w:rsid w:val="009E022E"/>
    <w:rsid w:val="009E1D6D"/>
    <w:rsid w:val="009E599C"/>
    <w:rsid w:val="009F26AA"/>
    <w:rsid w:val="00A0191B"/>
    <w:rsid w:val="00A15209"/>
    <w:rsid w:val="00A30604"/>
    <w:rsid w:val="00A336D7"/>
    <w:rsid w:val="00A33EEE"/>
    <w:rsid w:val="00A33F66"/>
    <w:rsid w:val="00A36D48"/>
    <w:rsid w:val="00A51010"/>
    <w:rsid w:val="00A51306"/>
    <w:rsid w:val="00A643F0"/>
    <w:rsid w:val="00A65145"/>
    <w:rsid w:val="00A652FE"/>
    <w:rsid w:val="00A7484C"/>
    <w:rsid w:val="00A80166"/>
    <w:rsid w:val="00A80762"/>
    <w:rsid w:val="00A81585"/>
    <w:rsid w:val="00A82249"/>
    <w:rsid w:val="00A907C9"/>
    <w:rsid w:val="00A932B9"/>
    <w:rsid w:val="00AA574C"/>
    <w:rsid w:val="00AB008A"/>
    <w:rsid w:val="00AC4A70"/>
    <w:rsid w:val="00AC6E31"/>
    <w:rsid w:val="00AE1100"/>
    <w:rsid w:val="00AF0742"/>
    <w:rsid w:val="00AF0F13"/>
    <w:rsid w:val="00B00AF7"/>
    <w:rsid w:val="00B012EA"/>
    <w:rsid w:val="00B1018C"/>
    <w:rsid w:val="00B175FD"/>
    <w:rsid w:val="00B17F58"/>
    <w:rsid w:val="00B24CA5"/>
    <w:rsid w:val="00B26AD0"/>
    <w:rsid w:val="00B45716"/>
    <w:rsid w:val="00B5382E"/>
    <w:rsid w:val="00B818A9"/>
    <w:rsid w:val="00B92353"/>
    <w:rsid w:val="00B96FF8"/>
    <w:rsid w:val="00BA0D10"/>
    <w:rsid w:val="00BA621F"/>
    <w:rsid w:val="00BA6797"/>
    <w:rsid w:val="00BB034E"/>
    <w:rsid w:val="00BB7989"/>
    <w:rsid w:val="00BC046B"/>
    <w:rsid w:val="00BD5E53"/>
    <w:rsid w:val="00BD679C"/>
    <w:rsid w:val="00BE0D91"/>
    <w:rsid w:val="00BE28BC"/>
    <w:rsid w:val="00BF6734"/>
    <w:rsid w:val="00C013F1"/>
    <w:rsid w:val="00C06BA4"/>
    <w:rsid w:val="00C13090"/>
    <w:rsid w:val="00C1595C"/>
    <w:rsid w:val="00C23A43"/>
    <w:rsid w:val="00C3696B"/>
    <w:rsid w:val="00C45FE6"/>
    <w:rsid w:val="00C51CB3"/>
    <w:rsid w:val="00C531FB"/>
    <w:rsid w:val="00C54AF8"/>
    <w:rsid w:val="00C6483E"/>
    <w:rsid w:val="00C70AC5"/>
    <w:rsid w:val="00C87458"/>
    <w:rsid w:val="00C93618"/>
    <w:rsid w:val="00CA6CA5"/>
    <w:rsid w:val="00CA780E"/>
    <w:rsid w:val="00CB57E3"/>
    <w:rsid w:val="00CC1DA5"/>
    <w:rsid w:val="00CC23E9"/>
    <w:rsid w:val="00CC4495"/>
    <w:rsid w:val="00CD5336"/>
    <w:rsid w:val="00CE22F8"/>
    <w:rsid w:val="00CE5BE1"/>
    <w:rsid w:val="00CF5775"/>
    <w:rsid w:val="00CF7714"/>
    <w:rsid w:val="00D1282E"/>
    <w:rsid w:val="00D43D99"/>
    <w:rsid w:val="00D44333"/>
    <w:rsid w:val="00D521D2"/>
    <w:rsid w:val="00D53FDE"/>
    <w:rsid w:val="00D54A35"/>
    <w:rsid w:val="00D65835"/>
    <w:rsid w:val="00D71BB8"/>
    <w:rsid w:val="00D72178"/>
    <w:rsid w:val="00D753F5"/>
    <w:rsid w:val="00D85A63"/>
    <w:rsid w:val="00D9473C"/>
    <w:rsid w:val="00D961B2"/>
    <w:rsid w:val="00DA48C3"/>
    <w:rsid w:val="00DA6B4D"/>
    <w:rsid w:val="00DA6BF4"/>
    <w:rsid w:val="00DB0914"/>
    <w:rsid w:val="00DB13B7"/>
    <w:rsid w:val="00DB7C69"/>
    <w:rsid w:val="00DC1933"/>
    <w:rsid w:val="00DC3685"/>
    <w:rsid w:val="00DC6BC8"/>
    <w:rsid w:val="00DE243F"/>
    <w:rsid w:val="00DF4976"/>
    <w:rsid w:val="00E04F18"/>
    <w:rsid w:val="00E1294D"/>
    <w:rsid w:val="00E14902"/>
    <w:rsid w:val="00E22A05"/>
    <w:rsid w:val="00E31FF8"/>
    <w:rsid w:val="00E35FDA"/>
    <w:rsid w:val="00E37F70"/>
    <w:rsid w:val="00E403E3"/>
    <w:rsid w:val="00E46A6D"/>
    <w:rsid w:val="00E83BDD"/>
    <w:rsid w:val="00EA1751"/>
    <w:rsid w:val="00EA7660"/>
    <w:rsid w:val="00EB3DA9"/>
    <w:rsid w:val="00EC1C3C"/>
    <w:rsid w:val="00EC3882"/>
    <w:rsid w:val="00EC4D6B"/>
    <w:rsid w:val="00EC788F"/>
    <w:rsid w:val="00ED39E2"/>
    <w:rsid w:val="00ED7021"/>
    <w:rsid w:val="00ED73F1"/>
    <w:rsid w:val="00EE480A"/>
    <w:rsid w:val="00EE4A2E"/>
    <w:rsid w:val="00EE60A2"/>
    <w:rsid w:val="00F06991"/>
    <w:rsid w:val="00F15554"/>
    <w:rsid w:val="00F164E9"/>
    <w:rsid w:val="00F24063"/>
    <w:rsid w:val="00F240B0"/>
    <w:rsid w:val="00F34C6E"/>
    <w:rsid w:val="00F37072"/>
    <w:rsid w:val="00F5298D"/>
    <w:rsid w:val="00F550D1"/>
    <w:rsid w:val="00F603BC"/>
    <w:rsid w:val="00F660FF"/>
    <w:rsid w:val="00F66BD0"/>
    <w:rsid w:val="00F77631"/>
    <w:rsid w:val="00F77EE9"/>
    <w:rsid w:val="00F86E3A"/>
    <w:rsid w:val="00F93C82"/>
    <w:rsid w:val="00FA0E12"/>
    <w:rsid w:val="00FA1AA0"/>
    <w:rsid w:val="00FA55E8"/>
    <w:rsid w:val="00FA77ED"/>
    <w:rsid w:val="00FA7CF2"/>
    <w:rsid w:val="00FB279C"/>
    <w:rsid w:val="00FC32ED"/>
    <w:rsid w:val="00FC43E3"/>
    <w:rsid w:val="00FC461B"/>
    <w:rsid w:val="00FD1525"/>
    <w:rsid w:val="00FD3996"/>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D72178"/>
    <w:rPr>
      <w:sz w:val="24"/>
    </w:rPr>
  </w:style>
  <w:style w:type="table" w:styleId="GridTable4-Accent1">
    <w:name w:val="Grid Table 4 Accent 1"/>
    <w:basedOn w:val="TableNormal"/>
    <w:uiPriority w:val="49"/>
    <w:rsid w:val="000419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0419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283A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283A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next w:val="PlainTable1"/>
    <w:uiPriority w:val="41"/>
    <w:rsid w:val="00F55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92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341667294">
      <w:bodyDiv w:val="1"/>
      <w:marLeft w:val="0"/>
      <w:marRight w:val="0"/>
      <w:marTop w:val="0"/>
      <w:marBottom w:val="0"/>
      <w:divBdr>
        <w:top w:val="none" w:sz="0" w:space="0" w:color="auto"/>
        <w:left w:val="none" w:sz="0" w:space="0" w:color="auto"/>
        <w:bottom w:val="none" w:sz="0" w:space="0" w:color="auto"/>
        <w:right w:val="none" w:sz="0" w:space="0" w:color="auto"/>
      </w:divBdr>
    </w:div>
    <w:div w:id="444733516">
      <w:bodyDiv w:val="1"/>
      <w:marLeft w:val="0"/>
      <w:marRight w:val="0"/>
      <w:marTop w:val="0"/>
      <w:marBottom w:val="0"/>
      <w:divBdr>
        <w:top w:val="none" w:sz="0" w:space="0" w:color="auto"/>
        <w:left w:val="none" w:sz="0" w:space="0" w:color="auto"/>
        <w:bottom w:val="none" w:sz="0" w:space="0" w:color="auto"/>
        <w:right w:val="none" w:sz="0" w:space="0" w:color="auto"/>
      </w:divBdr>
    </w:div>
    <w:div w:id="474219611">
      <w:bodyDiv w:val="1"/>
      <w:marLeft w:val="0"/>
      <w:marRight w:val="0"/>
      <w:marTop w:val="0"/>
      <w:marBottom w:val="0"/>
      <w:divBdr>
        <w:top w:val="none" w:sz="0" w:space="0" w:color="auto"/>
        <w:left w:val="none" w:sz="0" w:space="0" w:color="auto"/>
        <w:bottom w:val="none" w:sz="0" w:space="0" w:color="auto"/>
        <w:right w:val="none" w:sz="0" w:space="0" w:color="auto"/>
      </w:divBdr>
    </w:div>
    <w:div w:id="476339441">
      <w:bodyDiv w:val="1"/>
      <w:marLeft w:val="0"/>
      <w:marRight w:val="0"/>
      <w:marTop w:val="0"/>
      <w:marBottom w:val="0"/>
      <w:divBdr>
        <w:top w:val="none" w:sz="0" w:space="0" w:color="auto"/>
        <w:left w:val="none" w:sz="0" w:space="0" w:color="auto"/>
        <w:bottom w:val="none" w:sz="0" w:space="0" w:color="auto"/>
        <w:right w:val="none" w:sz="0" w:space="0" w:color="auto"/>
      </w:divBdr>
    </w:div>
    <w:div w:id="522550660">
      <w:bodyDiv w:val="1"/>
      <w:marLeft w:val="0"/>
      <w:marRight w:val="0"/>
      <w:marTop w:val="0"/>
      <w:marBottom w:val="0"/>
      <w:divBdr>
        <w:top w:val="none" w:sz="0" w:space="0" w:color="auto"/>
        <w:left w:val="none" w:sz="0" w:space="0" w:color="auto"/>
        <w:bottom w:val="none" w:sz="0" w:space="0" w:color="auto"/>
        <w:right w:val="none" w:sz="0" w:space="0" w:color="auto"/>
      </w:divBdr>
    </w:div>
    <w:div w:id="528379547">
      <w:bodyDiv w:val="1"/>
      <w:marLeft w:val="0"/>
      <w:marRight w:val="0"/>
      <w:marTop w:val="0"/>
      <w:marBottom w:val="0"/>
      <w:divBdr>
        <w:top w:val="none" w:sz="0" w:space="0" w:color="auto"/>
        <w:left w:val="none" w:sz="0" w:space="0" w:color="auto"/>
        <w:bottom w:val="none" w:sz="0" w:space="0" w:color="auto"/>
        <w:right w:val="none" w:sz="0" w:space="0" w:color="auto"/>
      </w:divBdr>
    </w:div>
    <w:div w:id="642855713">
      <w:bodyDiv w:val="1"/>
      <w:marLeft w:val="0"/>
      <w:marRight w:val="0"/>
      <w:marTop w:val="0"/>
      <w:marBottom w:val="0"/>
      <w:divBdr>
        <w:top w:val="none" w:sz="0" w:space="0" w:color="auto"/>
        <w:left w:val="none" w:sz="0" w:space="0" w:color="auto"/>
        <w:bottom w:val="none" w:sz="0" w:space="0" w:color="auto"/>
        <w:right w:val="none" w:sz="0" w:space="0" w:color="auto"/>
      </w:divBdr>
    </w:div>
    <w:div w:id="700395536">
      <w:bodyDiv w:val="1"/>
      <w:marLeft w:val="0"/>
      <w:marRight w:val="0"/>
      <w:marTop w:val="0"/>
      <w:marBottom w:val="0"/>
      <w:divBdr>
        <w:top w:val="none" w:sz="0" w:space="0" w:color="auto"/>
        <w:left w:val="none" w:sz="0" w:space="0" w:color="auto"/>
        <w:bottom w:val="none" w:sz="0" w:space="0" w:color="auto"/>
        <w:right w:val="none" w:sz="0" w:space="0" w:color="auto"/>
      </w:divBdr>
    </w:div>
    <w:div w:id="932515287">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396009827">
      <w:bodyDiv w:val="1"/>
      <w:marLeft w:val="0"/>
      <w:marRight w:val="0"/>
      <w:marTop w:val="0"/>
      <w:marBottom w:val="0"/>
      <w:divBdr>
        <w:top w:val="none" w:sz="0" w:space="0" w:color="auto"/>
        <w:left w:val="none" w:sz="0" w:space="0" w:color="auto"/>
        <w:bottom w:val="none" w:sz="0" w:space="0" w:color="auto"/>
        <w:right w:val="none" w:sz="0" w:space="0" w:color="auto"/>
      </w:divBdr>
    </w:div>
    <w:div w:id="1401715070">
      <w:bodyDiv w:val="1"/>
      <w:marLeft w:val="0"/>
      <w:marRight w:val="0"/>
      <w:marTop w:val="0"/>
      <w:marBottom w:val="0"/>
      <w:divBdr>
        <w:top w:val="none" w:sz="0" w:space="0" w:color="auto"/>
        <w:left w:val="none" w:sz="0" w:space="0" w:color="auto"/>
        <w:bottom w:val="none" w:sz="0" w:space="0" w:color="auto"/>
        <w:right w:val="none" w:sz="0" w:space="0" w:color="auto"/>
      </w:divBdr>
    </w:div>
    <w:div w:id="1464545241">
      <w:bodyDiv w:val="1"/>
      <w:marLeft w:val="0"/>
      <w:marRight w:val="0"/>
      <w:marTop w:val="0"/>
      <w:marBottom w:val="0"/>
      <w:divBdr>
        <w:top w:val="none" w:sz="0" w:space="0" w:color="auto"/>
        <w:left w:val="none" w:sz="0" w:space="0" w:color="auto"/>
        <w:bottom w:val="none" w:sz="0" w:space="0" w:color="auto"/>
        <w:right w:val="none" w:sz="0" w:space="0" w:color="auto"/>
      </w:divBdr>
    </w:div>
    <w:div w:id="1517116256">
      <w:bodyDiv w:val="1"/>
      <w:marLeft w:val="0"/>
      <w:marRight w:val="0"/>
      <w:marTop w:val="0"/>
      <w:marBottom w:val="0"/>
      <w:divBdr>
        <w:top w:val="none" w:sz="0" w:space="0" w:color="auto"/>
        <w:left w:val="none" w:sz="0" w:space="0" w:color="auto"/>
        <w:bottom w:val="none" w:sz="0" w:space="0" w:color="auto"/>
        <w:right w:val="none" w:sz="0" w:space="0" w:color="auto"/>
      </w:divBdr>
    </w:div>
    <w:div w:id="1635058538">
      <w:bodyDiv w:val="1"/>
      <w:marLeft w:val="0"/>
      <w:marRight w:val="0"/>
      <w:marTop w:val="0"/>
      <w:marBottom w:val="0"/>
      <w:divBdr>
        <w:top w:val="none" w:sz="0" w:space="0" w:color="auto"/>
        <w:left w:val="none" w:sz="0" w:space="0" w:color="auto"/>
        <w:bottom w:val="none" w:sz="0" w:space="0" w:color="auto"/>
        <w:right w:val="none" w:sz="0" w:space="0" w:color="auto"/>
      </w:divBdr>
    </w:div>
    <w:div w:id="1647854895">
      <w:bodyDiv w:val="1"/>
      <w:marLeft w:val="0"/>
      <w:marRight w:val="0"/>
      <w:marTop w:val="0"/>
      <w:marBottom w:val="0"/>
      <w:divBdr>
        <w:top w:val="none" w:sz="0" w:space="0" w:color="auto"/>
        <w:left w:val="none" w:sz="0" w:space="0" w:color="auto"/>
        <w:bottom w:val="none" w:sz="0" w:space="0" w:color="auto"/>
        <w:right w:val="none" w:sz="0" w:space="0" w:color="auto"/>
      </w:divBdr>
    </w:div>
    <w:div w:id="1666859632">
      <w:bodyDiv w:val="1"/>
      <w:marLeft w:val="0"/>
      <w:marRight w:val="0"/>
      <w:marTop w:val="0"/>
      <w:marBottom w:val="0"/>
      <w:divBdr>
        <w:top w:val="none" w:sz="0" w:space="0" w:color="auto"/>
        <w:left w:val="none" w:sz="0" w:space="0" w:color="auto"/>
        <w:bottom w:val="none" w:sz="0" w:space="0" w:color="auto"/>
        <w:right w:val="none" w:sz="0" w:space="0" w:color="auto"/>
      </w:divBdr>
    </w:div>
    <w:div w:id="1675763952">
      <w:bodyDiv w:val="1"/>
      <w:marLeft w:val="0"/>
      <w:marRight w:val="0"/>
      <w:marTop w:val="0"/>
      <w:marBottom w:val="0"/>
      <w:divBdr>
        <w:top w:val="none" w:sz="0" w:space="0" w:color="auto"/>
        <w:left w:val="none" w:sz="0" w:space="0" w:color="auto"/>
        <w:bottom w:val="none" w:sz="0" w:space="0" w:color="auto"/>
        <w:right w:val="none" w:sz="0" w:space="0" w:color="auto"/>
      </w:divBdr>
    </w:div>
    <w:div w:id="17203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rdms.nature.scot/documents/A3736342/details" TargetMode="External"/><Relationship Id="rId26" Type="http://schemas.openxmlformats.org/officeDocument/2006/relationships/hyperlink" Target="https://erdms.nature.scot/documents/A3739953/details" TargetMode="External"/><Relationship Id="rId39" Type="http://schemas.openxmlformats.org/officeDocument/2006/relationships/hyperlink" Target="https://erdms.nature.scot/documents/A3736963/details" TargetMode="External"/><Relationship Id="rId21" Type="http://schemas.openxmlformats.org/officeDocument/2006/relationships/image" Target="media/image7.png"/><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rdms.nature.scot/documents/A3736346/details" TargetMode="External"/><Relationship Id="rId29" Type="http://schemas.openxmlformats.org/officeDocument/2006/relationships/hyperlink" Target="https://erdms.nature.scot/documents/A3724366/detai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rdms.nature.scot/documents/A3736341/details" TargetMode="External"/><Relationship Id="rId32" Type="http://schemas.openxmlformats.org/officeDocument/2006/relationships/image" Target="media/image12.png"/><Relationship Id="rId37" Type="http://schemas.openxmlformats.org/officeDocument/2006/relationships/hyperlink" Target="https://erdms.nature.scot/documents/A3733025/details" TargetMode="External"/><Relationship Id="rId40" Type="http://schemas.openxmlformats.org/officeDocument/2006/relationships/image" Target="media/image16.png"/><Relationship Id="rId45"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s://erdms.nature.scot/documents/A3724366/details" TargetMode="External"/><Relationship Id="rId44" Type="http://schemas.openxmlformats.org/officeDocument/2006/relationships/image" Target="media/image1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rdms.nature.scot/documents/A3736347/details" TargetMode="External"/><Relationship Id="rId22" Type="http://schemas.openxmlformats.org/officeDocument/2006/relationships/hyperlink" Target="https://erdms.nature.scot/documents/A3736344/details" TargetMode="External"/><Relationship Id="rId27" Type="http://schemas.openxmlformats.org/officeDocument/2006/relationships/hyperlink" Target="https://erdms.nature.scot/documents/A3736345/details" TargetMode="External"/><Relationship Id="rId30" Type="http://schemas.openxmlformats.org/officeDocument/2006/relationships/image" Target="media/image11.png"/><Relationship Id="rId35" Type="http://schemas.openxmlformats.org/officeDocument/2006/relationships/hyperlink" Target="https://erdms.nature.scot/documents/A3736962/details" TargetMode="External"/><Relationship Id="rId43" Type="http://schemas.openxmlformats.org/officeDocument/2006/relationships/chart" Target="charts/chart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erdms.nature.scot/documents/A3724366/details" TargetMode="External"/><Relationship Id="rId38" Type="http://schemas.openxmlformats.org/officeDocument/2006/relationships/image" Target="media/image15.png"/><Relationship Id="rId46" Type="http://schemas.openxmlformats.org/officeDocument/2006/relationships/image" Target="media/image21.png"/><Relationship Id="rId20" Type="http://schemas.openxmlformats.org/officeDocument/2006/relationships/hyperlink" Target="https://erdms.nature.scot/documents/A3736343/details" TargetMode="External"/><Relationship Id="rId41" Type="http://schemas.openxmlformats.org/officeDocument/2006/relationships/image" Target="media/image1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INYM\Director\Cache\erdms.nature.scot%20uA920\A3887730\2022-23%20Q3%20Corporate%20Risks%20(A388773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ysClr val="windowText" lastClr="000000"/>
                </a:solidFill>
              </a:rPr>
              <a:t>Corporate Risks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 for report'!$F$10</c:f>
              <c:strCache>
                <c:ptCount val="1"/>
                <c:pt idx="0">
                  <c:v>Count of RISK_ID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 for report'!$E$11:$E$12</c:f>
              <c:strCache>
                <c:ptCount val="2"/>
                <c:pt idx="0">
                  <c:v>High</c:v>
                </c:pt>
                <c:pt idx="1">
                  <c:v>Medium</c:v>
                </c:pt>
              </c:strCache>
            </c:strRef>
          </c:cat>
          <c:val>
            <c:numRef>
              <c:f>'Graphs for report'!$F$11:$F$12</c:f>
              <c:numCache>
                <c:formatCode>General</c:formatCode>
                <c:ptCount val="2"/>
                <c:pt idx="0">
                  <c:v>5</c:v>
                </c:pt>
                <c:pt idx="1">
                  <c:v>6</c:v>
                </c:pt>
              </c:numCache>
            </c:numRef>
          </c:val>
          <c:extLst>
            <c:ext xmlns:c16="http://schemas.microsoft.com/office/drawing/2014/chart" uri="{C3380CC4-5D6E-409C-BE32-E72D297353CC}">
              <c16:uniqueId val="{00000000-C9ED-4E12-87A7-610F23245ABE}"/>
            </c:ext>
          </c:extLst>
        </c:ser>
        <c:dLbls>
          <c:showLegendKey val="0"/>
          <c:showVal val="0"/>
          <c:showCatName val="0"/>
          <c:showSerName val="0"/>
          <c:showPercent val="0"/>
          <c:showBubbleSize val="0"/>
        </c:dLbls>
        <c:gapWidth val="219"/>
        <c:overlap val="-27"/>
        <c:axId val="1560002143"/>
        <c:axId val="1665017663"/>
      </c:barChart>
      <c:catAx>
        <c:axId val="156000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5017663"/>
        <c:crosses val="autoZero"/>
        <c:auto val="1"/>
        <c:lblAlgn val="ctr"/>
        <c:lblOffset val="100"/>
        <c:noMultiLvlLbl val="0"/>
      </c:catAx>
      <c:valAx>
        <c:axId val="1665017663"/>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600021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A4158618</value>
    </field>
    <field name="Objective-Title">
      <value order="0">2022-23 Q4 Report to Board (10 May 23) - Version to be published</value>
    </field>
    <field name="Objective-Description">
      <value order="0"/>
    </field>
    <field name="Objective-CreationStamp">
      <value order="0">2023-08-09T08:18:12Z</value>
    </field>
    <field name="Objective-IsApproved">
      <value order="0">false</value>
    </field>
    <field name="Objective-IsPublished">
      <value order="0">true</value>
    </field>
    <field name="Objective-DatePublished">
      <value order="0">2023-08-09T08:18:27Z</value>
    </field>
    <field name="Objective-ModificationStamp">
      <value order="0">2023-08-09T08:18:27Z</value>
    </field>
    <field name="Objective-Owner">
      <value order="0">Jacqueline Innes</value>
    </field>
    <field name="Objective-Path">
      <value order="0">Objective Global Folder:NatureScot Fileplan:MAN - Management:BP - Business Planning:PM - Performance Management:Performance on Corporate Plan - 2022-2026</value>
    </field>
    <field name="Objective-Parent">
      <value order="0">Performance on Corporate Plan - 2022-2026</value>
    </field>
    <field name="Objective-State">
      <value order="0">Published</value>
    </field>
    <field name="Objective-VersionId">
      <value order="0">vA7310077</value>
    </field>
    <field name="Objective-Version">
      <value order="0">1.0</value>
    </field>
    <field name="Objective-VersionNumber">
      <value order="0">1</value>
    </field>
    <field name="Objective-VersionComment">
      <value order="0"/>
    </field>
    <field name="Objective-FileNumber">
      <value order="0">qA175691</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0DCFD147-E00B-4D5D-A029-8094EBBD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8993</Words>
  <Characters>48653</Characters>
  <Application>Microsoft Office Word</Application>
  <DocSecurity>0</DocSecurity>
  <Lines>1474</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Suzanne Kilbane</cp:lastModifiedBy>
  <cp:revision>4</cp:revision>
  <dcterms:created xsi:type="dcterms:W3CDTF">2023-08-09T08:17:00Z</dcterms:created>
  <dcterms:modified xsi:type="dcterms:W3CDTF">2023-08-10T13:27:00Z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A4158618</vt:lpwstr>
  </property>
  <property fmtid="{D5CDD505-2E9C-101B-9397-08002B2CF9AE}" pid="4" name="Objective-Title">
    <vt:lpwstr>2022-23 Q4 Report to Board (10 May 23) - Version to be published</vt:lpwstr>
  </property>
  <property fmtid="{D5CDD505-2E9C-101B-9397-08002B2CF9AE}" pid="5" name="Objective-Comment">
    <vt:lpwstr/>
  </property>
  <property fmtid="{D5CDD505-2E9C-101B-9397-08002B2CF9AE}" pid="6" name="Objective-CreationStamp">
    <vt:filetime>2023-08-09T08:18:12Z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2023-08-09T08:18:27Z</vt:filetime>
  </property>
  <property fmtid="{D5CDD505-2E9C-101B-9397-08002B2CF9AE}" pid="10" name="Objective-ModificationStamp">
    <vt:filetime>2023-08-09T08:18:27Z</vt:filetime>
  </property>
  <property fmtid="{D5CDD505-2E9C-101B-9397-08002B2CF9AE}" pid="11" name="Objective-Owner">
    <vt:lpwstr>Jacqueline Innes</vt:lpwstr>
  </property>
  <property fmtid="{D5CDD505-2E9C-101B-9397-08002B2CF9AE}" pid="12" name="Objective-Path">
    <vt:lpwstr>Objective Global Folder:NatureScot Fileplan:MAN - Management:BP - Business Planning:PM - Performance Management:Performance on Corporate Plan - 2022-2026</vt:lpwstr>
  </property>
  <property fmtid="{D5CDD505-2E9C-101B-9397-08002B2CF9AE}" pid="13" name="Objective-Parent">
    <vt:lpwstr>Performance on Corporate Plan - 2022-2026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qA175691</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vA7310077</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y fmtid="{D5CDD505-2E9C-101B-9397-08002B2CF9AE}" pid="47" name="GrammarlyDocumentId">
    <vt:lpwstr>194be7ddbbf9b99eb505da0db2a15a225a2a1786a9f57870506c4e8aabcccac3</vt:lpwstr>
  </property>
</Properties>
</file>