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2B9" w:rsidRDefault="003A0BAA" w:rsidP="005D0E4E">
      <w:pPr>
        <w:rPr>
          <w:rFonts w:cstheme="minorHAnsi"/>
          <w:color w:val="FF0000"/>
          <w:sz w:val="22"/>
        </w:rPr>
      </w:pPr>
      <w:r>
        <w:rPr>
          <w:rFonts w:cstheme="minorHAnsi"/>
          <w:noProof/>
          <w:color w:val="FF0000"/>
          <w:sz w:val="22"/>
          <w:lang w:eastAsia="en-GB"/>
        </w:rPr>
        <w:drawing>
          <wp:inline distT="0" distB="0" distL="0" distR="0" wp14:anchorId="48C815CC" wp14:editId="493CAA4B">
            <wp:extent cx="1408298" cy="118272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9">
                      <a:extLst>
                        <a:ext uri="{28A0092B-C50C-407E-A947-70E740481C1C}">
                          <a14:useLocalDpi xmlns:a14="http://schemas.microsoft.com/office/drawing/2010/main" val="0"/>
                        </a:ext>
                      </a:extLst>
                    </a:blip>
                    <a:stretch>
                      <a:fillRect/>
                    </a:stretch>
                  </pic:blipFill>
                  <pic:spPr>
                    <a:xfrm>
                      <a:off x="0" y="0"/>
                      <a:ext cx="1408298" cy="1182727"/>
                    </a:xfrm>
                    <a:prstGeom prst="rect">
                      <a:avLst/>
                    </a:prstGeom>
                  </pic:spPr>
                </pic:pic>
              </a:graphicData>
            </a:graphic>
          </wp:inline>
        </w:drawing>
      </w:r>
      <w:bookmarkStart w:id="0" w:name="_GoBack"/>
      <w:bookmarkEnd w:id="0"/>
    </w:p>
    <w:p w:rsidR="003E22BB" w:rsidRPr="00156084" w:rsidRDefault="003E22BB" w:rsidP="003E22BB">
      <w:pPr>
        <w:pStyle w:val="Heading1"/>
        <w:rPr>
          <w:rFonts w:asciiTheme="minorHAnsi" w:hAnsiTheme="minorHAnsi" w:cstheme="minorHAnsi"/>
          <w:sz w:val="24"/>
          <w:szCs w:val="24"/>
        </w:rPr>
      </w:pPr>
      <w:r w:rsidRPr="00156084">
        <w:rPr>
          <w:rFonts w:asciiTheme="minorHAnsi" w:hAnsiTheme="minorHAnsi" w:cstheme="minorHAnsi"/>
          <w:sz w:val="24"/>
          <w:szCs w:val="24"/>
        </w:rPr>
        <w:t xml:space="preserve">Title:  </w:t>
      </w:r>
      <w:r w:rsidRPr="00156084">
        <w:rPr>
          <w:rFonts w:asciiTheme="minorHAnsi" w:hAnsiTheme="minorHAnsi" w:cstheme="minorHAnsi"/>
          <w:sz w:val="24"/>
          <w:szCs w:val="24"/>
        </w:rPr>
        <w:tab/>
      </w:r>
      <w:r w:rsidR="004B3A52" w:rsidRPr="00156084">
        <w:rPr>
          <w:rFonts w:asciiTheme="minorHAnsi" w:hAnsiTheme="minorHAnsi" w:cstheme="minorHAnsi"/>
          <w:sz w:val="24"/>
          <w:szCs w:val="24"/>
        </w:rPr>
        <w:t>N</w:t>
      </w:r>
      <w:r w:rsidR="00156084" w:rsidRPr="00156084">
        <w:rPr>
          <w:rFonts w:asciiTheme="minorHAnsi" w:hAnsiTheme="minorHAnsi" w:cstheme="minorHAnsi"/>
          <w:sz w:val="24"/>
          <w:szCs w:val="24"/>
        </w:rPr>
        <w:t xml:space="preserve">ational </w:t>
      </w:r>
      <w:r w:rsidR="004B3A52" w:rsidRPr="00156084">
        <w:rPr>
          <w:rFonts w:asciiTheme="minorHAnsi" w:hAnsiTheme="minorHAnsi" w:cstheme="minorHAnsi"/>
          <w:sz w:val="24"/>
          <w:szCs w:val="24"/>
        </w:rPr>
        <w:t>P</w:t>
      </w:r>
      <w:r w:rsidR="00156084" w:rsidRPr="00156084">
        <w:rPr>
          <w:rFonts w:asciiTheme="minorHAnsi" w:hAnsiTheme="minorHAnsi" w:cstheme="minorHAnsi"/>
          <w:sz w:val="24"/>
          <w:szCs w:val="24"/>
        </w:rPr>
        <w:t xml:space="preserve">lanning </w:t>
      </w:r>
      <w:r w:rsidR="004B3A52" w:rsidRPr="00156084">
        <w:rPr>
          <w:rFonts w:asciiTheme="minorHAnsi" w:hAnsiTheme="minorHAnsi" w:cstheme="minorHAnsi"/>
          <w:sz w:val="24"/>
          <w:szCs w:val="24"/>
        </w:rPr>
        <w:t>F</w:t>
      </w:r>
      <w:r w:rsidR="00156084" w:rsidRPr="00156084">
        <w:rPr>
          <w:rFonts w:asciiTheme="minorHAnsi" w:hAnsiTheme="minorHAnsi" w:cstheme="minorHAnsi"/>
          <w:sz w:val="24"/>
          <w:szCs w:val="24"/>
        </w:rPr>
        <w:t xml:space="preserve">ramework </w:t>
      </w:r>
      <w:r w:rsidR="004B3A52" w:rsidRPr="00156084">
        <w:rPr>
          <w:rFonts w:asciiTheme="minorHAnsi" w:hAnsiTheme="minorHAnsi" w:cstheme="minorHAnsi"/>
          <w:sz w:val="24"/>
          <w:szCs w:val="24"/>
        </w:rPr>
        <w:t xml:space="preserve">4 </w:t>
      </w:r>
      <w:r w:rsidR="00156084" w:rsidRPr="00156084">
        <w:rPr>
          <w:rFonts w:asciiTheme="minorHAnsi" w:hAnsiTheme="minorHAnsi" w:cstheme="minorHAnsi"/>
          <w:sz w:val="24"/>
          <w:szCs w:val="24"/>
        </w:rPr>
        <w:t xml:space="preserve">(NPF4) </w:t>
      </w:r>
      <w:r w:rsidR="004B3A52" w:rsidRPr="00156084">
        <w:rPr>
          <w:rFonts w:asciiTheme="minorHAnsi" w:hAnsiTheme="minorHAnsi" w:cstheme="minorHAnsi"/>
          <w:sz w:val="24"/>
          <w:szCs w:val="24"/>
        </w:rPr>
        <w:t>- key changes, issues and next steps.</w:t>
      </w:r>
    </w:p>
    <w:p w:rsidR="003E22BB" w:rsidRPr="00156084" w:rsidRDefault="003E22BB" w:rsidP="003A0BAA">
      <w:pPr>
        <w:spacing w:after="0" w:line="240" w:lineRule="auto"/>
        <w:rPr>
          <w:rFonts w:cstheme="minorHAnsi"/>
          <w:b/>
          <w:color w:val="000000" w:themeColor="text1"/>
          <w:szCs w:val="24"/>
        </w:rPr>
      </w:pPr>
      <w:r w:rsidRPr="00156084">
        <w:rPr>
          <w:rFonts w:cstheme="minorHAnsi"/>
          <w:b/>
          <w:color w:val="000000" w:themeColor="text1"/>
          <w:szCs w:val="24"/>
        </w:rPr>
        <w:t>Date:</w:t>
      </w:r>
      <w:r w:rsidRPr="00156084">
        <w:rPr>
          <w:rFonts w:cstheme="minorHAnsi"/>
          <w:b/>
          <w:color w:val="000000" w:themeColor="text1"/>
          <w:szCs w:val="24"/>
        </w:rPr>
        <w:tab/>
      </w:r>
      <w:r w:rsidR="004B3A52" w:rsidRPr="00156084">
        <w:rPr>
          <w:rFonts w:cstheme="minorHAnsi"/>
          <w:b/>
          <w:color w:val="000000" w:themeColor="text1"/>
          <w:szCs w:val="24"/>
        </w:rPr>
        <w:t>7 December 2022</w:t>
      </w:r>
    </w:p>
    <w:p w:rsidR="003A0BAA" w:rsidRPr="00156084" w:rsidRDefault="003A0BAA" w:rsidP="003A0BAA">
      <w:pPr>
        <w:spacing w:after="0" w:line="240" w:lineRule="auto"/>
        <w:rPr>
          <w:rFonts w:cstheme="minorHAnsi"/>
          <w:b/>
          <w:color w:val="000000" w:themeColor="text1"/>
          <w:szCs w:val="24"/>
        </w:rPr>
      </w:pPr>
    </w:p>
    <w:tbl>
      <w:tblPr>
        <w:tblStyle w:val="TableGrid"/>
        <w:tblW w:w="0" w:type="auto"/>
        <w:tblLook w:val="04A0" w:firstRow="1" w:lastRow="0" w:firstColumn="1" w:lastColumn="0" w:noHBand="0" w:noVBand="1"/>
        <w:tblCaption w:val="Cover page "/>
        <w:tblDescription w:val="Summary of information provided in the subsequent pages of the paper"/>
      </w:tblPr>
      <w:tblGrid>
        <w:gridCol w:w="2547"/>
        <w:gridCol w:w="6469"/>
      </w:tblGrid>
      <w:tr w:rsidR="005D0E4E" w:rsidRPr="00156084" w:rsidTr="005D0E4E">
        <w:tc>
          <w:tcPr>
            <w:tcW w:w="2547" w:type="dxa"/>
          </w:tcPr>
          <w:p w:rsidR="005D0E4E" w:rsidRPr="00156084" w:rsidRDefault="005D0E4E" w:rsidP="00027A76">
            <w:pPr>
              <w:rPr>
                <w:rFonts w:cstheme="minorHAnsi"/>
                <w:szCs w:val="24"/>
              </w:rPr>
            </w:pPr>
            <w:r w:rsidRPr="00156084">
              <w:rPr>
                <w:rStyle w:val="Heading3Char"/>
                <w:rFonts w:asciiTheme="minorHAnsi" w:hAnsiTheme="minorHAnsi" w:cstheme="minorHAnsi"/>
                <w:b/>
                <w:color w:val="auto"/>
              </w:rPr>
              <w:t>Purpose:</w:t>
            </w:r>
          </w:p>
        </w:tc>
        <w:tc>
          <w:tcPr>
            <w:tcW w:w="6469" w:type="dxa"/>
          </w:tcPr>
          <w:p w:rsidR="005D0E4E" w:rsidRPr="00156084" w:rsidRDefault="00B56225" w:rsidP="0032429D">
            <w:pPr>
              <w:contextualSpacing/>
              <w:rPr>
                <w:rFonts w:eastAsia="Arial" w:cstheme="minorHAnsi"/>
                <w:szCs w:val="24"/>
              </w:rPr>
            </w:pPr>
            <w:r>
              <w:rPr>
                <w:rFonts w:eastAsia="Arial" w:cstheme="minorHAnsi"/>
                <w:szCs w:val="24"/>
              </w:rPr>
              <w:t>Discussion</w:t>
            </w:r>
          </w:p>
        </w:tc>
      </w:tr>
      <w:tr w:rsidR="005D0E4E" w:rsidRPr="00156084" w:rsidTr="005D0E4E">
        <w:tc>
          <w:tcPr>
            <w:tcW w:w="2547" w:type="dxa"/>
          </w:tcPr>
          <w:p w:rsidR="005D0E4E" w:rsidRPr="00156084" w:rsidRDefault="005D0E4E" w:rsidP="00027A76">
            <w:pPr>
              <w:rPr>
                <w:rFonts w:eastAsia="Arial" w:cstheme="minorHAnsi"/>
                <w:szCs w:val="24"/>
              </w:rPr>
            </w:pPr>
            <w:r w:rsidRPr="00156084">
              <w:rPr>
                <w:rFonts w:eastAsia="Arial" w:cstheme="minorHAnsi"/>
                <w:b/>
                <w:szCs w:val="24"/>
              </w:rPr>
              <w:t>How does this link with our corporate priorities of improving biodiversity or delivering nature-based solutions to climate change:</w:t>
            </w:r>
          </w:p>
        </w:tc>
        <w:tc>
          <w:tcPr>
            <w:tcW w:w="6469" w:type="dxa"/>
          </w:tcPr>
          <w:p w:rsidR="005D0E4E" w:rsidRPr="003847D8" w:rsidRDefault="00A54985" w:rsidP="00A54985">
            <w:pPr>
              <w:contextualSpacing/>
              <w:rPr>
                <w:rFonts w:eastAsia="Arial" w:cstheme="minorHAnsi"/>
                <w:szCs w:val="24"/>
              </w:rPr>
            </w:pPr>
            <w:r>
              <w:rPr>
                <w:rFonts w:eastAsia="Arial" w:cstheme="minorHAnsi"/>
                <w:szCs w:val="24"/>
              </w:rPr>
              <w:t xml:space="preserve">The </w:t>
            </w:r>
            <w:r w:rsidR="00027A76" w:rsidRPr="003847D8">
              <w:rPr>
                <w:rFonts w:eastAsia="Arial" w:cstheme="minorHAnsi"/>
                <w:szCs w:val="24"/>
              </w:rPr>
              <w:t xml:space="preserve">Paper </w:t>
            </w:r>
            <w:r>
              <w:rPr>
                <w:rFonts w:eastAsia="Arial" w:cstheme="minorHAnsi"/>
                <w:szCs w:val="24"/>
              </w:rPr>
              <w:t xml:space="preserve">highlights the key updates to National Planning Policies which are </w:t>
            </w:r>
            <w:r w:rsidR="00027A76" w:rsidRPr="003847D8">
              <w:rPr>
                <w:rFonts w:eastAsia="Arial" w:cstheme="minorHAnsi"/>
                <w:szCs w:val="24"/>
              </w:rPr>
              <w:t xml:space="preserve">relevant to our corporate objective to </w:t>
            </w:r>
            <w:r w:rsidR="003847D8">
              <w:rPr>
                <w:rFonts w:eastAsia="Arial" w:cstheme="minorHAnsi"/>
                <w:szCs w:val="24"/>
              </w:rPr>
              <w:t>Protect</w:t>
            </w:r>
            <w:r w:rsidR="003847D8" w:rsidRPr="003847D8">
              <w:rPr>
                <w:rFonts w:eastAsia="Arial" w:cstheme="minorHAnsi"/>
                <w:szCs w:val="24"/>
              </w:rPr>
              <w:t xml:space="preserve"> natu</w:t>
            </w:r>
            <w:r>
              <w:rPr>
                <w:rFonts w:eastAsia="Arial" w:cstheme="minorHAnsi"/>
                <w:szCs w:val="24"/>
              </w:rPr>
              <w:t>re by expanding protected areas; regulating species management;</w:t>
            </w:r>
            <w:r w:rsidR="003847D8" w:rsidRPr="003847D8">
              <w:rPr>
                <w:rFonts w:eastAsia="Arial" w:cstheme="minorHAnsi"/>
                <w:szCs w:val="24"/>
              </w:rPr>
              <w:t xml:space="preserve"> and delivering effective planning advice on land and at sea</w:t>
            </w:r>
          </w:p>
        </w:tc>
      </w:tr>
      <w:tr w:rsidR="005D0E4E" w:rsidRPr="00156084" w:rsidTr="005D0E4E">
        <w:tc>
          <w:tcPr>
            <w:tcW w:w="2547" w:type="dxa"/>
          </w:tcPr>
          <w:p w:rsidR="005D0E4E" w:rsidRPr="00156084" w:rsidRDefault="005D0E4E" w:rsidP="00027A76">
            <w:pPr>
              <w:rPr>
                <w:rFonts w:eastAsia="Arial" w:cstheme="minorHAnsi"/>
                <w:szCs w:val="24"/>
              </w:rPr>
            </w:pPr>
            <w:r w:rsidRPr="00156084">
              <w:rPr>
                <w:rFonts w:eastAsia="Arial" w:cstheme="minorHAnsi"/>
                <w:b/>
                <w:szCs w:val="24"/>
              </w:rPr>
              <w:t>Summary:</w:t>
            </w:r>
          </w:p>
        </w:tc>
        <w:tc>
          <w:tcPr>
            <w:tcW w:w="6469" w:type="dxa"/>
          </w:tcPr>
          <w:p w:rsidR="005D0E4E" w:rsidRPr="00666A8A" w:rsidRDefault="00476D0F" w:rsidP="00476D0F">
            <w:pPr>
              <w:contextualSpacing/>
              <w:rPr>
                <w:rFonts w:eastAsia="Arial" w:cstheme="minorHAnsi"/>
                <w:szCs w:val="24"/>
              </w:rPr>
            </w:pPr>
            <w:r>
              <w:rPr>
                <w:rFonts w:eastAsia="Arial" w:cstheme="minorHAnsi"/>
                <w:szCs w:val="24"/>
              </w:rPr>
              <w:t>The Paper provides a very brief u</w:t>
            </w:r>
            <w:r w:rsidR="004B3A52" w:rsidRPr="00156084">
              <w:rPr>
                <w:rFonts w:eastAsia="Arial" w:cstheme="minorHAnsi"/>
                <w:szCs w:val="24"/>
              </w:rPr>
              <w:t>pdate on key c</w:t>
            </w:r>
            <w:r>
              <w:rPr>
                <w:rFonts w:eastAsia="Arial" w:cstheme="minorHAnsi"/>
                <w:szCs w:val="24"/>
              </w:rPr>
              <w:t>hanges, issues and next steps as a result of the</w:t>
            </w:r>
            <w:r w:rsidR="004B3A52" w:rsidRPr="00156084">
              <w:rPr>
                <w:rFonts w:eastAsia="Arial" w:cstheme="minorHAnsi"/>
                <w:szCs w:val="24"/>
              </w:rPr>
              <w:t xml:space="preserve"> latest draft </w:t>
            </w:r>
            <w:r>
              <w:rPr>
                <w:rFonts w:eastAsia="Arial" w:cstheme="minorHAnsi"/>
                <w:szCs w:val="24"/>
              </w:rPr>
              <w:t xml:space="preserve">of </w:t>
            </w:r>
            <w:r w:rsidRPr="00156084">
              <w:rPr>
                <w:rFonts w:eastAsia="Arial" w:cstheme="minorHAnsi"/>
                <w:szCs w:val="24"/>
              </w:rPr>
              <w:t>N</w:t>
            </w:r>
            <w:r>
              <w:rPr>
                <w:rFonts w:eastAsia="Arial" w:cstheme="minorHAnsi"/>
                <w:szCs w:val="24"/>
              </w:rPr>
              <w:t>ational Planning Framework (NPF4)</w:t>
            </w:r>
          </w:p>
        </w:tc>
      </w:tr>
      <w:tr w:rsidR="005D0E4E" w:rsidRPr="00156084" w:rsidTr="005D0E4E">
        <w:tc>
          <w:tcPr>
            <w:tcW w:w="2547" w:type="dxa"/>
          </w:tcPr>
          <w:p w:rsidR="005D0E4E" w:rsidRPr="00156084" w:rsidRDefault="005D0E4E" w:rsidP="005D0E4E">
            <w:pPr>
              <w:contextualSpacing/>
              <w:rPr>
                <w:rFonts w:eastAsia="Arial" w:cstheme="minorHAnsi"/>
                <w:szCs w:val="24"/>
              </w:rPr>
            </w:pPr>
            <w:r w:rsidRPr="00156084">
              <w:rPr>
                <w:rFonts w:eastAsia="Arial" w:cstheme="minorHAnsi"/>
                <w:b/>
                <w:szCs w:val="24"/>
              </w:rPr>
              <w:t>Actions:</w:t>
            </w:r>
            <w:r w:rsidRPr="00156084">
              <w:rPr>
                <w:rFonts w:eastAsia="Arial" w:cstheme="minorHAnsi"/>
                <w:szCs w:val="24"/>
              </w:rPr>
              <w:t xml:space="preserve"> </w:t>
            </w:r>
          </w:p>
        </w:tc>
        <w:tc>
          <w:tcPr>
            <w:tcW w:w="6469" w:type="dxa"/>
          </w:tcPr>
          <w:p w:rsidR="005D0E4E" w:rsidRPr="00156084" w:rsidRDefault="00EE2D45" w:rsidP="00A54985">
            <w:pPr>
              <w:rPr>
                <w:rFonts w:eastAsia="Arial" w:cstheme="minorHAnsi"/>
                <w:szCs w:val="24"/>
              </w:rPr>
            </w:pPr>
            <w:r>
              <w:rPr>
                <w:rFonts w:eastAsia="Arial" w:cstheme="minorHAnsi"/>
                <w:szCs w:val="24"/>
              </w:rPr>
              <w:t xml:space="preserve">The </w:t>
            </w:r>
            <w:r w:rsidRPr="00EE2D45">
              <w:rPr>
                <w:rFonts w:eastAsia="Arial" w:cstheme="minorHAnsi"/>
                <w:szCs w:val="24"/>
              </w:rPr>
              <w:t xml:space="preserve">Board are asked to note changes to the policy landscape we work within </w:t>
            </w:r>
            <w:r w:rsidR="00A54985">
              <w:rPr>
                <w:rFonts w:eastAsia="Arial" w:cstheme="minorHAnsi"/>
                <w:szCs w:val="24"/>
              </w:rPr>
              <w:t xml:space="preserve">the planning framework </w:t>
            </w:r>
            <w:r w:rsidRPr="00EE2D45">
              <w:rPr>
                <w:rFonts w:eastAsia="Arial" w:cstheme="minorHAnsi"/>
                <w:szCs w:val="24"/>
              </w:rPr>
              <w:t xml:space="preserve">and </w:t>
            </w:r>
            <w:r w:rsidR="00A54985">
              <w:rPr>
                <w:rFonts w:eastAsia="Arial" w:cstheme="minorHAnsi"/>
                <w:szCs w:val="24"/>
              </w:rPr>
              <w:t>the likely consequent change</w:t>
            </w:r>
            <w:r w:rsidRPr="00EE2D45">
              <w:rPr>
                <w:rFonts w:eastAsia="Arial" w:cstheme="minorHAnsi"/>
                <w:szCs w:val="24"/>
              </w:rPr>
              <w:t xml:space="preserve"> of emphasis in our </w:t>
            </w:r>
            <w:r w:rsidR="00A54985">
              <w:rPr>
                <w:rFonts w:eastAsia="Arial" w:cstheme="minorHAnsi"/>
                <w:szCs w:val="24"/>
              </w:rPr>
              <w:t>approach to</w:t>
            </w:r>
            <w:r w:rsidR="00A54985" w:rsidRPr="00EE2D45">
              <w:rPr>
                <w:rFonts w:eastAsia="Arial" w:cstheme="minorHAnsi"/>
                <w:szCs w:val="24"/>
              </w:rPr>
              <w:t xml:space="preserve"> </w:t>
            </w:r>
            <w:r w:rsidRPr="00EE2D45">
              <w:rPr>
                <w:rFonts w:eastAsia="Arial" w:cstheme="minorHAnsi"/>
                <w:szCs w:val="24"/>
              </w:rPr>
              <w:t xml:space="preserve">planning casework </w:t>
            </w:r>
            <w:r w:rsidR="00A54985">
              <w:rPr>
                <w:rFonts w:eastAsia="Arial" w:cstheme="minorHAnsi"/>
                <w:szCs w:val="24"/>
              </w:rPr>
              <w:t>as a result.</w:t>
            </w:r>
          </w:p>
        </w:tc>
      </w:tr>
      <w:tr w:rsidR="005D0E4E" w:rsidRPr="00156084" w:rsidTr="005D0E4E">
        <w:tc>
          <w:tcPr>
            <w:tcW w:w="2547" w:type="dxa"/>
          </w:tcPr>
          <w:p w:rsidR="005D0E4E" w:rsidRPr="00156084" w:rsidRDefault="005D0E4E" w:rsidP="005D0E4E">
            <w:pPr>
              <w:contextualSpacing/>
              <w:rPr>
                <w:rFonts w:eastAsia="Arial" w:cstheme="minorHAnsi"/>
                <w:szCs w:val="24"/>
              </w:rPr>
            </w:pPr>
            <w:r w:rsidRPr="00156084">
              <w:rPr>
                <w:rFonts w:eastAsia="Arial" w:cstheme="minorHAnsi"/>
                <w:b/>
                <w:szCs w:val="24"/>
              </w:rPr>
              <w:t>Recommendations:</w:t>
            </w:r>
            <w:r w:rsidRPr="00156084">
              <w:rPr>
                <w:rFonts w:eastAsia="Arial" w:cstheme="minorHAnsi"/>
                <w:szCs w:val="24"/>
              </w:rPr>
              <w:t xml:space="preserve"> </w:t>
            </w:r>
          </w:p>
        </w:tc>
        <w:tc>
          <w:tcPr>
            <w:tcW w:w="6469" w:type="dxa"/>
          </w:tcPr>
          <w:p w:rsidR="005D0E4E" w:rsidRPr="00156084" w:rsidRDefault="00EE2D45" w:rsidP="00A54985">
            <w:pPr>
              <w:rPr>
                <w:rFonts w:eastAsia="Arial" w:cstheme="minorHAnsi"/>
                <w:szCs w:val="24"/>
              </w:rPr>
            </w:pPr>
            <w:r w:rsidRPr="00EE2D45">
              <w:rPr>
                <w:rFonts w:eastAsia="Arial" w:cstheme="minorHAnsi"/>
                <w:szCs w:val="24"/>
              </w:rPr>
              <w:t xml:space="preserve">The Board are asked to note progress with the latest planning policies and </w:t>
            </w:r>
            <w:r>
              <w:rPr>
                <w:rFonts w:eastAsia="Arial" w:cstheme="minorHAnsi"/>
                <w:szCs w:val="24"/>
              </w:rPr>
              <w:t xml:space="preserve">agree </w:t>
            </w:r>
            <w:r w:rsidRPr="00EE2D45">
              <w:rPr>
                <w:rFonts w:eastAsia="Arial" w:cstheme="minorHAnsi"/>
                <w:szCs w:val="24"/>
              </w:rPr>
              <w:t>we will implement a review of our casework involvement in the planning system and our national interest guidance.</w:t>
            </w:r>
          </w:p>
        </w:tc>
      </w:tr>
      <w:tr w:rsidR="005D0E4E" w:rsidRPr="00156084" w:rsidTr="005D0E4E">
        <w:tc>
          <w:tcPr>
            <w:tcW w:w="2547" w:type="dxa"/>
          </w:tcPr>
          <w:p w:rsidR="005D0E4E" w:rsidRPr="00156084" w:rsidRDefault="00156084" w:rsidP="005D0E4E">
            <w:pPr>
              <w:contextualSpacing/>
              <w:rPr>
                <w:rFonts w:eastAsia="Arial" w:cstheme="minorHAnsi"/>
                <w:b/>
                <w:szCs w:val="24"/>
              </w:rPr>
            </w:pPr>
            <w:r w:rsidRPr="00156084">
              <w:rPr>
                <w:rFonts w:eastAsia="Arial" w:cstheme="minorHAnsi"/>
                <w:b/>
                <w:szCs w:val="24"/>
              </w:rPr>
              <w:t>Report Author</w:t>
            </w:r>
            <w:r w:rsidR="005D0E4E" w:rsidRPr="00156084">
              <w:rPr>
                <w:rFonts w:eastAsia="Arial" w:cstheme="minorHAnsi"/>
                <w:b/>
                <w:szCs w:val="24"/>
              </w:rPr>
              <w:t>:</w:t>
            </w:r>
          </w:p>
        </w:tc>
        <w:tc>
          <w:tcPr>
            <w:tcW w:w="6469" w:type="dxa"/>
          </w:tcPr>
          <w:p w:rsidR="005D0E4E" w:rsidRPr="00156084" w:rsidRDefault="004B3A52" w:rsidP="00027A76">
            <w:pPr>
              <w:rPr>
                <w:rFonts w:eastAsia="Arial" w:cstheme="minorHAnsi"/>
                <w:szCs w:val="24"/>
              </w:rPr>
            </w:pPr>
            <w:r w:rsidRPr="00156084">
              <w:rPr>
                <w:rFonts w:eastAsia="Arial" w:cstheme="minorHAnsi"/>
                <w:szCs w:val="24"/>
              </w:rPr>
              <w:t>Darren Hemsley</w:t>
            </w:r>
          </w:p>
        </w:tc>
      </w:tr>
      <w:tr w:rsidR="005D0E4E" w:rsidRPr="00156084" w:rsidTr="005D0E4E">
        <w:tc>
          <w:tcPr>
            <w:tcW w:w="2547" w:type="dxa"/>
          </w:tcPr>
          <w:p w:rsidR="005D0E4E" w:rsidRPr="00156084" w:rsidRDefault="005D0E4E" w:rsidP="005D0E4E">
            <w:pPr>
              <w:contextualSpacing/>
              <w:rPr>
                <w:rFonts w:eastAsia="Arial" w:cstheme="minorHAnsi"/>
                <w:b/>
                <w:szCs w:val="24"/>
              </w:rPr>
            </w:pPr>
            <w:r w:rsidRPr="00156084">
              <w:rPr>
                <w:rFonts w:eastAsia="Arial" w:cstheme="minorHAnsi"/>
                <w:b/>
                <w:szCs w:val="24"/>
              </w:rPr>
              <w:t>Sponsor:</w:t>
            </w:r>
            <w:r w:rsidRPr="00156084">
              <w:rPr>
                <w:rFonts w:eastAsia="Arial" w:cstheme="minorHAnsi"/>
                <w:b/>
                <w:szCs w:val="24"/>
              </w:rPr>
              <w:tab/>
            </w:r>
          </w:p>
        </w:tc>
        <w:tc>
          <w:tcPr>
            <w:tcW w:w="6469" w:type="dxa"/>
          </w:tcPr>
          <w:p w:rsidR="005D0E4E" w:rsidRPr="00156084" w:rsidRDefault="004B3A52" w:rsidP="00027A76">
            <w:pPr>
              <w:rPr>
                <w:rFonts w:eastAsia="Arial" w:cstheme="minorHAnsi"/>
                <w:szCs w:val="24"/>
              </w:rPr>
            </w:pPr>
            <w:r w:rsidRPr="00156084">
              <w:rPr>
                <w:rFonts w:eastAsia="Arial" w:cstheme="minorHAnsi"/>
                <w:szCs w:val="24"/>
              </w:rPr>
              <w:t>Robbie Kernahan</w:t>
            </w:r>
          </w:p>
        </w:tc>
      </w:tr>
      <w:tr w:rsidR="005D0E4E" w:rsidRPr="00156084" w:rsidTr="005D0E4E">
        <w:tc>
          <w:tcPr>
            <w:tcW w:w="2547" w:type="dxa"/>
          </w:tcPr>
          <w:p w:rsidR="005D0E4E" w:rsidRPr="00156084" w:rsidRDefault="005D0E4E" w:rsidP="005D0E4E">
            <w:pPr>
              <w:contextualSpacing/>
              <w:rPr>
                <w:rFonts w:eastAsia="Arial" w:cstheme="minorHAnsi"/>
                <w:szCs w:val="24"/>
              </w:rPr>
            </w:pPr>
            <w:r w:rsidRPr="00156084">
              <w:rPr>
                <w:rFonts w:eastAsia="Arial" w:cstheme="minorHAnsi"/>
                <w:b/>
                <w:szCs w:val="24"/>
              </w:rPr>
              <w:t>Appendices</w:t>
            </w:r>
            <w:r w:rsidRPr="00156084">
              <w:rPr>
                <w:rFonts w:eastAsia="Arial" w:cstheme="minorHAnsi"/>
                <w:szCs w:val="24"/>
              </w:rPr>
              <w:t xml:space="preserve">: </w:t>
            </w:r>
            <w:r w:rsidRPr="00156084">
              <w:rPr>
                <w:rFonts w:eastAsia="Arial" w:cstheme="minorHAnsi"/>
                <w:i/>
                <w:szCs w:val="24"/>
              </w:rPr>
              <w:t>Please note all appendices.</w:t>
            </w:r>
          </w:p>
        </w:tc>
        <w:tc>
          <w:tcPr>
            <w:tcW w:w="6469" w:type="dxa"/>
          </w:tcPr>
          <w:p w:rsidR="005D0E4E" w:rsidRPr="00156084" w:rsidRDefault="00156084" w:rsidP="00156084">
            <w:pPr>
              <w:contextualSpacing/>
              <w:rPr>
                <w:rFonts w:eastAsia="Arial" w:cstheme="minorHAnsi"/>
                <w:szCs w:val="24"/>
              </w:rPr>
            </w:pPr>
            <w:r>
              <w:rPr>
                <w:rFonts w:eastAsia="Arial" w:cstheme="minorHAnsi"/>
                <w:szCs w:val="24"/>
              </w:rPr>
              <w:t xml:space="preserve">Annex 1 – NPF4 further policy detail </w:t>
            </w:r>
          </w:p>
        </w:tc>
      </w:tr>
    </w:tbl>
    <w:p w:rsidR="00B56225" w:rsidRDefault="00B56225" w:rsidP="00666A8A">
      <w:pPr>
        <w:rPr>
          <w:b/>
          <w:szCs w:val="24"/>
        </w:rPr>
      </w:pPr>
    </w:p>
    <w:p w:rsidR="00B56225" w:rsidRDefault="00B56225">
      <w:pPr>
        <w:rPr>
          <w:b/>
          <w:szCs w:val="24"/>
        </w:rPr>
      </w:pPr>
      <w:r>
        <w:rPr>
          <w:b/>
          <w:szCs w:val="24"/>
        </w:rPr>
        <w:br w:type="page"/>
      </w:r>
    </w:p>
    <w:p w:rsidR="00FA0E12" w:rsidRPr="00666A8A" w:rsidRDefault="00EE2D45" w:rsidP="00666A8A">
      <w:pPr>
        <w:rPr>
          <w:rFonts w:eastAsiaTheme="majorEastAsia" w:cstheme="minorHAnsi"/>
          <w:b/>
          <w:szCs w:val="24"/>
        </w:rPr>
      </w:pPr>
      <w:r>
        <w:rPr>
          <w:b/>
          <w:szCs w:val="24"/>
        </w:rPr>
        <w:lastRenderedPageBreak/>
        <w:t xml:space="preserve">Purpose </w:t>
      </w:r>
    </w:p>
    <w:p w:rsidR="00EE2D45" w:rsidRDefault="00EE2D45" w:rsidP="00B56225">
      <w:pPr>
        <w:pStyle w:val="paragraph"/>
        <w:numPr>
          <w:ilvl w:val="0"/>
          <w:numId w:val="23"/>
        </w:numPr>
        <w:spacing w:before="0" w:beforeAutospacing="0" w:after="0" w:afterAutospacing="0"/>
        <w:ind w:left="357" w:hanging="357"/>
        <w:textAlignment w:val="baseline"/>
        <w:rPr>
          <w:rStyle w:val="normaltextrun"/>
          <w:rFonts w:asciiTheme="minorHAnsi" w:hAnsiTheme="minorHAnsi" w:cstheme="minorHAnsi"/>
        </w:rPr>
      </w:pPr>
      <w:r>
        <w:rPr>
          <w:rStyle w:val="normaltextrun"/>
          <w:rFonts w:asciiTheme="minorHAnsi" w:hAnsiTheme="minorHAnsi" w:cstheme="minorHAnsi"/>
        </w:rPr>
        <w:t>The paper provides a brief u</w:t>
      </w:r>
      <w:r w:rsidRPr="00EE2D45">
        <w:rPr>
          <w:rStyle w:val="normaltextrun"/>
          <w:rFonts w:asciiTheme="minorHAnsi" w:hAnsiTheme="minorHAnsi" w:cstheme="minorHAnsi"/>
        </w:rPr>
        <w:t xml:space="preserve">pdate on key changes to </w:t>
      </w:r>
      <w:r>
        <w:rPr>
          <w:rStyle w:val="normaltextrun"/>
          <w:rFonts w:asciiTheme="minorHAnsi" w:hAnsiTheme="minorHAnsi" w:cstheme="minorHAnsi"/>
        </w:rPr>
        <w:t>the National Planning Framework (</w:t>
      </w:r>
      <w:r w:rsidRPr="00EE2D45">
        <w:rPr>
          <w:rStyle w:val="normaltextrun"/>
          <w:rFonts w:asciiTheme="minorHAnsi" w:hAnsiTheme="minorHAnsi" w:cstheme="minorHAnsi"/>
        </w:rPr>
        <w:t>NPF4</w:t>
      </w:r>
      <w:r>
        <w:rPr>
          <w:rStyle w:val="normaltextrun"/>
          <w:rFonts w:asciiTheme="minorHAnsi" w:hAnsiTheme="minorHAnsi" w:cstheme="minorHAnsi"/>
        </w:rPr>
        <w:t>)</w:t>
      </w:r>
      <w:r w:rsidRPr="00EE2D45">
        <w:rPr>
          <w:rStyle w:val="normaltextrun"/>
          <w:rFonts w:asciiTheme="minorHAnsi" w:hAnsiTheme="minorHAnsi" w:cstheme="minorHAnsi"/>
        </w:rPr>
        <w:t xml:space="preserve"> and the implications for NatureScot</w:t>
      </w:r>
      <w:r>
        <w:rPr>
          <w:rStyle w:val="normaltextrun"/>
          <w:rFonts w:asciiTheme="minorHAnsi" w:hAnsiTheme="minorHAnsi" w:cstheme="minorHAnsi"/>
        </w:rPr>
        <w:t>.</w:t>
      </w:r>
    </w:p>
    <w:p w:rsidR="00EE2D45" w:rsidRDefault="00EE2D45" w:rsidP="00EE2D45">
      <w:pPr>
        <w:pStyle w:val="paragraph"/>
        <w:spacing w:before="0" w:beforeAutospacing="0" w:after="0" w:afterAutospacing="0"/>
        <w:textAlignment w:val="baseline"/>
        <w:rPr>
          <w:rStyle w:val="normaltextrun"/>
          <w:rFonts w:asciiTheme="minorHAnsi" w:hAnsiTheme="minorHAnsi" w:cstheme="minorHAnsi"/>
        </w:rPr>
      </w:pPr>
    </w:p>
    <w:p w:rsidR="00EE2D45" w:rsidRPr="00EE2D45" w:rsidRDefault="00EE2D45" w:rsidP="00EE2D45">
      <w:pPr>
        <w:pStyle w:val="paragraph"/>
        <w:spacing w:before="0" w:beforeAutospacing="0" w:after="0" w:afterAutospacing="0"/>
        <w:textAlignment w:val="baseline"/>
        <w:rPr>
          <w:rStyle w:val="normaltextrun"/>
          <w:rFonts w:asciiTheme="minorHAnsi" w:hAnsiTheme="minorHAnsi" w:cstheme="minorHAnsi"/>
          <w:b/>
        </w:rPr>
      </w:pPr>
      <w:r w:rsidRPr="00EE2D45">
        <w:rPr>
          <w:rStyle w:val="normaltextrun"/>
          <w:rFonts w:asciiTheme="minorHAnsi" w:hAnsiTheme="minorHAnsi" w:cstheme="minorHAnsi"/>
          <w:b/>
        </w:rPr>
        <w:t>Background</w:t>
      </w:r>
    </w:p>
    <w:p w:rsidR="00EE2D45" w:rsidRDefault="00EE2D45" w:rsidP="00EE2D45">
      <w:pPr>
        <w:pStyle w:val="paragraph"/>
        <w:spacing w:before="0" w:beforeAutospacing="0" w:after="0" w:afterAutospacing="0"/>
        <w:ind w:left="720"/>
        <w:textAlignment w:val="baseline"/>
        <w:rPr>
          <w:rStyle w:val="normaltextrun"/>
          <w:rFonts w:asciiTheme="minorHAnsi" w:hAnsiTheme="minorHAnsi" w:cstheme="minorHAnsi"/>
        </w:rPr>
      </w:pPr>
    </w:p>
    <w:p w:rsidR="00EE2D45" w:rsidRDefault="00A54985" w:rsidP="00B56225">
      <w:pPr>
        <w:pStyle w:val="paragraph"/>
        <w:numPr>
          <w:ilvl w:val="0"/>
          <w:numId w:val="23"/>
        </w:numPr>
        <w:spacing w:before="0" w:beforeAutospacing="0" w:after="0" w:afterAutospacing="0"/>
        <w:ind w:left="357" w:hanging="357"/>
        <w:textAlignment w:val="baseline"/>
        <w:rPr>
          <w:rStyle w:val="normaltextrun"/>
          <w:rFonts w:asciiTheme="minorHAnsi" w:hAnsiTheme="minorHAnsi" w:cstheme="minorHAnsi"/>
        </w:rPr>
      </w:pPr>
      <w:r>
        <w:rPr>
          <w:rStyle w:val="normaltextrun"/>
          <w:rFonts w:asciiTheme="minorHAnsi" w:hAnsiTheme="minorHAnsi" w:cstheme="minorHAnsi"/>
        </w:rPr>
        <w:t xml:space="preserve">The </w:t>
      </w:r>
      <w:r w:rsidRPr="00A54985">
        <w:rPr>
          <w:rStyle w:val="normaltextrun"/>
          <w:rFonts w:asciiTheme="minorHAnsi" w:hAnsiTheme="minorHAnsi" w:cstheme="minorHAnsi"/>
        </w:rPr>
        <w:t>Scottish Government published the ‘National Planning Framework: Revised Draft’ on 8</w:t>
      </w:r>
      <w:r>
        <w:rPr>
          <w:rStyle w:val="normaltextrun"/>
          <w:rFonts w:asciiTheme="minorHAnsi" w:hAnsiTheme="minorHAnsi" w:cstheme="minorHAnsi"/>
        </w:rPr>
        <w:t>th</w:t>
      </w:r>
      <w:r w:rsidRPr="00A54985">
        <w:rPr>
          <w:rStyle w:val="normaltextrun"/>
          <w:rFonts w:asciiTheme="minorHAnsi" w:hAnsiTheme="minorHAnsi" w:cstheme="minorHAnsi"/>
        </w:rPr>
        <w:t xml:space="preserve"> November 2022.  This sets out how Scotland’s approach to planning and development will help to achieve a net zero and sustainable Scotland by 2045. </w:t>
      </w:r>
    </w:p>
    <w:p w:rsidR="00A54985" w:rsidRPr="00B56225" w:rsidRDefault="00A54985" w:rsidP="00B56225">
      <w:pPr>
        <w:pStyle w:val="paragraph"/>
        <w:spacing w:before="0" w:beforeAutospacing="0" w:after="0" w:afterAutospacing="0"/>
        <w:ind w:left="357"/>
        <w:textAlignment w:val="baseline"/>
        <w:rPr>
          <w:rStyle w:val="normaltextrun"/>
        </w:rPr>
      </w:pPr>
    </w:p>
    <w:p w:rsidR="00EE2D45" w:rsidRDefault="007A6791" w:rsidP="00B56225">
      <w:pPr>
        <w:pStyle w:val="paragraph"/>
        <w:numPr>
          <w:ilvl w:val="0"/>
          <w:numId w:val="23"/>
        </w:numPr>
        <w:spacing w:before="0" w:beforeAutospacing="0" w:after="0" w:afterAutospacing="0"/>
        <w:ind w:left="357" w:hanging="357"/>
        <w:textAlignment w:val="baseline"/>
        <w:rPr>
          <w:rStyle w:val="normaltextrun"/>
          <w:rFonts w:asciiTheme="minorHAnsi" w:hAnsiTheme="minorHAnsi" w:cstheme="minorHAnsi"/>
        </w:rPr>
      </w:pPr>
      <w:r w:rsidRPr="00EE2D45">
        <w:rPr>
          <w:rStyle w:val="normaltextrun"/>
          <w:rFonts w:asciiTheme="minorHAnsi" w:hAnsiTheme="minorHAnsi" w:cstheme="minorHAnsi"/>
        </w:rPr>
        <w:t>This paper summarises key changes arising from the new Draft Framework, the timetable for adoption</w:t>
      </w:r>
      <w:r w:rsidR="00EF0F91" w:rsidRPr="00EE2D45">
        <w:rPr>
          <w:rStyle w:val="normaltextrun"/>
          <w:rFonts w:asciiTheme="minorHAnsi" w:hAnsiTheme="minorHAnsi" w:cstheme="minorHAnsi"/>
        </w:rPr>
        <w:t>,</w:t>
      </w:r>
      <w:r w:rsidRPr="00EE2D45">
        <w:rPr>
          <w:rStyle w:val="normaltextrun"/>
          <w:rFonts w:asciiTheme="minorHAnsi" w:hAnsiTheme="minorHAnsi" w:cstheme="minorHAnsi"/>
        </w:rPr>
        <w:t xml:space="preserve"> and what NatureScot needs to consider by the time of enactment of NPF4.</w:t>
      </w:r>
    </w:p>
    <w:p w:rsidR="00076774" w:rsidRDefault="00076774" w:rsidP="00EE2D45">
      <w:pPr>
        <w:rPr>
          <w:rFonts w:eastAsiaTheme="minorEastAsia" w:cstheme="minorHAnsi"/>
          <w:b/>
          <w:kern w:val="24"/>
          <w:lang w:val="en-US"/>
        </w:rPr>
      </w:pPr>
    </w:p>
    <w:p w:rsidR="00EE2D45" w:rsidRPr="00EE2D45" w:rsidRDefault="00EE2D45" w:rsidP="00EE2D45">
      <w:pPr>
        <w:rPr>
          <w:rFonts w:eastAsiaTheme="minorEastAsia" w:cstheme="minorHAnsi"/>
          <w:b/>
          <w:kern w:val="24"/>
          <w:lang w:val="en-US"/>
        </w:rPr>
      </w:pPr>
      <w:r w:rsidRPr="00EE2D45">
        <w:rPr>
          <w:rFonts w:eastAsiaTheme="minorEastAsia" w:cstheme="minorHAnsi"/>
          <w:b/>
          <w:kern w:val="24"/>
          <w:lang w:val="en-US"/>
        </w:rPr>
        <w:t>Key Points to Highlight</w:t>
      </w:r>
    </w:p>
    <w:p w:rsidR="00612004" w:rsidRPr="00B56225" w:rsidRDefault="00AA513B" w:rsidP="00B56225">
      <w:pPr>
        <w:pStyle w:val="paragraph"/>
        <w:numPr>
          <w:ilvl w:val="0"/>
          <w:numId w:val="23"/>
        </w:numPr>
        <w:spacing w:before="0" w:beforeAutospacing="0" w:after="0" w:afterAutospacing="0"/>
        <w:ind w:left="357" w:hanging="357"/>
        <w:textAlignment w:val="baseline"/>
        <w:rPr>
          <w:rStyle w:val="normaltextrun"/>
          <w:rFonts w:asciiTheme="minorHAnsi" w:hAnsiTheme="minorHAnsi"/>
        </w:rPr>
      </w:pPr>
      <w:r w:rsidRPr="00B56225">
        <w:rPr>
          <w:rStyle w:val="normaltextrun"/>
          <w:rFonts w:asciiTheme="minorHAnsi" w:hAnsiTheme="minorHAnsi"/>
        </w:rPr>
        <w:t xml:space="preserve">The </w:t>
      </w:r>
      <w:r w:rsidR="00612004" w:rsidRPr="00B56225">
        <w:rPr>
          <w:rStyle w:val="normaltextrun"/>
          <w:rFonts w:asciiTheme="minorHAnsi" w:hAnsiTheme="minorHAnsi"/>
        </w:rPr>
        <w:t xml:space="preserve">Climate and Nature emergencies are strongly emphasized and linked </w:t>
      </w:r>
      <w:r w:rsidR="00A54985" w:rsidRPr="00B56225">
        <w:rPr>
          <w:rStyle w:val="normaltextrun"/>
          <w:rFonts w:asciiTheme="minorHAnsi" w:hAnsiTheme="minorHAnsi"/>
        </w:rPr>
        <w:t xml:space="preserve">within NPF4 </w:t>
      </w:r>
      <w:r w:rsidR="00612004" w:rsidRPr="00B56225">
        <w:rPr>
          <w:rStyle w:val="normaltextrun"/>
          <w:rFonts w:asciiTheme="minorHAnsi" w:hAnsiTheme="minorHAnsi"/>
        </w:rPr>
        <w:t>and now form a</w:t>
      </w:r>
      <w:r w:rsidRPr="00B56225">
        <w:rPr>
          <w:rStyle w:val="normaltextrun"/>
          <w:rFonts w:asciiTheme="minorHAnsi" w:hAnsiTheme="minorHAnsi"/>
        </w:rPr>
        <w:t xml:space="preserve"> strong foundation </w:t>
      </w:r>
      <w:r w:rsidR="00612004" w:rsidRPr="00B56225">
        <w:rPr>
          <w:rStyle w:val="normaltextrun"/>
          <w:rFonts w:asciiTheme="minorHAnsi" w:hAnsiTheme="minorHAnsi"/>
        </w:rPr>
        <w:t xml:space="preserve">for the </w:t>
      </w:r>
      <w:r w:rsidRPr="00B56225">
        <w:rPr>
          <w:rStyle w:val="normaltextrun"/>
          <w:rFonts w:asciiTheme="minorHAnsi" w:hAnsiTheme="minorHAnsi"/>
        </w:rPr>
        <w:t>policy approach set out in the planning framework.</w:t>
      </w:r>
      <w:r w:rsidR="00612004" w:rsidRPr="00B56225">
        <w:rPr>
          <w:rStyle w:val="normaltextrun"/>
          <w:rFonts w:asciiTheme="minorHAnsi" w:hAnsiTheme="minorHAnsi"/>
        </w:rPr>
        <w:t xml:space="preserve">  </w:t>
      </w:r>
    </w:p>
    <w:p w:rsidR="00612004" w:rsidRPr="00B56225" w:rsidRDefault="00612004" w:rsidP="00B56225">
      <w:pPr>
        <w:pStyle w:val="paragraph"/>
        <w:spacing w:before="0" w:beforeAutospacing="0" w:after="0" w:afterAutospacing="0"/>
        <w:ind w:left="357"/>
        <w:textAlignment w:val="baseline"/>
        <w:rPr>
          <w:rStyle w:val="normaltextrun"/>
          <w:rFonts w:asciiTheme="minorHAnsi" w:hAnsiTheme="minorHAnsi"/>
        </w:rPr>
      </w:pPr>
    </w:p>
    <w:p w:rsidR="00612004" w:rsidRPr="00B56225" w:rsidRDefault="00EE2D45" w:rsidP="00B56225">
      <w:pPr>
        <w:pStyle w:val="paragraph"/>
        <w:numPr>
          <w:ilvl w:val="0"/>
          <w:numId w:val="23"/>
        </w:numPr>
        <w:spacing w:before="0" w:beforeAutospacing="0" w:after="0" w:afterAutospacing="0"/>
        <w:ind w:left="357" w:hanging="357"/>
        <w:textAlignment w:val="baseline"/>
        <w:rPr>
          <w:rStyle w:val="normaltextrun"/>
          <w:rFonts w:asciiTheme="minorHAnsi" w:hAnsiTheme="minorHAnsi"/>
        </w:rPr>
      </w:pPr>
      <w:r w:rsidRPr="00B56225">
        <w:rPr>
          <w:rStyle w:val="normaltextrun"/>
          <w:rFonts w:asciiTheme="minorHAnsi" w:hAnsiTheme="minorHAnsi"/>
        </w:rPr>
        <w:t xml:space="preserve">Many of the issues we </w:t>
      </w:r>
      <w:r w:rsidR="00612004" w:rsidRPr="00B56225">
        <w:rPr>
          <w:rStyle w:val="normaltextrun"/>
          <w:rFonts w:asciiTheme="minorHAnsi" w:hAnsiTheme="minorHAnsi"/>
        </w:rPr>
        <w:t xml:space="preserve">supported in the original draft </w:t>
      </w:r>
      <w:r w:rsidRPr="00B56225">
        <w:rPr>
          <w:rStyle w:val="normaltextrun"/>
          <w:rFonts w:asciiTheme="minorHAnsi" w:hAnsiTheme="minorHAnsi"/>
        </w:rPr>
        <w:t xml:space="preserve">have </w:t>
      </w:r>
      <w:r w:rsidR="00612004" w:rsidRPr="00B56225">
        <w:rPr>
          <w:rStyle w:val="normaltextrun"/>
          <w:rFonts w:asciiTheme="minorHAnsi" w:hAnsiTheme="minorHAnsi"/>
        </w:rPr>
        <w:t>been retained or those we suggested needed strengthening have been incorporated.</w:t>
      </w:r>
      <w:r w:rsidR="00AA513B" w:rsidRPr="00B56225">
        <w:rPr>
          <w:rStyle w:val="normaltextrun"/>
          <w:rFonts w:asciiTheme="minorHAnsi" w:hAnsiTheme="minorHAnsi"/>
        </w:rPr>
        <w:t xml:space="preserve"> Generally, the wording is much stronger and less ambiguous and the drive to reduce carbon emissions is forefront in many of the policies, particularly all renewable technologies. </w:t>
      </w:r>
    </w:p>
    <w:p w:rsidR="00B56225" w:rsidRDefault="00B56225" w:rsidP="00B56225">
      <w:pPr>
        <w:rPr>
          <w:rFonts w:eastAsiaTheme="minorEastAsia" w:cstheme="minorHAnsi"/>
          <w:b/>
          <w:kern w:val="24"/>
          <w:lang w:val="en-US"/>
        </w:rPr>
      </w:pPr>
    </w:p>
    <w:p w:rsidR="00612004" w:rsidRPr="00612004" w:rsidRDefault="00612004" w:rsidP="00B56225">
      <w:pPr>
        <w:ind w:left="357" w:hanging="357"/>
        <w:rPr>
          <w:rFonts w:eastAsiaTheme="minorEastAsia" w:cstheme="minorHAnsi"/>
          <w:b/>
          <w:kern w:val="24"/>
          <w:lang w:val="en-US"/>
        </w:rPr>
      </w:pPr>
      <w:r w:rsidRPr="00612004">
        <w:rPr>
          <w:rFonts w:eastAsiaTheme="minorEastAsia" w:cstheme="minorHAnsi"/>
          <w:b/>
          <w:kern w:val="24"/>
          <w:lang w:val="en-US"/>
        </w:rPr>
        <w:t>H</w:t>
      </w:r>
      <w:r>
        <w:rPr>
          <w:rFonts w:eastAsiaTheme="minorEastAsia" w:cstheme="minorHAnsi"/>
          <w:b/>
          <w:kern w:val="24"/>
          <w:lang w:val="en-US"/>
        </w:rPr>
        <w:t>ea</w:t>
      </w:r>
      <w:r w:rsidRPr="00612004">
        <w:rPr>
          <w:rFonts w:eastAsiaTheme="minorEastAsia" w:cstheme="minorHAnsi"/>
          <w:b/>
          <w:kern w:val="24"/>
          <w:lang w:val="en-US"/>
        </w:rPr>
        <w:t>d</w:t>
      </w:r>
      <w:r w:rsidR="00B56225">
        <w:rPr>
          <w:rFonts w:eastAsiaTheme="minorEastAsia" w:cstheme="minorHAnsi"/>
          <w:b/>
          <w:kern w:val="24"/>
          <w:lang w:val="en-US"/>
        </w:rPr>
        <w:t>l</w:t>
      </w:r>
      <w:r w:rsidRPr="00612004">
        <w:rPr>
          <w:rFonts w:eastAsiaTheme="minorEastAsia" w:cstheme="minorHAnsi"/>
          <w:b/>
          <w:kern w:val="24"/>
          <w:lang w:val="en-US"/>
        </w:rPr>
        <w:t>ines for Na</w:t>
      </w:r>
      <w:r w:rsidR="00B56225">
        <w:rPr>
          <w:rFonts w:eastAsiaTheme="minorEastAsia" w:cstheme="minorHAnsi"/>
          <w:b/>
          <w:kern w:val="24"/>
          <w:lang w:val="en-US"/>
        </w:rPr>
        <w:t>t</w:t>
      </w:r>
      <w:r w:rsidRPr="00612004">
        <w:rPr>
          <w:rFonts w:eastAsiaTheme="minorEastAsia" w:cstheme="minorHAnsi"/>
          <w:b/>
          <w:kern w:val="24"/>
          <w:lang w:val="en-US"/>
        </w:rPr>
        <w:t>ureScot</w:t>
      </w:r>
    </w:p>
    <w:p w:rsidR="00D84C45" w:rsidRDefault="00AA513B" w:rsidP="00B56225">
      <w:pPr>
        <w:pStyle w:val="ListParagraph"/>
        <w:numPr>
          <w:ilvl w:val="0"/>
          <w:numId w:val="23"/>
        </w:numPr>
        <w:ind w:left="357" w:hanging="357"/>
        <w:rPr>
          <w:rFonts w:eastAsiaTheme="minorEastAsia" w:cstheme="minorHAnsi"/>
          <w:kern w:val="24"/>
          <w:lang w:val="en-US"/>
        </w:rPr>
      </w:pPr>
      <w:r w:rsidRPr="00AA513B">
        <w:rPr>
          <w:rFonts w:eastAsiaTheme="minorEastAsia" w:cstheme="minorHAnsi"/>
          <w:kern w:val="24"/>
          <w:lang w:val="en-US"/>
        </w:rPr>
        <w:t xml:space="preserve">The focus on reducing carbon emissions, in particular the support for renewable energy will have significant implications on </w:t>
      </w:r>
      <w:r w:rsidRPr="00076774">
        <w:rPr>
          <w:rFonts w:eastAsiaTheme="minorEastAsia" w:cstheme="minorHAnsi"/>
          <w:i/>
          <w:kern w:val="24"/>
          <w:lang w:val="en-US"/>
        </w:rPr>
        <w:t>wild land and landscape</w:t>
      </w:r>
      <w:r w:rsidRPr="00AA513B">
        <w:rPr>
          <w:rFonts w:eastAsiaTheme="minorEastAsia" w:cstheme="minorHAnsi"/>
          <w:kern w:val="24"/>
          <w:lang w:val="en-US"/>
        </w:rPr>
        <w:t>.</w:t>
      </w:r>
      <w:r w:rsidRPr="00AA513B">
        <w:t xml:space="preserve"> </w:t>
      </w:r>
      <w:r>
        <w:rPr>
          <w:rFonts w:eastAsiaTheme="minorEastAsia" w:cstheme="minorHAnsi"/>
          <w:kern w:val="24"/>
          <w:lang w:val="en-US"/>
        </w:rPr>
        <w:t>P</w:t>
      </w:r>
      <w:r w:rsidRPr="00AA513B">
        <w:rPr>
          <w:rFonts w:eastAsiaTheme="minorEastAsia" w:cstheme="minorHAnsi"/>
          <w:kern w:val="24"/>
          <w:lang w:val="en-US"/>
        </w:rPr>
        <w:t>rotec</w:t>
      </w:r>
      <w:r>
        <w:rPr>
          <w:rFonts w:eastAsiaTheme="minorEastAsia" w:cstheme="minorHAnsi"/>
          <w:kern w:val="24"/>
          <w:lang w:val="en-US"/>
        </w:rPr>
        <w:t>tion for wild land is weakened and l</w:t>
      </w:r>
      <w:r w:rsidRPr="00AA513B">
        <w:rPr>
          <w:rFonts w:eastAsiaTheme="minorEastAsia" w:cstheme="minorHAnsi"/>
          <w:kern w:val="24"/>
          <w:lang w:val="en-US"/>
        </w:rPr>
        <w:t xml:space="preserve">andscape in general is less prominent throughout the document. </w:t>
      </w:r>
      <w:r w:rsidRPr="00D84C45">
        <w:rPr>
          <w:rFonts w:eastAsiaTheme="minorEastAsia" w:cstheme="minorHAnsi"/>
          <w:kern w:val="24"/>
          <w:lang w:val="en-US"/>
        </w:rPr>
        <w:t xml:space="preserve">NatureScot will have to revise our position in relation to renewables and wild land and we are considering the implications of this change as a priority. </w:t>
      </w:r>
    </w:p>
    <w:p w:rsidR="00D84C45" w:rsidRDefault="00D84C45" w:rsidP="00B56225">
      <w:pPr>
        <w:pStyle w:val="ListParagraph"/>
        <w:ind w:left="357" w:hanging="357"/>
        <w:rPr>
          <w:rFonts w:eastAsiaTheme="minorEastAsia" w:cstheme="minorHAnsi"/>
          <w:kern w:val="24"/>
          <w:lang w:val="en-US"/>
        </w:rPr>
      </w:pPr>
    </w:p>
    <w:p w:rsidR="00AA513B" w:rsidRPr="00D84C45" w:rsidRDefault="00AA513B" w:rsidP="00B56225">
      <w:pPr>
        <w:pStyle w:val="ListParagraph"/>
        <w:numPr>
          <w:ilvl w:val="0"/>
          <w:numId w:val="23"/>
        </w:numPr>
        <w:ind w:left="357" w:hanging="357"/>
        <w:rPr>
          <w:rFonts w:eastAsiaTheme="minorEastAsia" w:cstheme="minorHAnsi"/>
          <w:kern w:val="24"/>
          <w:lang w:val="en-US"/>
        </w:rPr>
      </w:pPr>
      <w:r w:rsidRPr="00D84C45">
        <w:rPr>
          <w:rFonts w:eastAsiaTheme="minorEastAsia" w:cstheme="minorHAnsi"/>
          <w:kern w:val="24"/>
          <w:lang w:val="en-US"/>
        </w:rPr>
        <w:t xml:space="preserve">We will also have to give further thought to how we secure </w:t>
      </w:r>
      <w:r w:rsidRPr="00D84C45">
        <w:rPr>
          <w:rFonts w:eastAsiaTheme="minorEastAsia" w:cstheme="minorHAnsi"/>
          <w:i/>
          <w:kern w:val="24"/>
          <w:lang w:val="en-US"/>
        </w:rPr>
        <w:t>protection of peatland habitats</w:t>
      </w:r>
      <w:r w:rsidRPr="00D84C45">
        <w:rPr>
          <w:rFonts w:eastAsiaTheme="minorEastAsia" w:cstheme="minorHAnsi"/>
          <w:kern w:val="24"/>
          <w:lang w:val="en-US"/>
        </w:rPr>
        <w:t xml:space="preserve"> in the interests of renewables and other essential infrastructure. </w:t>
      </w:r>
    </w:p>
    <w:p w:rsidR="00AA513B" w:rsidRPr="00D84C45" w:rsidRDefault="00AA513B" w:rsidP="00B56225">
      <w:pPr>
        <w:pStyle w:val="ListParagraph"/>
        <w:ind w:left="357" w:hanging="357"/>
        <w:rPr>
          <w:rFonts w:eastAsiaTheme="minorEastAsia" w:cstheme="minorHAnsi"/>
          <w:kern w:val="24"/>
          <w:lang w:val="en-US"/>
        </w:rPr>
      </w:pPr>
    </w:p>
    <w:p w:rsidR="00D84C45" w:rsidRDefault="00076774" w:rsidP="00B56225">
      <w:pPr>
        <w:pStyle w:val="ListParagraph"/>
        <w:numPr>
          <w:ilvl w:val="0"/>
          <w:numId w:val="23"/>
        </w:numPr>
        <w:ind w:left="357" w:hanging="357"/>
        <w:rPr>
          <w:rFonts w:eastAsiaTheme="minorEastAsia" w:cstheme="minorHAnsi"/>
          <w:kern w:val="24"/>
          <w:lang w:val="en-US"/>
        </w:rPr>
      </w:pPr>
      <w:r>
        <w:rPr>
          <w:rFonts w:eastAsiaTheme="minorEastAsia" w:cstheme="minorHAnsi"/>
          <w:kern w:val="24"/>
          <w:lang w:val="en-US"/>
        </w:rPr>
        <w:t xml:space="preserve">NPF 4 </w:t>
      </w:r>
      <w:r w:rsidRPr="00076774">
        <w:rPr>
          <w:rFonts w:eastAsiaTheme="minorEastAsia" w:cstheme="minorHAnsi"/>
          <w:kern w:val="24"/>
          <w:lang w:val="en-US"/>
        </w:rPr>
        <w:t xml:space="preserve">includes </w:t>
      </w:r>
      <w:r>
        <w:rPr>
          <w:rFonts w:eastAsiaTheme="minorEastAsia" w:cstheme="minorHAnsi"/>
          <w:kern w:val="24"/>
          <w:lang w:val="en-US"/>
        </w:rPr>
        <w:t xml:space="preserve">policy </w:t>
      </w:r>
      <w:r w:rsidRPr="00076774">
        <w:rPr>
          <w:rFonts w:eastAsiaTheme="minorEastAsia" w:cstheme="minorHAnsi"/>
          <w:kern w:val="24"/>
          <w:lang w:val="en-US"/>
        </w:rPr>
        <w:t xml:space="preserve">to </w:t>
      </w:r>
      <w:r>
        <w:rPr>
          <w:rFonts w:eastAsiaTheme="minorEastAsia" w:cstheme="minorHAnsi"/>
          <w:kern w:val="24"/>
          <w:lang w:val="en-US"/>
        </w:rPr>
        <w:t xml:space="preserve">ensure that any development will </w:t>
      </w:r>
      <w:r w:rsidRPr="00076774">
        <w:rPr>
          <w:rFonts w:eastAsiaTheme="minorEastAsia" w:cstheme="minorHAnsi"/>
          <w:kern w:val="24"/>
          <w:lang w:val="en-US"/>
        </w:rPr>
        <w:t>conserve, restore and enhance biodiversity</w:t>
      </w:r>
      <w:r>
        <w:rPr>
          <w:rFonts w:eastAsiaTheme="minorEastAsia" w:cstheme="minorHAnsi"/>
          <w:kern w:val="24"/>
          <w:lang w:val="en-US"/>
        </w:rPr>
        <w:t xml:space="preserve"> </w:t>
      </w:r>
      <w:r w:rsidRPr="00076774">
        <w:rPr>
          <w:rFonts w:eastAsiaTheme="minorEastAsia" w:cstheme="minorHAnsi"/>
          <w:kern w:val="24"/>
          <w:lang w:val="en-US"/>
        </w:rPr>
        <w:t xml:space="preserve">so </w:t>
      </w:r>
      <w:r>
        <w:rPr>
          <w:rFonts w:eastAsiaTheme="minorEastAsia" w:cstheme="minorHAnsi"/>
          <w:kern w:val="24"/>
          <w:lang w:val="en-US"/>
        </w:rPr>
        <w:t>it is</w:t>
      </w:r>
      <w:r w:rsidRPr="00076774">
        <w:rPr>
          <w:rFonts w:eastAsiaTheme="minorEastAsia" w:cstheme="minorHAnsi"/>
          <w:kern w:val="24"/>
          <w:lang w:val="en-US"/>
        </w:rPr>
        <w:t xml:space="preserve"> in a demonstrably better state than without intervention.  There is greater clarity on the methodology to secure </w:t>
      </w:r>
      <w:r w:rsidRPr="00076774">
        <w:rPr>
          <w:rFonts w:eastAsiaTheme="minorEastAsia" w:cstheme="minorHAnsi"/>
          <w:i/>
          <w:kern w:val="24"/>
          <w:lang w:val="en-US"/>
        </w:rPr>
        <w:t xml:space="preserve">positive effects for biodiversity </w:t>
      </w:r>
      <w:r w:rsidRPr="00076774">
        <w:rPr>
          <w:rFonts w:eastAsiaTheme="minorEastAsia" w:cstheme="minorHAnsi"/>
          <w:kern w:val="24"/>
          <w:lang w:val="en-US"/>
        </w:rPr>
        <w:t>with reference to ‘best practice assessment methods’ and ‘national and local guidance’</w:t>
      </w:r>
      <w:r>
        <w:rPr>
          <w:rFonts w:eastAsiaTheme="minorEastAsia" w:cstheme="minorHAnsi"/>
          <w:kern w:val="24"/>
          <w:lang w:val="en-US"/>
        </w:rPr>
        <w:t xml:space="preserve">. </w:t>
      </w:r>
      <w:r w:rsidR="00AA513B" w:rsidRPr="00AA513B">
        <w:rPr>
          <w:rFonts w:eastAsiaTheme="minorEastAsia" w:cstheme="minorHAnsi"/>
          <w:kern w:val="24"/>
          <w:lang w:val="en-US"/>
        </w:rPr>
        <w:t>We will be continuing to engage with Scottish Government in delivering the Developing with Nature Guidance and inputting into the development of a biodiversity metric.</w:t>
      </w:r>
    </w:p>
    <w:p w:rsidR="00D84C45" w:rsidRPr="00D84C45" w:rsidRDefault="00D84C45" w:rsidP="00D84C45">
      <w:pPr>
        <w:pStyle w:val="ListParagraph"/>
        <w:rPr>
          <w:rFonts w:eastAsiaTheme="minorEastAsia" w:cstheme="minorHAnsi"/>
          <w:kern w:val="24"/>
          <w:lang w:val="en-US"/>
        </w:rPr>
      </w:pPr>
    </w:p>
    <w:p w:rsidR="00D84C45" w:rsidRPr="00612004" w:rsidRDefault="00D84C45" w:rsidP="00B56225">
      <w:pPr>
        <w:pStyle w:val="ListParagraph"/>
        <w:numPr>
          <w:ilvl w:val="0"/>
          <w:numId w:val="23"/>
        </w:numPr>
        <w:ind w:left="357" w:hanging="357"/>
        <w:rPr>
          <w:rFonts w:eastAsiaTheme="minorEastAsia" w:cstheme="minorHAnsi"/>
          <w:kern w:val="24"/>
          <w:lang w:val="en-US"/>
        </w:rPr>
      </w:pPr>
      <w:r w:rsidRPr="00AA513B">
        <w:rPr>
          <w:rFonts w:eastAsiaTheme="minorEastAsia" w:cstheme="minorHAnsi"/>
          <w:kern w:val="24"/>
          <w:lang w:val="en-US"/>
        </w:rPr>
        <w:lastRenderedPageBreak/>
        <w:t xml:space="preserve">The stronger links to </w:t>
      </w:r>
      <w:r w:rsidRPr="00076774">
        <w:rPr>
          <w:rFonts w:eastAsiaTheme="minorEastAsia" w:cstheme="minorHAnsi"/>
          <w:i/>
          <w:kern w:val="24"/>
          <w:lang w:val="en-US"/>
        </w:rPr>
        <w:t>Regional Spatial Strategies</w:t>
      </w:r>
      <w:r>
        <w:rPr>
          <w:rFonts w:eastAsiaTheme="minorEastAsia" w:cstheme="minorHAnsi"/>
          <w:kern w:val="24"/>
          <w:lang w:val="en-US"/>
        </w:rPr>
        <w:t xml:space="preserve"> through the revised d</w:t>
      </w:r>
      <w:r w:rsidRPr="00AA513B">
        <w:rPr>
          <w:rFonts w:eastAsiaTheme="minorEastAsia" w:cstheme="minorHAnsi"/>
          <w:kern w:val="24"/>
          <w:lang w:val="en-US"/>
        </w:rPr>
        <w:t xml:space="preserve">raft will help us incorporate nature-networks into the planning system.  </w:t>
      </w:r>
      <w:r>
        <w:rPr>
          <w:rFonts w:eastAsiaTheme="minorEastAsia" w:cstheme="minorHAnsi"/>
          <w:kern w:val="24"/>
          <w:lang w:val="en-US"/>
        </w:rPr>
        <w:t xml:space="preserve">The </w:t>
      </w:r>
      <w:r w:rsidRPr="00612004">
        <w:rPr>
          <w:rFonts w:eastAsiaTheme="minorEastAsia" w:cstheme="minorHAnsi"/>
          <w:kern w:val="24"/>
          <w:lang w:val="en-US"/>
        </w:rPr>
        <w:t xml:space="preserve">Place principle and </w:t>
      </w:r>
      <w:r w:rsidRPr="00D84C45">
        <w:rPr>
          <w:rFonts w:eastAsiaTheme="minorEastAsia" w:cstheme="minorHAnsi"/>
          <w:i/>
          <w:kern w:val="24"/>
          <w:lang w:val="en-US"/>
        </w:rPr>
        <w:t>place-based approach</w:t>
      </w:r>
      <w:r w:rsidRPr="00612004">
        <w:rPr>
          <w:rFonts w:eastAsiaTheme="minorEastAsia" w:cstheme="minorHAnsi"/>
          <w:kern w:val="24"/>
          <w:lang w:val="en-US"/>
        </w:rPr>
        <w:t xml:space="preserve"> </w:t>
      </w:r>
      <w:r>
        <w:rPr>
          <w:rFonts w:eastAsiaTheme="minorEastAsia" w:cstheme="minorHAnsi"/>
          <w:kern w:val="24"/>
          <w:lang w:val="en-US"/>
        </w:rPr>
        <w:t xml:space="preserve">have been retained; The importance of </w:t>
      </w:r>
      <w:r w:rsidRPr="00D84C45">
        <w:rPr>
          <w:rFonts w:eastAsiaTheme="minorEastAsia" w:cstheme="minorHAnsi"/>
          <w:i/>
          <w:kern w:val="24"/>
          <w:lang w:val="en-US"/>
        </w:rPr>
        <w:t xml:space="preserve">blue and green infrastructure </w:t>
      </w:r>
      <w:r>
        <w:rPr>
          <w:rFonts w:eastAsiaTheme="minorEastAsia" w:cstheme="minorHAnsi"/>
          <w:kern w:val="24"/>
          <w:lang w:val="en-US"/>
        </w:rPr>
        <w:t xml:space="preserve">have been </w:t>
      </w:r>
      <w:r w:rsidRPr="00076774">
        <w:rPr>
          <w:rFonts w:eastAsiaTheme="minorEastAsia" w:cstheme="minorHAnsi"/>
          <w:kern w:val="24"/>
          <w:lang w:val="en-US"/>
        </w:rPr>
        <w:t>strengt</w:t>
      </w:r>
      <w:r>
        <w:rPr>
          <w:rFonts w:eastAsiaTheme="minorEastAsia" w:cstheme="minorHAnsi"/>
          <w:kern w:val="24"/>
          <w:lang w:val="en-US"/>
        </w:rPr>
        <w:t xml:space="preserve">hened </w:t>
      </w:r>
      <w:r w:rsidRPr="00076774">
        <w:rPr>
          <w:rFonts w:eastAsiaTheme="minorEastAsia" w:cstheme="minorHAnsi"/>
          <w:kern w:val="24"/>
          <w:lang w:val="en-US"/>
        </w:rPr>
        <w:t xml:space="preserve">as an integral part of </w:t>
      </w:r>
      <w:r>
        <w:rPr>
          <w:rFonts w:eastAsiaTheme="minorEastAsia" w:cstheme="minorHAnsi"/>
          <w:kern w:val="24"/>
          <w:lang w:val="en-US"/>
        </w:rPr>
        <w:t xml:space="preserve">the approach to </w:t>
      </w:r>
      <w:r w:rsidRPr="00076774">
        <w:rPr>
          <w:rFonts w:eastAsiaTheme="minorEastAsia" w:cstheme="minorHAnsi"/>
          <w:kern w:val="24"/>
          <w:lang w:val="en-US"/>
        </w:rPr>
        <w:t>design and development</w:t>
      </w:r>
      <w:r>
        <w:rPr>
          <w:rFonts w:eastAsiaTheme="minorEastAsia" w:cstheme="minorHAnsi"/>
          <w:kern w:val="24"/>
          <w:lang w:val="en-US"/>
        </w:rPr>
        <w:t xml:space="preserve">; </w:t>
      </w:r>
      <w:r w:rsidRPr="00D84C45">
        <w:rPr>
          <w:rFonts w:eastAsiaTheme="minorEastAsia" w:cstheme="minorHAnsi"/>
          <w:i/>
          <w:kern w:val="24"/>
          <w:lang w:val="en-US"/>
        </w:rPr>
        <w:t>National Developments</w:t>
      </w:r>
      <w:r>
        <w:rPr>
          <w:rFonts w:eastAsiaTheme="minorEastAsia" w:cstheme="minorHAnsi"/>
          <w:kern w:val="24"/>
          <w:lang w:val="en-US"/>
        </w:rPr>
        <w:t xml:space="preserve"> are further clarified; and the</w:t>
      </w:r>
      <w:r w:rsidRPr="00612004">
        <w:rPr>
          <w:rFonts w:eastAsiaTheme="minorEastAsia" w:cstheme="minorHAnsi"/>
          <w:kern w:val="24"/>
          <w:lang w:val="en-US"/>
        </w:rPr>
        <w:t xml:space="preserve"> National Wal</w:t>
      </w:r>
      <w:r>
        <w:rPr>
          <w:rFonts w:eastAsiaTheme="minorEastAsia" w:cstheme="minorHAnsi"/>
          <w:kern w:val="24"/>
          <w:lang w:val="en-US"/>
        </w:rPr>
        <w:t>king Cycling Wheeling Network has been</w:t>
      </w:r>
      <w:r w:rsidRPr="00612004">
        <w:rPr>
          <w:rFonts w:eastAsiaTheme="minorEastAsia" w:cstheme="minorHAnsi"/>
          <w:kern w:val="24"/>
          <w:lang w:val="en-US"/>
        </w:rPr>
        <w:t xml:space="preserve"> retained.</w:t>
      </w:r>
    </w:p>
    <w:p w:rsidR="00D84C45" w:rsidRPr="00D84C45" w:rsidRDefault="00D84C45" w:rsidP="00B56225">
      <w:pPr>
        <w:pStyle w:val="ListParagraph"/>
        <w:ind w:left="357" w:hanging="357"/>
        <w:rPr>
          <w:rFonts w:eastAsiaTheme="minorEastAsia" w:cstheme="minorHAnsi"/>
          <w:kern w:val="24"/>
          <w:lang w:val="en-US"/>
        </w:rPr>
      </w:pPr>
    </w:p>
    <w:p w:rsidR="00D84C45" w:rsidRDefault="00D84C45" w:rsidP="00B56225">
      <w:pPr>
        <w:pStyle w:val="ListParagraph"/>
        <w:numPr>
          <w:ilvl w:val="0"/>
          <w:numId w:val="23"/>
        </w:numPr>
        <w:ind w:left="357" w:hanging="357"/>
        <w:rPr>
          <w:rFonts w:eastAsiaTheme="minorEastAsia" w:cstheme="minorHAnsi"/>
          <w:kern w:val="24"/>
          <w:lang w:val="en-US"/>
        </w:rPr>
      </w:pPr>
      <w:r>
        <w:rPr>
          <w:rFonts w:eastAsiaTheme="minorEastAsia" w:cstheme="minorHAnsi"/>
          <w:kern w:val="24"/>
          <w:lang w:val="en-US"/>
        </w:rPr>
        <w:t xml:space="preserve">A summary of the Key Policies are provided in </w:t>
      </w:r>
      <w:r w:rsidRPr="00D84C45">
        <w:rPr>
          <w:rFonts w:eastAsiaTheme="minorEastAsia" w:cstheme="minorHAnsi"/>
          <w:b/>
          <w:kern w:val="24"/>
          <w:lang w:val="en-US"/>
        </w:rPr>
        <w:t>Annex 1</w:t>
      </w:r>
    </w:p>
    <w:p w:rsidR="00612004" w:rsidRDefault="00612004" w:rsidP="00612004">
      <w:pPr>
        <w:pStyle w:val="ListParagraph"/>
        <w:rPr>
          <w:rFonts w:eastAsiaTheme="minorEastAsia" w:cstheme="minorHAnsi"/>
          <w:kern w:val="24"/>
          <w:lang w:val="en-US"/>
        </w:rPr>
      </w:pPr>
    </w:p>
    <w:p w:rsidR="00147597" w:rsidRPr="00156084" w:rsidRDefault="00147597" w:rsidP="00147597">
      <w:pPr>
        <w:spacing w:after="0" w:line="240" w:lineRule="auto"/>
        <w:jc w:val="both"/>
        <w:rPr>
          <w:rFonts w:cstheme="minorHAnsi"/>
          <w:b/>
          <w:szCs w:val="24"/>
        </w:rPr>
      </w:pPr>
      <w:r w:rsidRPr="00156084">
        <w:rPr>
          <w:rFonts w:cstheme="minorHAnsi"/>
          <w:b/>
          <w:szCs w:val="24"/>
        </w:rPr>
        <w:t>Stakeholder views</w:t>
      </w:r>
    </w:p>
    <w:p w:rsidR="00147597" w:rsidRDefault="00147597" w:rsidP="00147597">
      <w:pPr>
        <w:spacing w:after="0" w:line="240" w:lineRule="auto"/>
        <w:jc w:val="both"/>
        <w:rPr>
          <w:rFonts w:cstheme="minorHAnsi"/>
          <w:szCs w:val="24"/>
        </w:rPr>
      </w:pPr>
    </w:p>
    <w:p w:rsidR="00147597" w:rsidRPr="00D04334" w:rsidRDefault="00147597" w:rsidP="00B56225">
      <w:pPr>
        <w:pStyle w:val="ListParagraph"/>
        <w:numPr>
          <w:ilvl w:val="0"/>
          <w:numId w:val="23"/>
        </w:numPr>
        <w:spacing w:after="0"/>
        <w:ind w:left="357" w:hanging="357"/>
        <w:jc w:val="both"/>
        <w:rPr>
          <w:rFonts w:cstheme="minorHAnsi"/>
          <w:szCs w:val="24"/>
        </w:rPr>
      </w:pPr>
      <w:r>
        <w:rPr>
          <w:rFonts w:cstheme="minorHAnsi"/>
          <w:szCs w:val="24"/>
        </w:rPr>
        <w:t xml:space="preserve">Generally there have favourable reviews (e.g. RTPI, Scottish Renewables, Scottish Futures Trust) about the revised draft, which </w:t>
      </w:r>
      <w:r w:rsidRPr="00D04334">
        <w:rPr>
          <w:rFonts w:cstheme="minorHAnsi"/>
          <w:szCs w:val="24"/>
        </w:rPr>
        <w:t>plac</w:t>
      </w:r>
      <w:r>
        <w:rPr>
          <w:rFonts w:cstheme="minorHAnsi"/>
          <w:szCs w:val="24"/>
        </w:rPr>
        <w:t xml:space="preserve">es planning at the heart of the </w:t>
      </w:r>
      <w:r w:rsidRPr="00D04334">
        <w:rPr>
          <w:rFonts w:cstheme="minorHAnsi"/>
          <w:szCs w:val="24"/>
        </w:rPr>
        <w:t xml:space="preserve">drive towards net-zero. </w:t>
      </w:r>
      <w:r>
        <w:rPr>
          <w:rFonts w:cstheme="minorHAnsi"/>
          <w:szCs w:val="24"/>
        </w:rPr>
        <w:t>There is a recognition by many though that budget</w:t>
      </w:r>
      <w:r w:rsidRPr="00D04334">
        <w:rPr>
          <w:rFonts w:cstheme="minorHAnsi"/>
          <w:szCs w:val="24"/>
        </w:rPr>
        <w:t xml:space="preserve"> </w:t>
      </w:r>
      <w:r>
        <w:rPr>
          <w:rFonts w:cstheme="minorHAnsi"/>
          <w:szCs w:val="24"/>
        </w:rPr>
        <w:t>constraints within</w:t>
      </w:r>
      <w:r w:rsidRPr="00D04334">
        <w:rPr>
          <w:rFonts w:cstheme="minorHAnsi"/>
          <w:szCs w:val="24"/>
        </w:rPr>
        <w:t xml:space="preserve"> planning departments</w:t>
      </w:r>
      <w:r>
        <w:rPr>
          <w:rFonts w:cstheme="minorHAnsi"/>
          <w:szCs w:val="24"/>
        </w:rPr>
        <w:t xml:space="preserve"> and a lack of planners make the realisation of the ambition a challenge</w:t>
      </w:r>
      <w:r w:rsidRPr="00D04334">
        <w:rPr>
          <w:rFonts w:cstheme="minorHAnsi"/>
          <w:szCs w:val="24"/>
        </w:rPr>
        <w:t>.</w:t>
      </w:r>
      <w:r>
        <w:rPr>
          <w:rFonts w:cstheme="minorHAnsi"/>
          <w:szCs w:val="24"/>
        </w:rPr>
        <w:t xml:space="preserve"> From the ENGOs, reviews have been mixed</w:t>
      </w:r>
      <w:r w:rsidRPr="00D04334">
        <w:rPr>
          <w:rFonts w:cstheme="minorHAnsi"/>
          <w:szCs w:val="24"/>
        </w:rPr>
        <w:t xml:space="preserve"> </w:t>
      </w:r>
      <w:r>
        <w:rPr>
          <w:rFonts w:cstheme="minorHAnsi"/>
          <w:szCs w:val="24"/>
        </w:rPr>
        <w:t xml:space="preserve">with some suggesting that </w:t>
      </w:r>
      <w:r w:rsidRPr="00D738CC">
        <w:rPr>
          <w:rFonts w:cstheme="minorHAnsi"/>
          <w:szCs w:val="24"/>
        </w:rPr>
        <w:t>due to the urgency of the climate crisis, the time for half measures has long since passed</w:t>
      </w:r>
      <w:r>
        <w:rPr>
          <w:rFonts w:cstheme="minorHAnsi"/>
          <w:szCs w:val="24"/>
        </w:rPr>
        <w:t>.</w:t>
      </w:r>
    </w:p>
    <w:p w:rsidR="00147597" w:rsidRDefault="00147597" w:rsidP="00D84C45">
      <w:pPr>
        <w:rPr>
          <w:rFonts w:eastAsiaTheme="minorEastAsia" w:cstheme="minorHAnsi"/>
          <w:b/>
          <w:kern w:val="24"/>
          <w:lang w:val="en-US"/>
        </w:rPr>
      </w:pPr>
    </w:p>
    <w:p w:rsidR="00EE2D45" w:rsidRPr="00D84C45" w:rsidRDefault="00D84C45" w:rsidP="00D84C45">
      <w:pPr>
        <w:rPr>
          <w:rFonts w:eastAsiaTheme="minorEastAsia" w:cstheme="minorHAnsi"/>
          <w:b/>
          <w:kern w:val="24"/>
          <w:lang w:val="en-US"/>
        </w:rPr>
      </w:pPr>
      <w:r w:rsidRPr="00D84C45">
        <w:rPr>
          <w:rFonts w:eastAsiaTheme="minorEastAsia" w:cstheme="minorHAnsi"/>
          <w:b/>
          <w:kern w:val="24"/>
          <w:lang w:val="en-US"/>
        </w:rPr>
        <w:t>Next Steps</w:t>
      </w:r>
    </w:p>
    <w:p w:rsidR="007A6791" w:rsidRPr="00D84C45" w:rsidRDefault="007A6791" w:rsidP="00B56225">
      <w:pPr>
        <w:pStyle w:val="paragraph"/>
        <w:numPr>
          <w:ilvl w:val="0"/>
          <w:numId w:val="23"/>
        </w:numPr>
        <w:spacing w:before="0" w:beforeAutospacing="0" w:after="0" w:afterAutospacing="0" w:line="276" w:lineRule="auto"/>
        <w:ind w:left="357" w:hanging="357"/>
        <w:textAlignment w:val="baseline"/>
        <w:rPr>
          <w:rFonts w:asciiTheme="minorHAnsi" w:hAnsiTheme="minorHAnsi" w:cstheme="minorHAnsi"/>
        </w:rPr>
      </w:pPr>
      <w:r w:rsidRPr="00D84C45">
        <w:rPr>
          <w:rFonts w:asciiTheme="minorHAnsi" w:eastAsiaTheme="minorEastAsia" w:hAnsiTheme="minorHAnsi" w:cstheme="minorHAnsi"/>
          <w:kern w:val="24"/>
          <w:lang w:val="en-US"/>
        </w:rPr>
        <w:t>The Planning Act requires that NPF4 must be approved by the Scottish Parliament before it can be adopted by Scottish Ministers. The current timetable is expected to be</w:t>
      </w:r>
      <w:r w:rsidR="00EF0F91" w:rsidRPr="00D84C45">
        <w:rPr>
          <w:rFonts w:asciiTheme="minorHAnsi" w:eastAsiaTheme="minorEastAsia" w:hAnsiTheme="minorHAnsi" w:cstheme="minorHAnsi"/>
          <w:kern w:val="24"/>
          <w:lang w:val="en-US"/>
        </w:rPr>
        <w:t>:</w:t>
      </w:r>
      <w:r w:rsidRPr="00D84C45">
        <w:rPr>
          <w:rFonts w:asciiTheme="minorHAnsi" w:eastAsiaTheme="minorEastAsia" w:hAnsiTheme="minorHAnsi" w:cstheme="minorHAnsi"/>
          <w:kern w:val="24"/>
          <w:lang w:val="en-US"/>
        </w:rPr>
        <w:t xml:space="preserve"> </w:t>
      </w:r>
    </w:p>
    <w:p w:rsidR="00666A8A" w:rsidRPr="00D84C45" w:rsidRDefault="00666A8A" w:rsidP="007A6791">
      <w:pPr>
        <w:spacing w:after="0" w:line="240" w:lineRule="auto"/>
        <w:rPr>
          <w:rFonts w:eastAsiaTheme="minorEastAsia" w:cstheme="minorHAnsi"/>
          <w:kern w:val="24"/>
          <w:szCs w:val="24"/>
          <w:lang w:val="en-US" w:eastAsia="en-GB"/>
        </w:rPr>
      </w:pPr>
    </w:p>
    <w:p w:rsidR="007A6791" w:rsidRPr="00B56225" w:rsidRDefault="007A6791" w:rsidP="00B56225">
      <w:pPr>
        <w:pStyle w:val="ListParagraph"/>
        <w:numPr>
          <w:ilvl w:val="0"/>
          <w:numId w:val="27"/>
        </w:numPr>
        <w:spacing w:after="0" w:line="240" w:lineRule="auto"/>
        <w:jc w:val="both"/>
        <w:rPr>
          <w:rFonts w:cstheme="minorHAnsi"/>
          <w:szCs w:val="24"/>
        </w:rPr>
      </w:pPr>
      <w:r w:rsidRPr="00B56225">
        <w:rPr>
          <w:rFonts w:cstheme="minorHAnsi"/>
          <w:szCs w:val="24"/>
        </w:rPr>
        <w:t>Committees 22/29Nov – we have not been asked to provide evidence</w:t>
      </w:r>
    </w:p>
    <w:p w:rsidR="007A6791" w:rsidRPr="00B56225" w:rsidRDefault="007A6791" w:rsidP="00B56225">
      <w:pPr>
        <w:pStyle w:val="ListParagraph"/>
        <w:numPr>
          <w:ilvl w:val="0"/>
          <w:numId w:val="27"/>
        </w:numPr>
        <w:spacing w:after="0" w:line="240" w:lineRule="auto"/>
        <w:jc w:val="both"/>
        <w:rPr>
          <w:rFonts w:cstheme="minorHAnsi"/>
          <w:szCs w:val="24"/>
        </w:rPr>
      </w:pPr>
      <w:r w:rsidRPr="00B56225">
        <w:rPr>
          <w:rFonts w:cstheme="minorHAnsi"/>
          <w:szCs w:val="24"/>
        </w:rPr>
        <w:t>6 week consideration by Parliament</w:t>
      </w:r>
    </w:p>
    <w:p w:rsidR="007A6791" w:rsidRPr="00B56225" w:rsidRDefault="007A6791" w:rsidP="00B56225">
      <w:pPr>
        <w:pStyle w:val="ListParagraph"/>
        <w:numPr>
          <w:ilvl w:val="0"/>
          <w:numId w:val="27"/>
        </w:numPr>
        <w:spacing w:after="0" w:line="240" w:lineRule="auto"/>
        <w:jc w:val="both"/>
        <w:rPr>
          <w:rFonts w:cstheme="minorHAnsi"/>
          <w:szCs w:val="24"/>
        </w:rPr>
      </w:pPr>
      <w:r w:rsidRPr="00B56225">
        <w:rPr>
          <w:rFonts w:cstheme="minorHAnsi"/>
          <w:szCs w:val="24"/>
        </w:rPr>
        <w:t>Vote in Parliament before New Year</w:t>
      </w:r>
    </w:p>
    <w:p w:rsidR="007A6791" w:rsidRPr="00B56225" w:rsidRDefault="007A6791" w:rsidP="00B56225">
      <w:pPr>
        <w:pStyle w:val="ListParagraph"/>
        <w:numPr>
          <w:ilvl w:val="0"/>
          <w:numId w:val="27"/>
        </w:numPr>
        <w:spacing w:after="0" w:line="240" w:lineRule="auto"/>
        <w:jc w:val="both"/>
        <w:rPr>
          <w:rFonts w:cstheme="minorHAnsi"/>
          <w:szCs w:val="24"/>
        </w:rPr>
      </w:pPr>
      <w:r w:rsidRPr="00B56225">
        <w:rPr>
          <w:rFonts w:cstheme="minorHAnsi"/>
          <w:szCs w:val="24"/>
        </w:rPr>
        <w:t>No further consultation proposed</w:t>
      </w:r>
    </w:p>
    <w:p w:rsidR="007A6791" w:rsidRPr="00B56225" w:rsidRDefault="007A6791" w:rsidP="00B56225">
      <w:pPr>
        <w:pStyle w:val="ListParagraph"/>
        <w:numPr>
          <w:ilvl w:val="0"/>
          <w:numId w:val="27"/>
        </w:numPr>
        <w:spacing w:after="0" w:line="240" w:lineRule="auto"/>
        <w:jc w:val="both"/>
        <w:rPr>
          <w:rFonts w:cstheme="minorHAnsi"/>
          <w:szCs w:val="24"/>
        </w:rPr>
      </w:pPr>
      <w:r w:rsidRPr="00B56225">
        <w:rPr>
          <w:rFonts w:cstheme="minorHAnsi"/>
          <w:szCs w:val="24"/>
        </w:rPr>
        <w:t>Likely to be enacted Jan/Feb if approved on expected schedule.</w:t>
      </w:r>
    </w:p>
    <w:p w:rsidR="005B2312" w:rsidRPr="00156084" w:rsidRDefault="005B2312" w:rsidP="005B2312">
      <w:pPr>
        <w:spacing w:after="0" w:line="240" w:lineRule="auto"/>
        <w:jc w:val="both"/>
        <w:rPr>
          <w:rFonts w:cstheme="minorHAnsi"/>
          <w:szCs w:val="24"/>
        </w:rPr>
      </w:pPr>
    </w:p>
    <w:p w:rsidR="00594D92" w:rsidRDefault="00594D92" w:rsidP="00FA0E12">
      <w:pPr>
        <w:spacing w:after="0" w:line="240" w:lineRule="auto"/>
        <w:jc w:val="both"/>
        <w:rPr>
          <w:rFonts w:cstheme="minorHAnsi"/>
          <w:szCs w:val="24"/>
        </w:rPr>
      </w:pPr>
      <w:r w:rsidRPr="00156084">
        <w:rPr>
          <w:rFonts w:cstheme="minorHAnsi"/>
          <w:b/>
          <w:szCs w:val="24"/>
        </w:rPr>
        <w:t>Key issues</w:t>
      </w:r>
      <w:r w:rsidRPr="00156084">
        <w:rPr>
          <w:rFonts w:cstheme="minorHAnsi"/>
          <w:szCs w:val="24"/>
        </w:rPr>
        <w:t xml:space="preserve"> </w:t>
      </w:r>
      <w:r w:rsidRPr="00156084">
        <w:rPr>
          <w:rFonts w:cstheme="minorHAnsi"/>
          <w:b/>
          <w:szCs w:val="24"/>
        </w:rPr>
        <w:t>for NatureScot to resolve by enactment</w:t>
      </w:r>
      <w:r w:rsidRPr="00156084">
        <w:rPr>
          <w:rFonts w:cstheme="minorHAnsi"/>
          <w:szCs w:val="24"/>
        </w:rPr>
        <w:t xml:space="preserve">  </w:t>
      </w:r>
    </w:p>
    <w:p w:rsidR="00D84C45" w:rsidRPr="00156084" w:rsidRDefault="00D84C45" w:rsidP="00FA0E12">
      <w:pPr>
        <w:spacing w:after="0" w:line="240" w:lineRule="auto"/>
        <w:jc w:val="both"/>
        <w:rPr>
          <w:rFonts w:cstheme="minorHAnsi"/>
          <w:szCs w:val="24"/>
        </w:rPr>
      </w:pPr>
    </w:p>
    <w:p w:rsidR="00594D92" w:rsidRPr="00B56225" w:rsidRDefault="00594D92" w:rsidP="00B56225">
      <w:pPr>
        <w:pStyle w:val="ListParagraph"/>
        <w:numPr>
          <w:ilvl w:val="0"/>
          <w:numId w:val="23"/>
        </w:numPr>
        <w:spacing w:after="0"/>
        <w:ind w:left="357" w:hanging="357"/>
        <w:jc w:val="both"/>
        <w:rPr>
          <w:rFonts w:cstheme="minorHAnsi"/>
          <w:szCs w:val="24"/>
        </w:rPr>
      </w:pPr>
      <w:r w:rsidRPr="00B56225">
        <w:rPr>
          <w:rFonts w:cstheme="minorHAnsi"/>
          <w:szCs w:val="24"/>
        </w:rPr>
        <w:t>In particular we need to assess</w:t>
      </w:r>
      <w:r w:rsidR="004E4DB9" w:rsidRPr="00B56225">
        <w:rPr>
          <w:rFonts w:cstheme="minorHAnsi"/>
          <w:szCs w:val="24"/>
        </w:rPr>
        <w:t>/consider:</w:t>
      </w:r>
    </w:p>
    <w:p w:rsidR="00594D92" w:rsidRPr="00156084" w:rsidRDefault="00594D92" w:rsidP="00FA0E12">
      <w:pPr>
        <w:spacing w:after="0" w:line="240" w:lineRule="auto"/>
        <w:jc w:val="both"/>
        <w:rPr>
          <w:rFonts w:cstheme="minorHAnsi"/>
          <w:szCs w:val="24"/>
        </w:rPr>
      </w:pPr>
    </w:p>
    <w:p w:rsidR="00147597" w:rsidRPr="00B56225" w:rsidRDefault="00147597" w:rsidP="00B56225">
      <w:pPr>
        <w:pStyle w:val="ListParagraph"/>
        <w:numPr>
          <w:ilvl w:val="0"/>
          <w:numId w:val="27"/>
        </w:numPr>
        <w:spacing w:after="0" w:line="240" w:lineRule="auto"/>
        <w:jc w:val="both"/>
        <w:rPr>
          <w:rFonts w:cstheme="minorHAnsi"/>
          <w:szCs w:val="24"/>
        </w:rPr>
      </w:pPr>
      <w:r w:rsidRPr="00B56225">
        <w:rPr>
          <w:rFonts w:cstheme="minorHAnsi"/>
          <w:szCs w:val="24"/>
        </w:rPr>
        <w:t xml:space="preserve">What are the opportunities for us to engage at strategic levels of the planning system to encourage nature networks and enhancement of nature within this new </w:t>
      </w:r>
      <w:proofErr w:type="gramStart"/>
      <w:r w:rsidRPr="00B56225">
        <w:rPr>
          <w:rFonts w:cstheme="minorHAnsi"/>
          <w:szCs w:val="24"/>
        </w:rPr>
        <w:t>system.</w:t>
      </w:r>
      <w:proofErr w:type="gramEnd"/>
    </w:p>
    <w:p w:rsidR="00147597" w:rsidRPr="005B2312" w:rsidRDefault="00147597" w:rsidP="00147597">
      <w:pPr>
        <w:pStyle w:val="ListParagraph"/>
        <w:rPr>
          <w:rFonts w:cstheme="minorHAnsi"/>
          <w:szCs w:val="24"/>
        </w:rPr>
      </w:pPr>
    </w:p>
    <w:p w:rsidR="00147597" w:rsidRPr="00B56225" w:rsidRDefault="00147597" w:rsidP="00B56225">
      <w:pPr>
        <w:pStyle w:val="ListParagraph"/>
        <w:numPr>
          <w:ilvl w:val="0"/>
          <w:numId w:val="27"/>
        </w:numPr>
        <w:spacing w:after="0" w:line="240" w:lineRule="auto"/>
        <w:jc w:val="both"/>
        <w:rPr>
          <w:rFonts w:cstheme="minorHAnsi"/>
          <w:szCs w:val="24"/>
        </w:rPr>
      </w:pPr>
      <w:r w:rsidRPr="00B56225">
        <w:rPr>
          <w:rFonts w:cstheme="minorHAnsi"/>
          <w:szCs w:val="24"/>
        </w:rPr>
        <w:t>Scottish Government and Planning Authorities expectations on our involvement in Positive Effects for Biodiversity at differing scales, including where we would engage with individual development proposals.</w:t>
      </w:r>
    </w:p>
    <w:p w:rsidR="00147597" w:rsidRPr="00147597" w:rsidRDefault="00147597" w:rsidP="00147597">
      <w:pPr>
        <w:spacing w:after="0" w:line="240" w:lineRule="auto"/>
        <w:jc w:val="both"/>
        <w:rPr>
          <w:rFonts w:cstheme="minorHAnsi"/>
          <w:szCs w:val="24"/>
        </w:rPr>
      </w:pPr>
    </w:p>
    <w:p w:rsidR="00D04334" w:rsidRPr="00B56225" w:rsidRDefault="00594D92" w:rsidP="00B56225">
      <w:pPr>
        <w:pStyle w:val="ListParagraph"/>
        <w:numPr>
          <w:ilvl w:val="0"/>
          <w:numId w:val="27"/>
        </w:numPr>
        <w:spacing w:after="0" w:line="240" w:lineRule="auto"/>
        <w:jc w:val="both"/>
        <w:rPr>
          <w:rFonts w:cstheme="minorHAnsi"/>
          <w:szCs w:val="24"/>
        </w:rPr>
      </w:pPr>
      <w:r w:rsidRPr="00B56225">
        <w:rPr>
          <w:rFonts w:cstheme="minorHAnsi"/>
          <w:szCs w:val="24"/>
        </w:rPr>
        <w:t>Our involvement and engagement with wild land and broader landscape as adviser to Scottish</w:t>
      </w:r>
      <w:r w:rsidR="00D04334" w:rsidRPr="00B56225">
        <w:rPr>
          <w:rFonts w:cstheme="minorHAnsi"/>
          <w:szCs w:val="24"/>
        </w:rPr>
        <w:t xml:space="preserve"> Government on landscape issues.</w:t>
      </w:r>
    </w:p>
    <w:p w:rsidR="00D04334" w:rsidRDefault="00D04334" w:rsidP="00D04334">
      <w:pPr>
        <w:pStyle w:val="ListParagraph"/>
        <w:spacing w:after="0" w:line="240" w:lineRule="auto"/>
        <w:ind w:left="360"/>
        <w:jc w:val="both"/>
        <w:rPr>
          <w:rFonts w:cstheme="minorHAnsi"/>
          <w:szCs w:val="24"/>
        </w:rPr>
      </w:pPr>
    </w:p>
    <w:p w:rsidR="00594D92" w:rsidRPr="00D04334" w:rsidRDefault="00594D92" w:rsidP="00B56225">
      <w:pPr>
        <w:pStyle w:val="ListParagraph"/>
        <w:numPr>
          <w:ilvl w:val="0"/>
          <w:numId w:val="27"/>
        </w:numPr>
        <w:spacing w:after="0" w:line="240" w:lineRule="auto"/>
        <w:jc w:val="both"/>
        <w:rPr>
          <w:rFonts w:cstheme="minorHAnsi"/>
          <w:szCs w:val="24"/>
        </w:rPr>
      </w:pPr>
      <w:r w:rsidRPr="00D04334">
        <w:rPr>
          <w:rFonts w:cstheme="minorHAnsi"/>
          <w:szCs w:val="24"/>
        </w:rPr>
        <w:lastRenderedPageBreak/>
        <w:t xml:space="preserve">Weakening of peatland protection in relation </w:t>
      </w:r>
      <w:r w:rsidR="003A2203" w:rsidRPr="00D04334">
        <w:rPr>
          <w:rFonts w:cstheme="minorHAnsi"/>
          <w:szCs w:val="24"/>
        </w:rPr>
        <w:t>to renewables proposals (which may be offset by interaction betwee</w:t>
      </w:r>
      <w:r w:rsidR="00D84C45" w:rsidRPr="00D04334">
        <w:rPr>
          <w:rFonts w:cstheme="minorHAnsi"/>
          <w:szCs w:val="24"/>
        </w:rPr>
        <w:t xml:space="preserve">n </w:t>
      </w:r>
      <w:r w:rsidR="00D04334">
        <w:rPr>
          <w:rFonts w:cstheme="minorHAnsi"/>
          <w:szCs w:val="24"/>
        </w:rPr>
        <w:t xml:space="preserve">the </w:t>
      </w:r>
      <w:r w:rsidR="00D84C45" w:rsidRPr="00D04334">
        <w:rPr>
          <w:rFonts w:cstheme="minorHAnsi"/>
          <w:szCs w:val="24"/>
        </w:rPr>
        <w:t xml:space="preserve">various </w:t>
      </w:r>
      <w:proofErr w:type="gramStart"/>
      <w:r w:rsidR="00D84C45" w:rsidRPr="00D04334">
        <w:rPr>
          <w:rFonts w:cstheme="minorHAnsi"/>
          <w:szCs w:val="24"/>
        </w:rPr>
        <w:t xml:space="preserve">policies </w:t>
      </w:r>
      <w:r w:rsidR="003A2203" w:rsidRPr="00D04334">
        <w:rPr>
          <w:rFonts w:cstheme="minorHAnsi"/>
          <w:szCs w:val="24"/>
        </w:rPr>
        <w:t>)</w:t>
      </w:r>
      <w:proofErr w:type="gramEnd"/>
      <w:r w:rsidR="003A2203" w:rsidRPr="00D04334">
        <w:rPr>
          <w:rFonts w:cstheme="minorHAnsi"/>
          <w:szCs w:val="24"/>
        </w:rPr>
        <w:t>.</w:t>
      </w:r>
    </w:p>
    <w:p w:rsidR="003A2203" w:rsidRPr="00156084" w:rsidRDefault="003A2203" w:rsidP="00B56225">
      <w:pPr>
        <w:pStyle w:val="ListParagraph"/>
        <w:spacing w:after="0" w:line="240" w:lineRule="auto"/>
        <w:jc w:val="both"/>
        <w:rPr>
          <w:rFonts w:cstheme="minorHAnsi"/>
          <w:szCs w:val="24"/>
        </w:rPr>
      </w:pPr>
    </w:p>
    <w:p w:rsidR="00D04334" w:rsidRDefault="003A2203" w:rsidP="00B56225">
      <w:pPr>
        <w:pStyle w:val="ListParagraph"/>
        <w:numPr>
          <w:ilvl w:val="0"/>
          <w:numId w:val="27"/>
        </w:numPr>
        <w:spacing w:after="0" w:line="240" w:lineRule="auto"/>
        <w:jc w:val="both"/>
        <w:rPr>
          <w:rFonts w:cstheme="minorHAnsi"/>
          <w:szCs w:val="24"/>
        </w:rPr>
      </w:pPr>
      <w:r w:rsidRPr="00156084">
        <w:rPr>
          <w:rFonts w:cstheme="minorHAnsi"/>
          <w:szCs w:val="24"/>
        </w:rPr>
        <w:t>General tenor of fast tracking renewables with fewer apparent constraints.</w:t>
      </w:r>
    </w:p>
    <w:p w:rsidR="00147597" w:rsidRDefault="00147597" w:rsidP="00147597">
      <w:pPr>
        <w:spacing w:after="0" w:line="240" w:lineRule="auto"/>
        <w:jc w:val="both"/>
        <w:rPr>
          <w:rFonts w:cstheme="minorHAnsi"/>
          <w:szCs w:val="24"/>
        </w:rPr>
      </w:pPr>
    </w:p>
    <w:p w:rsidR="003A2203" w:rsidRPr="00147597" w:rsidRDefault="00147597" w:rsidP="00B56225">
      <w:pPr>
        <w:pStyle w:val="ListParagraph"/>
        <w:numPr>
          <w:ilvl w:val="0"/>
          <w:numId w:val="23"/>
        </w:numPr>
        <w:spacing w:after="0"/>
        <w:ind w:left="357" w:hanging="357"/>
        <w:jc w:val="both"/>
        <w:rPr>
          <w:rFonts w:cstheme="minorHAnsi"/>
          <w:szCs w:val="24"/>
        </w:rPr>
      </w:pPr>
      <w:r>
        <w:rPr>
          <w:rFonts w:cstheme="minorHAnsi"/>
          <w:szCs w:val="24"/>
        </w:rPr>
        <w:t>The Board should note that w</w:t>
      </w:r>
      <w:r w:rsidR="003A2203" w:rsidRPr="00147597">
        <w:rPr>
          <w:rFonts w:cstheme="minorHAnsi"/>
          <w:szCs w:val="24"/>
        </w:rPr>
        <w:t xml:space="preserve">e’re not yet in a position to </w:t>
      </w:r>
      <w:r>
        <w:rPr>
          <w:rFonts w:cstheme="minorHAnsi"/>
          <w:szCs w:val="24"/>
        </w:rPr>
        <w:t xml:space="preserve">fully </w:t>
      </w:r>
      <w:r w:rsidR="003A2203" w:rsidRPr="00147597">
        <w:rPr>
          <w:rFonts w:cstheme="minorHAnsi"/>
          <w:szCs w:val="24"/>
        </w:rPr>
        <w:t xml:space="preserve">consider </w:t>
      </w:r>
      <w:r>
        <w:rPr>
          <w:rFonts w:cstheme="minorHAnsi"/>
          <w:szCs w:val="24"/>
        </w:rPr>
        <w:t>the</w:t>
      </w:r>
      <w:r w:rsidR="003A2203" w:rsidRPr="00147597">
        <w:rPr>
          <w:rFonts w:cstheme="minorHAnsi"/>
          <w:szCs w:val="24"/>
        </w:rPr>
        <w:t xml:space="preserve"> r</w:t>
      </w:r>
      <w:r w:rsidR="00EF0F91" w:rsidRPr="00147597">
        <w:rPr>
          <w:rFonts w:cstheme="minorHAnsi"/>
          <w:szCs w:val="24"/>
        </w:rPr>
        <w:t>esource implications from these</w:t>
      </w:r>
      <w:r w:rsidR="003A2203" w:rsidRPr="00147597">
        <w:rPr>
          <w:rFonts w:cstheme="minorHAnsi"/>
          <w:szCs w:val="24"/>
        </w:rPr>
        <w:t xml:space="preserve"> changes </w:t>
      </w:r>
      <w:r w:rsidR="00EF0F91" w:rsidRPr="00147597">
        <w:rPr>
          <w:rFonts w:cstheme="minorHAnsi"/>
          <w:szCs w:val="24"/>
        </w:rPr>
        <w:t xml:space="preserve">until further consideration has been done and we know what the final approved form </w:t>
      </w:r>
      <w:r>
        <w:rPr>
          <w:rFonts w:cstheme="minorHAnsi"/>
          <w:szCs w:val="24"/>
        </w:rPr>
        <w:t xml:space="preserve">NPF4 </w:t>
      </w:r>
      <w:r w:rsidR="00EF0F91" w:rsidRPr="00147597">
        <w:rPr>
          <w:rFonts w:cstheme="minorHAnsi"/>
          <w:szCs w:val="24"/>
        </w:rPr>
        <w:t xml:space="preserve">takes.  </w:t>
      </w:r>
      <w:r>
        <w:rPr>
          <w:rFonts w:cstheme="minorHAnsi"/>
          <w:szCs w:val="24"/>
        </w:rPr>
        <w:t>More detail of this will emerge in the development and refinement of our business plan for 22/23.</w:t>
      </w:r>
    </w:p>
    <w:p w:rsidR="00EF0F91" w:rsidRPr="00156084" w:rsidRDefault="00EF0F91" w:rsidP="005D0E4E">
      <w:pPr>
        <w:spacing w:after="0" w:line="240" w:lineRule="auto"/>
        <w:jc w:val="both"/>
        <w:rPr>
          <w:rFonts w:cstheme="minorHAnsi"/>
          <w:szCs w:val="24"/>
        </w:rPr>
      </w:pPr>
    </w:p>
    <w:p w:rsidR="005D0E4E" w:rsidRDefault="005D0E4E" w:rsidP="00156084">
      <w:pPr>
        <w:pStyle w:val="Heading2"/>
        <w:rPr>
          <w:szCs w:val="24"/>
        </w:rPr>
      </w:pPr>
      <w:r w:rsidRPr="00156084">
        <w:rPr>
          <w:szCs w:val="24"/>
        </w:rPr>
        <w:t>Recommendations:</w:t>
      </w:r>
    </w:p>
    <w:p w:rsidR="00B56225" w:rsidRPr="00B56225" w:rsidRDefault="00B56225" w:rsidP="00B56225"/>
    <w:p w:rsidR="00F24063" w:rsidRPr="00D738CC" w:rsidRDefault="00D738CC" w:rsidP="00B56225">
      <w:pPr>
        <w:pStyle w:val="ListParagraph"/>
        <w:numPr>
          <w:ilvl w:val="0"/>
          <w:numId w:val="23"/>
        </w:numPr>
        <w:spacing w:after="0"/>
        <w:ind w:left="357" w:hanging="357"/>
        <w:jc w:val="both"/>
        <w:rPr>
          <w:rFonts w:cstheme="minorHAnsi"/>
          <w:b/>
          <w:szCs w:val="24"/>
        </w:rPr>
      </w:pPr>
      <w:r>
        <w:rPr>
          <w:rFonts w:cstheme="minorHAnsi"/>
          <w:szCs w:val="24"/>
        </w:rPr>
        <w:t>The Board are asked to n</w:t>
      </w:r>
      <w:r w:rsidR="00EF0F91" w:rsidRPr="00D738CC">
        <w:rPr>
          <w:rFonts w:cstheme="minorHAnsi"/>
          <w:szCs w:val="24"/>
        </w:rPr>
        <w:t>ote the impending change of emphasis</w:t>
      </w:r>
      <w:r>
        <w:rPr>
          <w:rFonts w:cstheme="minorHAnsi"/>
          <w:szCs w:val="24"/>
        </w:rPr>
        <w:t xml:space="preserve"> for our work</w:t>
      </w:r>
      <w:r w:rsidR="00147597">
        <w:rPr>
          <w:rFonts w:cstheme="minorHAnsi"/>
          <w:szCs w:val="24"/>
        </w:rPr>
        <w:t xml:space="preserve"> and agree </w:t>
      </w:r>
      <w:r w:rsidR="00EF0F91" w:rsidRPr="00D738CC">
        <w:rPr>
          <w:rFonts w:cstheme="minorHAnsi"/>
          <w:szCs w:val="24"/>
        </w:rPr>
        <w:t xml:space="preserve">the </w:t>
      </w:r>
      <w:r w:rsidR="00147597">
        <w:rPr>
          <w:rFonts w:cstheme="minorHAnsi"/>
          <w:szCs w:val="24"/>
        </w:rPr>
        <w:t xml:space="preserve">need for us to revisit </w:t>
      </w:r>
      <w:r w:rsidR="00EF0F91" w:rsidRPr="00D738CC">
        <w:rPr>
          <w:rFonts w:cstheme="minorHAnsi"/>
          <w:szCs w:val="24"/>
        </w:rPr>
        <w:t xml:space="preserve">our approach to planning casework and </w:t>
      </w:r>
      <w:r w:rsidR="00147597">
        <w:rPr>
          <w:rFonts w:cstheme="minorHAnsi"/>
          <w:szCs w:val="24"/>
        </w:rPr>
        <w:t xml:space="preserve">the requirement to update and review our </w:t>
      </w:r>
      <w:r w:rsidR="00EF0F91" w:rsidRPr="00D738CC">
        <w:rPr>
          <w:rFonts w:cstheme="minorHAnsi"/>
          <w:szCs w:val="24"/>
        </w:rPr>
        <w:t xml:space="preserve">associated guidance.  </w:t>
      </w:r>
    </w:p>
    <w:p w:rsidR="005D0E4E" w:rsidRPr="00156084" w:rsidRDefault="005D0E4E">
      <w:pPr>
        <w:rPr>
          <w:rFonts w:eastAsiaTheme="majorEastAsia" w:cstheme="minorHAnsi"/>
          <w:b/>
          <w:szCs w:val="24"/>
        </w:rPr>
      </w:pPr>
      <w:r w:rsidRPr="00156084">
        <w:rPr>
          <w:rFonts w:cstheme="minorHAnsi"/>
          <w:b/>
          <w:szCs w:val="24"/>
        </w:rPr>
        <w:br w:type="page"/>
      </w:r>
    </w:p>
    <w:p w:rsidR="005D0E4E" w:rsidRDefault="005D0E4E" w:rsidP="003B170D">
      <w:pPr>
        <w:pStyle w:val="Heading3"/>
        <w:rPr>
          <w:rFonts w:asciiTheme="minorHAnsi" w:hAnsiTheme="minorHAnsi" w:cstheme="minorHAnsi"/>
          <w:b/>
          <w:color w:val="auto"/>
        </w:rPr>
      </w:pPr>
      <w:r w:rsidRPr="00156084">
        <w:rPr>
          <w:rFonts w:asciiTheme="minorHAnsi" w:hAnsiTheme="minorHAnsi" w:cstheme="minorHAnsi"/>
          <w:b/>
          <w:color w:val="auto"/>
        </w:rPr>
        <w:lastRenderedPageBreak/>
        <w:t>Annex 1</w:t>
      </w:r>
      <w:r w:rsidR="00147597">
        <w:rPr>
          <w:rFonts w:asciiTheme="minorHAnsi" w:hAnsiTheme="minorHAnsi" w:cstheme="minorHAnsi"/>
          <w:b/>
          <w:color w:val="auto"/>
        </w:rPr>
        <w:t xml:space="preserve"> – Further Policy Detail included in NPF4</w:t>
      </w:r>
    </w:p>
    <w:p w:rsidR="00147597" w:rsidRDefault="00147597" w:rsidP="00147597"/>
    <w:p w:rsidR="00147597" w:rsidRPr="00147597" w:rsidRDefault="00147597" w:rsidP="00147597">
      <w:pPr>
        <w:rPr>
          <w:i/>
        </w:rPr>
      </w:pPr>
      <w:r w:rsidRPr="00147597">
        <w:rPr>
          <w:i/>
        </w:rPr>
        <w:t xml:space="preserve">Policy 1 - Tackling the climate and nature crises  </w:t>
      </w:r>
    </w:p>
    <w:p w:rsidR="00147597" w:rsidRDefault="00147597" w:rsidP="00147597">
      <w:r>
        <w:t xml:space="preserve">This is a new overarching policy.  The previous draft had separate climate emergency and nature crisis policies so the revised draft has a stronger link between climate change and biodiversity.  </w:t>
      </w:r>
    </w:p>
    <w:p w:rsidR="003D04EE" w:rsidRPr="003D04EE" w:rsidRDefault="00147597" w:rsidP="00147597">
      <w:pPr>
        <w:rPr>
          <w:i/>
        </w:rPr>
      </w:pPr>
      <w:r w:rsidRPr="00147597">
        <w:rPr>
          <w:i/>
        </w:rPr>
        <w:t>Policy</w:t>
      </w:r>
      <w:r w:rsidR="003D04EE">
        <w:rPr>
          <w:i/>
        </w:rPr>
        <w:t xml:space="preserve"> 3 - Biodiversity  </w:t>
      </w:r>
    </w:p>
    <w:p w:rsidR="00147597" w:rsidRDefault="00147597" w:rsidP="00147597">
      <w:r>
        <w:t xml:space="preserve">This policy </w:t>
      </w:r>
      <w:r w:rsidR="003D04EE">
        <w:t xml:space="preserve">confirms the need for development to leave nature in a better state and for it to be measurable.  It </w:t>
      </w:r>
      <w:r>
        <w:t xml:space="preserve">contains stronger wording with the use of ‘will only be supported’ rather than ‘should only be supported’ in relation to development proposals.  It also includes measures to conserve, restore and enhance biodiversity, including nature networks so they are in a demonstrably better state than without intervention.  There is greater clarity on the methodology to secure positive effects for biodiversity with reference to ‘best practice assessment methods’ and ‘national and local guidance’.    </w:t>
      </w:r>
    </w:p>
    <w:p w:rsidR="00147597" w:rsidRPr="00147597" w:rsidRDefault="00147597" w:rsidP="00147597">
      <w:pPr>
        <w:rPr>
          <w:i/>
        </w:rPr>
      </w:pPr>
      <w:r w:rsidRPr="00147597">
        <w:rPr>
          <w:i/>
        </w:rPr>
        <w:t xml:space="preserve">Policy 4 - Natural Places   </w:t>
      </w:r>
    </w:p>
    <w:p w:rsidR="00147597" w:rsidRDefault="00147597" w:rsidP="00147597">
      <w:r>
        <w:t xml:space="preserve">This policy has been moved to earlier in NFP4 to strengthen relationship with Policy 1 – 3. The Policy intent includes to “protect, restore and enhance natural assets making best use of nature-based solutions”.   The policy on wild land has been significantly revised to support renewable energy development and small-scale developments.  However, proposals “must be accompanied by a wild land impact assessment “.  Buffer zones around wild land will not be applied and effects of development </w:t>
      </w:r>
      <w:proofErr w:type="spellStart"/>
      <w:r>
        <w:t>outwith</w:t>
      </w:r>
      <w:proofErr w:type="spellEnd"/>
      <w:r>
        <w:t xml:space="preserve"> wild land areas will not be a significant consideration.  </w:t>
      </w:r>
    </w:p>
    <w:p w:rsidR="00147597" w:rsidRPr="00147597" w:rsidRDefault="00147597" w:rsidP="00147597">
      <w:pPr>
        <w:rPr>
          <w:i/>
        </w:rPr>
      </w:pPr>
      <w:r w:rsidRPr="00147597">
        <w:rPr>
          <w:i/>
        </w:rPr>
        <w:t xml:space="preserve">Policy 5 - Soils  </w:t>
      </w:r>
    </w:p>
    <w:p w:rsidR="00147597" w:rsidRDefault="00147597" w:rsidP="00147597">
      <w:r>
        <w:t xml:space="preserve">There is still a presumption in favour of renewable energy developments on peatland habitats where it is essential for renewable energy and associated infrastructure, small-scale development, or to support a fragile community.     </w:t>
      </w:r>
    </w:p>
    <w:p w:rsidR="00147597" w:rsidRPr="00147597" w:rsidRDefault="00147597" w:rsidP="00147597">
      <w:pPr>
        <w:rPr>
          <w:i/>
        </w:rPr>
      </w:pPr>
      <w:r w:rsidRPr="00147597">
        <w:rPr>
          <w:i/>
        </w:rPr>
        <w:t xml:space="preserve">Policy 6 - Forestry   </w:t>
      </w:r>
    </w:p>
    <w:p w:rsidR="00147597" w:rsidRDefault="00147597" w:rsidP="00147597">
      <w:r>
        <w:t xml:space="preserve">There are only minor changes to this policy, but more emphasis on connectivity and nature networks.  </w:t>
      </w:r>
    </w:p>
    <w:p w:rsidR="00147597" w:rsidRPr="00147597" w:rsidRDefault="00147597" w:rsidP="00147597">
      <w:pPr>
        <w:rPr>
          <w:i/>
        </w:rPr>
      </w:pPr>
      <w:r w:rsidRPr="00147597">
        <w:rPr>
          <w:i/>
        </w:rPr>
        <w:t xml:space="preserve">Policy 8 - Greenbelts  </w:t>
      </w:r>
    </w:p>
    <w:p w:rsidR="00147597" w:rsidRDefault="00147597" w:rsidP="00147597">
      <w:r>
        <w:t xml:space="preserve">The Policy outcomes emphasises the positive roles and contribution of green belts on natural environment.    </w:t>
      </w:r>
    </w:p>
    <w:p w:rsidR="00147597" w:rsidRDefault="00147597" w:rsidP="00147597">
      <w:pPr>
        <w:rPr>
          <w:i/>
        </w:rPr>
      </w:pPr>
    </w:p>
    <w:p w:rsidR="00147597" w:rsidRDefault="00147597" w:rsidP="00147597">
      <w:pPr>
        <w:rPr>
          <w:i/>
        </w:rPr>
      </w:pPr>
    </w:p>
    <w:p w:rsidR="00147597" w:rsidRPr="00147597" w:rsidRDefault="00147597" w:rsidP="00147597">
      <w:pPr>
        <w:rPr>
          <w:i/>
        </w:rPr>
      </w:pPr>
      <w:r w:rsidRPr="00147597">
        <w:rPr>
          <w:i/>
        </w:rPr>
        <w:lastRenderedPageBreak/>
        <w:t xml:space="preserve">Policy 9 - Brownfield, vacant and derelict land and empty buildings </w:t>
      </w:r>
    </w:p>
    <w:p w:rsidR="00147597" w:rsidRDefault="00147597" w:rsidP="00147597">
      <w:r>
        <w:t xml:space="preserve">There is a recognition of the contribution of brownfield land to nature recovery.  It also includes recognition of use for productive greenspace with key policy connection to blue and green infrastructure.  </w:t>
      </w:r>
    </w:p>
    <w:p w:rsidR="00147597" w:rsidRPr="00147597" w:rsidRDefault="00147597" w:rsidP="00147597">
      <w:pPr>
        <w:rPr>
          <w:i/>
        </w:rPr>
      </w:pPr>
      <w:r w:rsidRPr="00147597">
        <w:rPr>
          <w:i/>
        </w:rPr>
        <w:t xml:space="preserve">Policy 10 - Coastal Development  </w:t>
      </w:r>
    </w:p>
    <w:p w:rsidR="00147597" w:rsidRDefault="00147597" w:rsidP="00147597">
      <w:r>
        <w:t xml:space="preserve">This policy has been updated to provide more clarity on the level of support for proposals on developed and undeveloped coasts.  It includes amended wording to take into consideration long-term risk e.g. taking into account future sea level change, supportable in the long-term taking into account projected climate change, design statement.  </w:t>
      </w:r>
      <w:r w:rsidR="003D04EE">
        <w:t>It a</w:t>
      </w:r>
      <w:r w:rsidR="003D04EE" w:rsidRPr="003D04EE">
        <w:t>lso strongly emphasizes need for collaboration between terrestrial and marine planning.</w:t>
      </w:r>
      <w:r>
        <w:t xml:space="preserve">  </w:t>
      </w:r>
    </w:p>
    <w:p w:rsidR="00147597" w:rsidRPr="00147597" w:rsidRDefault="00147597" w:rsidP="00147597">
      <w:pPr>
        <w:rPr>
          <w:i/>
        </w:rPr>
      </w:pPr>
      <w:r w:rsidRPr="00147597">
        <w:rPr>
          <w:i/>
        </w:rPr>
        <w:t xml:space="preserve">Policy 11 - Energy  </w:t>
      </w:r>
    </w:p>
    <w:p w:rsidR="00147597" w:rsidRDefault="00147597" w:rsidP="00147597">
      <w:r>
        <w:t xml:space="preserve">This Policy has been substantially revised and strengthened to support all types of renewable energy (using ‘will be supported’ rather than ‘should be supported in principle’, other than wind farms in NPs and NSAs.  There is no reference to impacts on peatland and carbon-rich soils   </w:t>
      </w:r>
    </w:p>
    <w:p w:rsidR="00147597" w:rsidRDefault="00147597" w:rsidP="00147597">
      <w:r>
        <w:t xml:space="preserve"> The criteria relating to landscape and visual impacts has been relaxed and is more ambiguous: “significant landscape and visual impacts, recognising that such impacts are to be expected for some forms of renewable energy.  Where impacts are localised and/or appropriate design mitigation has been applied, they will generally be considered to be acceptable”.  </w:t>
      </w:r>
    </w:p>
    <w:p w:rsidR="00147597" w:rsidRPr="00147597" w:rsidRDefault="00147597" w:rsidP="00147597">
      <w:pPr>
        <w:rPr>
          <w:i/>
        </w:rPr>
      </w:pPr>
      <w:r>
        <w:t xml:space="preserve"> </w:t>
      </w:r>
      <w:r w:rsidRPr="00147597">
        <w:rPr>
          <w:i/>
        </w:rPr>
        <w:t xml:space="preserve">Policy 13 - Sustainable Transport  </w:t>
      </w:r>
    </w:p>
    <w:p w:rsidR="00147597" w:rsidRDefault="00147597" w:rsidP="00147597">
      <w:r>
        <w:t xml:space="preserve">Stronger wording in relation to the sustainable transport hierarchy   </w:t>
      </w:r>
    </w:p>
    <w:p w:rsidR="00147597" w:rsidRPr="00147597" w:rsidRDefault="00147597" w:rsidP="00147597">
      <w:pPr>
        <w:rPr>
          <w:i/>
        </w:rPr>
      </w:pPr>
      <w:r>
        <w:t xml:space="preserve"> </w:t>
      </w:r>
      <w:r w:rsidRPr="00147597">
        <w:rPr>
          <w:i/>
        </w:rPr>
        <w:t xml:space="preserve">Policy 20 - Blue and Green Infrastructure  </w:t>
      </w:r>
    </w:p>
    <w:p w:rsidR="00147597" w:rsidRDefault="00147597" w:rsidP="00147597">
      <w:r>
        <w:t xml:space="preserve">The Policy outcomes are clearer on Blue and Green Infrastructure (BGI) as an integral part of design and development. This is progression from previous policy positions. Role of BGI for nature and for people is also clearer.  </w:t>
      </w:r>
    </w:p>
    <w:p w:rsidR="00147597" w:rsidRPr="00147597" w:rsidRDefault="00147597" w:rsidP="00147597">
      <w:pPr>
        <w:rPr>
          <w:i/>
        </w:rPr>
      </w:pPr>
      <w:r>
        <w:t xml:space="preserve"> </w:t>
      </w:r>
      <w:r w:rsidRPr="00147597">
        <w:rPr>
          <w:i/>
        </w:rPr>
        <w:t xml:space="preserve">Policy 22 - Flood Risk and Water Management  </w:t>
      </w:r>
    </w:p>
    <w:p w:rsidR="00147597" w:rsidRDefault="00147597" w:rsidP="00147597">
      <w:r>
        <w:t xml:space="preserve">There is a stronger position on implementing improvements through natural flood risk management and Blue and Green infrastructure.  </w:t>
      </w:r>
    </w:p>
    <w:p w:rsidR="00147597" w:rsidRPr="00147597" w:rsidRDefault="00147597" w:rsidP="00147597">
      <w:pPr>
        <w:rPr>
          <w:i/>
        </w:rPr>
      </w:pPr>
      <w:r>
        <w:t xml:space="preserve"> </w:t>
      </w:r>
      <w:r w:rsidRPr="00147597">
        <w:rPr>
          <w:i/>
        </w:rPr>
        <w:t xml:space="preserve">Policy 30 - Tourism  </w:t>
      </w:r>
    </w:p>
    <w:p w:rsidR="00147597" w:rsidRDefault="00147597" w:rsidP="00147597">
      <w:r>
        <w:t xml:space="preserve">Additional factors that now need to be taken into account in development proposals for tourism include opportunities for sustainable travel, measures to minimise carbon emissions and opportunities to provide access to the natural environment.  </w:t>
      </w:r>
    </w:p>
    <w:p w:rsidR="00147597" w:rsidRDefault="00147597" w:rsidP="00147597">
      <w:r>
        <w:lastRenderedPageBreak/>
        <w:t xml:space="preserve"> </w:t>
      </w:r>
    </w:p>
    <w:p w:rsidR="00147597" w:rsidRPr="00147597" w:rsidRDefault="00147597" w:rsidP="00147597">
      <w:pPr>
        <w:rPr>
          <w:i/>
        </w:rPr>
      </w:pPr>
      <w:r w:rsidRPr="00147597">
        <w:rPr>
          <w:i/>
        </w:rPr>
        <w:t xml:space="preserve">Policy 32 - Aquaculture  </w:t>
      </w:r>
    </w:p>
    <w:p w:rsidR="00147597" w:rsidRDefault="00147597" w:rsidP="00147597">
      <w:r>
        <w:t xml:space="preserve">The policy has a clearer intent that the aquaculture industry should work within environmental limits and ensures there is a thriving marine ecosystem for future generations.  There is a clearer reference linking the policy back to National and Regional Marine planning.  </w:t>
      </w:r>
    </w:p>
    <w:p w:rsidR="00147597" w:rsidRPr="00147597" w:rsidRDefault="00147597" w:rsidP="00147597">
      <w:pPr>
        <w:rPr>
          <w:i/>
        </w:rPr>
      </w:pPr>
      <w:r w:rsidRPr="00147597">
        <w:rPr>
          <w:i/>
        </w:rPr>
        <w:t xml:space="preserve">National Developments  </w:t>
      </w:r>
    </w:p>
    <w:p w:rsidR="00D84C45" w:rsidRDefault="00147597" w:rsidP="00147597">
      <w:r>
        <w:t xml:space="preserve">The National Developments remain unchanged although further clarification has been included on the detail of some of these developments.  The implications of these will be analysed further in due course.  </w:t>
      </w:r>
    </w:p>
    <w:p w:rsidR="00147597" w:rsidRDefault="00147597" w:rsidP="00D84C45"/>
    <w:p w:rsidR="00156084" w:rsidRPr="00156084" w:rsidRDefault="00156084" w:rsidP="00156084">
      <w:pPr>
        <w:spacing w:after="0" w:line="240" w:lineRule="auto"/>
        <w:textAlignment w:val="baseline"/>
        <w:rPr>
          <w:rFonts w:eastAsiaTheme="minorEastAsia" w:cstheme="minorHAnsi"/>
          <w:color w:val="000000" w:themeColor="text1"/>
          <w:kern w:val="24"/>
          <w:szCs w:val="24"/>
          <w:lang w:val="en-US" w:eastAsia="en-GB"/>
        </w:rPr>
      </w:pPr>
    </w:p>
    <w:p w:rsidR="00FA0E12" w:rsidRPr="00156084" w:rsidRDefault="00FA0E12" w:rsidP="00156084">
      <w:pPr>
        <w:autoSpaceDE w:val="0"/>
        <w:autoSpaceDN w:val="0"/>
        <w:adjustRightInd w:val="0"/>
        <w:spacing w:after="0" w:line="240" w:lineRule="auto"/>
        <w:jc w:val="both"/>
        <w:rPr>
          <w:rFonts w:cstheme="minorHAnsi"/>
          <w:szCs w:val="24"/>
        </w:rPr>
      </w:pPr>
    </w:p>
    <w:sectPr w:rsidR="00FA0E12" w:rsidRPr="00156084" w:rsidSect="00604DB9">
      <w:headerReference w:type="default" r:id="rId10"/>
      <w:pgSz w:w="11906" w:h="16838"/>
      <w:pgMar w:top="993"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29A" w:rsidRDefault="0040129A" w:rsidP="00204D20">
      <w:pPr>
        <w:spacing w:after="0" w:line="240" w:lineRule="auto"/>
      </w:pPr>
      <w:r>
        <w:separator/>
      </w:r>
    </w:p>
  </w:endnote>
  <w:endnote w:type="continuationSeparator" w:id="0">
    <w:p w:rsidR="0040129A" w:rsidRDefault="0040129A"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29A" w:rsidRDefault="0040129A" w:rsidP="00204D20">
      <w:pPr>
        <w:spacing w:after="0" w:line="240" w:lineRule="auto"/>
      </w:pPr>
      <w:r>
        <w:separator/>
      </w:r>
    </w:p>
  </w:footnote>
  <w:footnote w:type="continuationSeparator" w:id="0">
    <w:p w:rsidR="0040129A" w:rsidRDefault="0040129A"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61F" w:rsidRPr="0047761F" w:rsidRDefault="0047761F" w:rsidP="0047761F">
    <w:pPr>
      <w:pStyle w:val="Header"/>
      <w:jc w:val="right"/>
      <w:rPr>
        <w:b/>
      </w:rPr>
    </w:pPr>
    <w:r w:rsidRPr="0047761F">
      <w:rPr>
        <w:b/>
      </w:rPr>
      <w:t>BOARD/202/06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1C7E"/>
    <w:multiLevelType w:val="hybridMultilevel"/>
    <w:tmpl w:val="A54AB8E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 w15:restartNumberingAfterBreak="0">
    <w:nsid w:val="055E1A57"/>
    <w:multiLevelType w:val="hybridMultilevel"/>
    <w:tmpl w:val="859E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B17EC"/>
    <w:multiLevelType w:val="hybridMultilevel"/>
    <w:tmpl w:val="DA8CD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7B674C"/>
    <w:multiLevelType w:val="hybridMultilevel"/>
    <w:tmpl w:val="15F2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95AC2"/>
    <w:multiLevelType w:val="hybridMultilevel"/>
    <w:tmpl w:val="08724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A650E0"/>
    <w:multiLevelType w:val="hybridMultilevel"/>
    <w:tmpl w:val="D37259BE"/>
    <w:lvl w:ilvl="0" w:tplc="5C442D3E">
      <w:start w:val="1"/>
      <w:numFmt w:val="bullet"/>
      <w:lvlText w:val="•"/>
      <w:lvlJc w:val="left"/>
      <w:pPr>
        <w:tabs>
          <w:tab w:val="num" w:pos="720"/>
        </w:tabs>
        <w:ind w:left="720" w:hanging="360"/>
      </w:pPr>
      <w:rPr>
        <w:rFonts w:ascii="Arial" w:hAnsi="Arial" w:hint="default"/>
      </w:rPr>
    </w:lvl>
    <w:lvl w:ilvl="1" w:tplc="31CA65D8" w:tentative="1">
      <w:start w:val="1"/>
      <w:numFmt w:val="bullet"/>
      <w:lvlText w:val="•"/>
      <w:lvlJc w:val="left"/>
      <w:pPr>
        <w:tabs>
          <w:tab w:val="num" w:pos="1440"/>
        </w:tabs>
        <w:ind w:left="1440" w:hanging="360"/>
      </w:pPr>
      <w:rPr>
        <w:rFonts w:ascii="Arial" w:hAnsi="Arial" w:hint="default"/>
      </w:rPr>
    </w:lvl>
    <w:lvl w:ilvl="2" w:tplc="999696B6" w:tentative="1">
      <w:start w:val="1"/>
      <w:numFmt w:val="bullet"/>
      <w:lvlText w:val="•"/>
      <w:lvlJc w:val="left"/>
      <w:pPr>
        <w:tabs>
          <w:tab w:val="num" w:pos="2160"/>
        </w:tabs>
        <w:ind w:left="2160" w:hanging="360"/>
      </w:pPr>
      <w:rPr>
        <w:rFonts w:ascii="Arial" w:hAnsi="Arial" w:hint="default"/>
      </w:rPr>
    </w:lvl>
    <w:lvl w:ilvl="3" w:tplc="55145E0E" w:tentative="1">
      <w:start w:val="1"/>
      <w:numFmt w:val="bullet"/>
      <w:lvlText w:val="•"/>
      <w:lvlJc w:val="left"/>
      <w:pPr>
        <w:tabs>
          <w:tab w:val="num" w:pos="2880"/>
        </w:tabs>
        <w:ind w:left="2880" w:hanging="360"/>
      </w:pPr>
      <w:rPr>
        <w:rFonts w:ascii="Arial" w:hAnsi="Arial" w:hint="default"/>
      </w:rPr>
    </w:lvl>
    <w:lvl w:ilvl="4" w:tplc="CF4C17B8" w:tentative="1">
      <w:start w:val="1"/>
      <w:numFmt w:val="bullet"/>
      <w:lvlText w:val="•"/>
      <w:lvlJc w:val="left"/>
      <w:pPr>
        <w:tabs>
          <w:tab w:val="num" w:pos="3600"/>
        </w:tabs>
        <w:ind w:left="3600" w:hanging="360"/>
      </w:pPr>
      <w:rPr>
        <w:rFonts w:ascii="Arial" w:hAnsi="Arial" w:hint="default"/>
      </w:rPr>
    </w:lvl>
    <w:lvl w:ilvl="5" w:tplc="4DCAD590" w:tentative="1">
      <w:start w:val="1"/>
      <w:numFmt w:val="bullet"/>
      <w:lvlText w:val="•"/>
      <w:lvlJc w:val="left"/>
      <w:pPr>
        <w:tabs>
          <w:tab w:val="num" w:pos="4320"/>
        </w:tabs>
        <w:ind w:left="4320" w:hanging="360"/>
      </w:pPr>
      <w:rPr>
        <w:rFonts w:ascii="Arial" w:hAnsi="Arial" w:hint="default"/>
      </w:rPr>
    </w:lvl>
    <w:lvl w:ilvl="6" w:tplc="77FA4B7A" w:tentative="1">
      <w:start w:val="1"/>
      <w:numFmt w:val="bullet"/>
      <w:lvlText w:val="•"/>
      <w:lvlJc w:val="left"/>
      <w:pPr>
        <w:tabs>
          <w:tab w:val="num" w:pos="5040"/>
        </w:tabs>
        <w:ind w:left="5040" w:hanging="360"/>
      </w:pPr>
      <w:rPr>
        <w:rFonts w:ascii="Arial" w:hAnsi="Arial" w:hint="default"/>
      </w:rPr>
    </w:lvl>
    <w:lvl w:ilvl="7" w:tplc="D9C4ACCE" w:tentative="1">
      <w:start w:val="1"/>
      <w:numFmt w:val="bullet"/>
      <w:lvlText w:val="•"/>
      <w:lvlJc w:val="left"/>
      <w:pPr>
        <w:tabs>
          <w:tab w:val="num" w:pos="5760"/>
        </w:tabs>
        <w:ind w:left="5760" w:hanging="360"/>
      </w:pPr>
      <w:rPr>
        <w:rFonts w:ascii="Arial" w:hAnsi="Arial" w:hint="default"/>
      </w:rPr>
    </w:lvl>
    <w:lvl w:ilvl="8" w:tplc="E3DAAA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15699E"/>
    <w:multiLevelType w:val="hybridMultilevel"/>
    <w:tmpl w:val="4C142426"/>
    <w:lvl w:ilvl="0" w:tplc="91A6340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804DA"/>
    <w:multiLevelType w:val="hybridMultilevel"/>
    <w:tmpl w:val="96F0FD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5C44"/>
    <w:multiLevelType w:val="hybridMultilevel"/>
    <w:tmpl w:val="F3E07B2E"/>
    <w:lvl w:ilvl="0" w:tplc="110E86B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B25B12"/>
    <w:multiLevelType w:val="hybridMultilevel"/>
    <w:tmpl w:val="2646BF7E"/>
    <w:lvl w:ilvl="0" w:tplc="C17AFDAA">
      <w:start w:val="1"/>
      <w:numFmt w:val="bullet"/>
      <w:lvlText w:val="•"/>
      <w:lvlJc w:val="left"/>
      <w:pPr>
        <w:tabs>
          <w:tab w:val="num" w:pos="720"/>
        </w:tabs>
        <w:ind w:left="720" w:hanging="360"/>
      </w:pPr>
      <w:rPr>
        <w:rFonts w:ascii="Arial" w:hAnsi="Arial" w:hint="default"/>
      </w:rPr>
    </w:lvl>
    <w:lvl w:ilvl="1" w:tplc="257C83BE" w:tentative="1">
      <w:start w:val="1"/>
      <w:numFmt w:val="bullet"/>
      <w:lvlText w:val="•"/>
      <w:lvlJc w:val="left"/>
      <w:pPr>
        <w:tabs>
          <w:tab w:val="num" w:pos="1440"/>
        </w:tabs>
        <w:ind w:left="1440" w:hanging="360"/>
      </w:pPr>
      <w:rPr>
        <w:rFonts w:ascii="Arial" w:hAnsi="Arial" w:hint="default"/>
      </w:rPr>
    </w:lvl>
    <w:lvl w:ilvl="2" w:tplc="998056E6" w:tentative="1">
      <w:start w:val="1"/>
      <w:numFmt w:val="bullet"/>
      <w:lvlText w:val="•"/>
      <w:lvlJc w:val="left"/>
      <w:pPr>
        <w:tabs>
          <w:tab w:val="num" w:pos="2160"/>
        </w:tabs>
        <w:ind w:left="2160" w:hanging="360"/>
      </w:pPr>
      <w:rPr>
        <w:rFonts w:ascii="Arial" w:hAnsi="Arial" w:hint="default"/>
      </w:rPr>
    </w:lvl>
    <w:lvl w:ilvl="3" w:tplc="2A568AA8" w:tentative="1">
      <w:start w:val="1"/>
      <w:numFmt w:val="bullet"/>
      <w:lvlText w:val="•"/>
      <w:lvlJc w:val="left"/>
      <w:pPr>
        <w:tabs>
          <w:tab w:val="num" w:pos="2880"/>
        </w:tabs>
        <w:ind w:left="2880" w:hanging="360"/>
      </w:pPr>
      <w:rPr>
        <w:rFonts w:ascii="Arial" w:hAnsi="Arial" w:hint="default"/>
      </w:rPr>
    </w:lvl>
    <w:lvl w:ilvl="4" w:tplc="BFAA92DA" w:tentative="1">
      <w:start w:val="1"/>
      <w:numFmt w:val="bullet"/>
      <w:lvlText w:val="•"/>
      <w:lvlJc w:val="left"/>
      <w:pPr>
        <w:tabs>
          <w:tab w:val="num" w:pos="3600"/>
        </w:tabs>
        <w:ind w:left="3600" w:hanging="360"/>
      </w:pPr>
      <w:rPr>
        <w:rFonts w:ascii="Arial" w:hAnsi="Arial" w:hint="default"/>
      </w:rPr>
    </w:lvl>
    <w:lvl w:ilvl="5" w:tplc="477CADC2" w:tentative="1">
      <w:start w:val="1"/>
      <w:numFmt w:val="bullet"/>
      <w:lvlText w:val="•"/>
      <w:lvlJc w:val="left"/>
      <w:pPr>
        <w:tabs>
          <w:tab w:val="num" w:pos="4320"/>
        </w:tabs>
        <w:ind w:left="4320" w:hanging="360"/>
      </w:pPr>
      <w:rPr>
        <w:rFonts w:ascii="Arial" w:hAnsi="Arial" w:hint="default"/>
      </w:rPr>
    </w:lvl>
    <w:lvl w:ilvl="6" w:tplc="5832F352" w:tentative="1">
      <w:start w:val="1"/>
      <w:numFmt w:val="bullet"/>
      <w:lvlText w:val="•"/>
      <w:lvlJc w:val="left"/>
      <w:pPr>
        <w:tabs>
          <w:tab w:val="num" w:pos="5040"/>
        </w:tabs>
        <w:ind w:left="5040" w:hanging="360"/>
      </w:pPr>
      <w:rPr>
        <w:rFonts w:ascii="Arial" w:hAnsi="Arial" w:hint="default"/>
      </w:rPr>
    </w:lvl>
    <w:lvl w:ilvl="7" w:tplc="49C6B310" w:tentative="1">
      <w:start w:val="1"/>
      <w:numFmt w:val="bullet"/>
      <w:lvlText w:val="•"/>
      <w:lvlJc w:val="left"/>
      <w:pPr>
        <w:tabs>
          <w:tab w:val="num" w:pos="5760"/>
        </w:tabs>
        <w:ind w:left="5760" w:hanging="360"/>
      </w:pPr>
      <w:rPr>
        <w:rFonts w:ascii="Arial" w:hAnsi="Arial" w:hint="default"/>
      </w:rPr>
    </w:lvl>
    <w:lvl w:ilvl="8" w:tplc="FD46F81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14000D"/>
    <w:multiLevelType w:val="hybridMultilevel"/>
    <w:tmpl w:val="4F0A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45EE2"/>
    <w:multiLevelType w:val="hybridMultilevel"/>
    <w:tmpl w:val="963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731EE1"/>
    <w:multiLevelType w:val="hybridMultilevel"/>
    <w:tmpl w:val="8E54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D48B2"/>
    <w:multiLevelType w:val="hybridMultilevel"/>
    <w:tmpl w:val="10A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A2718A"/>
    <w:multiLevelType w:val="hybridMultilevel"/>
    <w:tmpl w:val="DB3E8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67339A"/>
    <w:multiLevelType w:val="hybridMultilevel"/>
    <w:tmpl w:val="8B328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A22292"/>
    <w:multiLevelType w:val="hybridMultilevel"/>
    <w:tmpl w:val="DD48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F968C1"/>
    <w:multiLevelType w:val="hybridMultilevel"/>
    <w:tmpl w:val="86D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A2744C"/>
    <w:multiLevelType w:val="hybridMultilevel"/>
    <w:tmpl w:val="ECE80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AA2601"/>
    <w:multiLevelType w:val="hybridMultilevel"/>
    <w:tmpl w:val="DCD8F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A022CAA"/>
    <w:multiLevelType w:val="hybridMultilevel"/>
    <w:tmpl w:val="555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C3D1A"/>
    <w:multiLevelType w:val="hybridMultilevel"/>
    <w:tmpl w:val="583E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7059D7"/>
    <w:multiLevelType w:val="hybridMultilevel"/>
    <w:tmpl w:val="CC9E6090"/>
    <w:lvl w:ilvl="0" w:tplc="002CF7BA">
      <w:start w:val="1"/>
      <w:numFmt w:val="bullet"/>
      <w:lvlText w:val="•"/>
      <w:lvlJc w:val="left"/>
      <w:pPr>
        <w:tabs>
          <w:tab w:val="num" w:pos="720"/>
        </w:tabs>
        <w:ind w:left="720" w:hanging="360"/>
      </w:pPr>
      <w:rPr>
        <w:rFonts w:ascii="Arial" w:hAnsi="Arial" w:hint="default"/>
      </w:rPr>
    </w:lvl>
    <w:lvl w:ilvl="1" w:tplc="2ADA424E" w:tentative="1">
      <w:start w:val="1"/>
      <w:numFmt w:val="bullet"/>
      <w:lvlText w:val="•"/>
      <w:lvlJc w:val="left"/>
      <w:pPr>
        <w:tabs>
          <w:tab w:val="num" w:pos="1440"/>
        </w:tabs>
        <w:ind w:left="1440" w:hanging="360"/>
      </w:pPr>
      <w:rPr>
        <w:rFonts w:ascii="Arial" w:hAnsi="Arial" w:hint="default"/>
      </w:rPr>
    </w:lvl>
    <w:lvl w:ilvl="2" w:tplc="F7D2F82E" w:tentative="1">
      <w:start w:val="1"/>
      <w:numFmt w:val="bullet"/>
      <w:lvlText w:val="•"/>
      <w:lvlJc w:val="left"/>
      <w:pPr>
        <w:tabs>
          <w:tab w:val="num" w:pos="2160"/>
        </w:tabs>
        <w:ind w:left="2160" w:hanging="360"/>
      </w:pPr>
      <w:rPr>
        <w:rFonts w:ascii="Arial" w:hAnsi="Arial" w:hint="default"/>
      </w:rPr>
    </w:lvl>
    <w:lvl w:ilvl="3" w:tplc="9C0AC00E" w:tentative="1">
      <w:start w:val="1"/>
      <w:numFmt w:val="bullet"/>
      <w:lvlText w:val="•"/>
      <w:lvlJc w:val="left"/>
      <w:pPr>
        <w:tabs>
          <w:tab w:val="num" w:pos="2880"/>
        </w:tabs>
        <w:ind w:left="2880" w:hanging="360"/>
      </w:pPr>
      <w:rPr>
        <w:rFonts w:ascii="Arial" w:hAnsi="Arial" w:hint="default"/>
      </w:rPr>
    </w:lvl>
    <w:lvl w:ilvl="4" w:tplc="86E45A00" w:tentative="1">
      <w:start w:val="1"/>
      <w:numFmt w:val="bullet"/>
      <w:lvlText w:val="•"/>
      <w:lvlJc w:val="left"/>
      <w:pPr>
        <w:tabs>
          <w:tab w:val="num" w:pos="3600"/>
        </w:tabs>
        <w:ind w:left="3600" w:hanging="360"/>
      </w:pPr>
      <w:rPr>
        <w:rFonts w:ascii="Arial" w:hAnsi="Arial" w:hint="default"/>
      </w:rPr>
    </w:lvl>
    <w:lvl w:ilvl="5" w:tplc="2938BD80" w:tentative="1">
      <w:start w:val="1"/>
      <w:numFmt w:val="bullet"/>
      <w:lvlText w:val="•"/>
      <w:lvlJc w:val="left"/>
      <w:pPr>
        <w:tabs>
          <w:tab w:val="num" w:pos="4320"/>
        </w:tabs>
        <w:ind w:left="4320" w:hanging="360"/>
      </w:pPr>
      <w:rPr>
        <w:rFonts w:ascii="Arial" w:hAnsi="Arial" w:hint="default"/>
      </w:rPr>
    </w:lvl>
    <w:lvl w:ilvl="6" w:tplc="7A9AEEE4" w:tentative="1">
      <w:start w:val="1"/>
      <w:numFmt w:val="bullet"/>
      <w:lvlText w:val="•"/>
      <w:lvlJc w:val="left"/>
      <w:pPr>
        <w:tabs>
          <w:tab w:val="num" w:pos="5040"/>
        </w:tabs>
        <w:ind w:left="5040" w:hanging="360"/>
      </w:pPr>
      <w:rPr>
        <w:rFonts w:ascii="Arial" w:hAnsi="Arial" w:hint="default"/>
      </w:rPr>
    </w:lvl>
    <w:lvl w:ilvl="7" w:tplc="600E94BC" w:tentative="1">
      <w:start w:val="1"/>
      <w:numFmt w:val="bullet"/>
      <w:lvlText w:val="•"/>
      <w:lvlJc w:val="left"/>
      <w:pPr>
        <w:tabs>
          <w:tab w:val="num" w:pos="5760"/>
        </w:tabs>
        <w:ind w:left="5760" w:hanging="360"/>
      </w:pPr>
      <w:rPr>
        <w:rFonts w:ascii="Arial" w:hAnsi="Arial" w:hint="default"/>
      </w:rPr>
    </w:lvl>
    <w:lvl w:ilvl="8" w:tplc="9C0C1FE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6AE4F15"/>
    <w:multiLevelType w:val="hybridMultilevel"/>
    <w:tmpl w:val="36D25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947E48"/>
    <w:multiLevelType w:val="hybridMultilevel"/>
    <w:tmpl w:val="36D25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392CB7"/>
    <w:multiLevelType w:val="hybridMultilevel"/>
    <w:tmpl w:val="DB9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20"/>
  </w:num>
  <w:num w:numId="4">
    <w:abstractNumId w:val="11"/>
  </w:num>
  <w:num w:numId="5">
    <w:abstractNumId w:val="7"/>
  </w:num>
  <w:num w:numId="6">
    <w:abstractNumId w:val="6"/>
  </w:num>
  <w:num w:numId="7">
    <w:abstractNumId w:val="15"/>
  </w:num>
  <w:num w:numId="8">
    <w:abstractNumId w:val="13"/>
  </w:num>
  <w:num w:numId="9">
    <w:abstractNumId w:val="3"/>
  </w:num>
  <w:num w:numId="10">
    <w:abstractNumId w:val="16"/>
  </w:num>
  <w:num w:numId="11">
    <w:abstractNumId w:val="1"/>
  </w:num>
  <w:num w:numId="12">
    <w:abstractNumId w:val="17"/>
  </w:num>
  <w:num w:numId="13">
    <w:abstractNumId w:val="19"/>
  </w:num>
  <w:num w:numId="14">
    <w:abstractNumId w:val="25"/>
  </w:num>
  <w:num w:numId="15">
    <w:abstractNumId w:val="12"/>
  </w:num>
  <w:num w:numId="16">
    <w:abstractNumId w:val="2"/>
  </w:num>
  <w:num w:numId="17">
    <w:abstractNumId w:val="10"/>
  </w:num>
  <w:num w:numId="18">
    <w:abstractNumId w:val="10"/>
  </w:num>
  <w:num w:numId="19">
    <w:abstractNumId w:val="5"/>
  </w:num>
  <w:num w:numId="20">
    <w:abstractNumId w:val="22"/>
  </w:num>
  <w:num w:numId="21">
    <w:abstractNumId w:val="9"/>
  </w:num>
  <w:num w:numId="22">
    <w:abstractNumId w:val="0"/>
  </w:num>
  <w:num w:numId="23">
    <w:abstractNumId w:val="8"/>
  </w:num>
  <w:num w:numId="24">
    <w:abstractNumId w:val="4"/>
  </w:num>
  <w:num w:numId="25">
    <w:abstractNumId w:val="24"/>
  </w:num>
  <w:num w:numId="26">
    <w:abstractNumId w:val="2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20"/>
    <w:rsid w:val="000048EA"/>
    <w:rsid w:val="00027A76"/>
    <w:rsid w:val="00076774"/>
    <w:rsid w:val="000936B1"/>
    <w:rsid w:val="001033FB"/>
    <w:rsid w:val="00111B84"/>
    <w:rsid w:val="001160F9"/>
    <w:rsid w:val="00120B7F"/>
    <w:rsid w:val="00146276"/>
    <w:rsid w:val="00147597"/>
    <w:rsid w:val="00156084"/>
    <w:rsid w:val="00162DE7"/>
    <w:rsid w:val="001753AB"/>
    <w:rsid w:val="00183C38"/>
    <w:rsid w:val="001B6867"/>
    <w:rsid w:val="001F7397"/>
    <w:rsid w:val="00204D20"/>
    <w:rsid w:val="0020596F"/>
    <w:rsid w:val="00217896"/>
    <w:rsid w:val="00236700"/>
    <w:rsid w:val="00257A02"/>
    <w:rsid w:val="00264512"/>
    <w:rsid w:val="00265931"/>
    <w:rsid w:val="002A7A0F"/>
    <w:rsid w:val="002E2033"/>
    <w:rsid w:val="00304855"/>
    <w:rsid w:val="00322D98"/>
    <w:rsid w:val="0032429D"/>
    <w:rsid w:val="0033297B"/>
    <w:rsid w:val="003344F1"/>
    <w:rsid w:val="00366E4B"/>
    <w:rsid w:val="003847D8"/>
    <w:rsid w:val="00387703"/>
    <w:rsid w:val="003A0BAA"/>
    <w:rsid w:val="003A1445"/>
    <w:rsid w:val="003A2203"/>
    <w:rsid w:val="003B170D"/>
    <w:rsid w:val="003C0B5D"/>
    <w:rsid w:val="003C3F48"/>
    <w:rsid w:val="003D04EE"/>
    <w:rsid w:val="003E22BB"/>
    <w:rsid w:val="003E509E"/>
    <w:rsid w:val="0040129A"/>
    <w:rsid w:val="004256C5"/>
    <w:rsid w:val="004342C1"/>
    <w:rsid w:val="00460391"/>
    <w:rsid w:val="00467D88"/>
    <w:rsid w:val="00474D07"/>
    <w:rsid w:val="00476D0F"/>
    <w:rsid w:val="0047761F"/>
    <w:rsid w:val="004B3A52"/>
    <w:rsid w:val="004E4DB9"/>
    <w:rsid w:val="004F1BBD"/>
    <w:rsid w:val="004F3D8D"/>
    <w:rsid w:val="00501026"/>
    <w:rsid w:val="00505836"/>
    <w:rsid w:val="00506E5C"/>
    <w:rsid w:val="00517412"/>
    <w:rsid w:val="005261AF"/>
    <w:rsid w:val="00530421"/>
    <w:rsid w:val="00545A1C"/>
    <w:rsid w:val="00546D2A"/>
    <w:rsid w:val="00567227"/>
    <w:rsid w:val="005926A8"/>
    <w:rsid w:val="00594D92"/>
    <w:rsid w:val="005B2312"/>
    <w:rsid w:val="005B5580"/>
    <w:rsid w:val="005C6F3F"/>
    <w:rsid w:val="005D0E4E"/>
    <w:rsid w:val="005F2537"/>
    <w:rsid w:val="005F53C1"/>
    <w:rsid w:val="00600E8F"/>
    <w:rsid w:val="00604DB9"/>
    <w:rsid w:val="00611CD6"/>
    <w:rsid w:val="00612004"/>
    <w:rsid w:val="0061200E"/>
    <w:rsid w:val="00617BA8"/>
    <w:rsid w:val="00633F28"/>
    <w:rsid w:val="006402A0"/>
    <w:rsid w:val="00666A8A"/>
    <w:rsid w:val="00683DAA"/>
    <w:rsid w:val="00690252"/>
    <w:rsid w:val="006B521F"/>
    <w:rsid w:val="006D3FA5"/>
    <w:rsid w:val="006E075C"/>
    <w:rsid w:val="006E336B"/>
    <w:rsid w:val="00701143"/>
    <w:rsid w:val="00717EC9"/>
    <w:rsid w:val="00751947"/>
    <w:rsid w:val="007A6791"/>
    <w:rsid w:val="007C5167"/>
    <w:rsid w:val="007D33E1"/>
    <w:rsid w:val="007D4236"/>
    <w:rsid w:val="00834565"/>
    <w:rsid w:val="00852505"/>
    <w:rsid w:val="008558A8"/>
    <w:rsid w:val="00866908"/>
    <w:rsid w:val="00871EC6"/>
    <w:rsid w:val="00897B62"/>
    <w:rsid w:val="008A797D"/>
    <w:rsid w:val="008F3AA0"/>
    <w:rsid w:val="0093190C"/>
    <w:rsid w:val="00946309"/>
    <w:rsid w:val="00976B38"/>
    <w:rsid w:val="00985ED0"/>
    <w:rsid w:val="009A0129"/>
    <w:rsid w:val="009A549A"/>
    <w:rsid w:val="009B2C46"/>
    <w:rsid w:val="009B467A"/>
    <w:rsid w:val="009B6B14"/>
    <w:rsid w:val="009E599C"/>
    <w:rsid w:val="00A304ED"/>
    <w:rsid w:val="00A30604"/>
    <w:rsid w:val="00A33EEE"/>
    <w:rsid w:val="00A54985"/>
    <w:rsid w:val="00A7484C"/>
    <w:rsid w:val="00A80762"/>
    <w:rsid w:val="00A81585"/>
    <w:rsid w:val="00A907C9"/>
    <w:rsid w:val="00A932B9"/>
    <w:rsid w:val="00AA513B"/>
    <w:rsid w:val="00AC4A70"/>
    <w:rsid w:val="00AE1100"/>
    <w:rsid w:val="00AF0F13"/>
    <w:rsid w:val="00B175FD"/>
    <w:rsid w:val="00B17F58"/>
    <w:rsid w:val="00B24CA5"/>
    <w:rsid w:val="00B45716"/>
    <w:rsid w:val="00B56225"/>
    <w:rsid w:val="00B77992"/>
    <w:rsid w:val="00BD5E53"/>
    <w:rsid w:val="00BE0D91"/>
    <w:rsid w:val="00C23A43"/>
    <w:rsid w:val="00C3696B"/>
    <w:rsid w:val="00C54AF8"/>
    <w:rsid w:val="00C70AC5"/>
    <w:rsid w:val="00CA6CA5"/>
    <w:rsid w:val="00CC23E9"/>
    <w:rsid w:val="00CC4495"/>
    <w:rsid w:val="00CE5BE1"/>
    <w:rsid w:val="00CF5775"/>
    <w:rsid w:val="00D03231"/>
    <w:rsid w:val="00D04334"/>
    <w:rsid w:val="00D44333"/>
    <w:rsid w:val="00D738CC"/>
    <w:rsid w:val="00D84C45"/>
    <w:rsid w:val="00D85A63"/>
    <w:rsid w:val="00D9473C"/>
    <w:rsid w:val="00DA6B4D"/>
    <w:rsid w:val="00DC1933"/>
    <w:rsid w:val="00DC3685"/>
    <w:rsid w:val="00E04F18"/>
    <w:rsid w:val="00E1294D"/>
    <w:rsid w:val="00E22A05"/>
    <w:rsid w:val="00E31FF8"/>
    <w:rsid w:val="00E37F70"/>
    <w:rsid w:val="00E403E3"/>
    <w:rsid w:val="00E83BDD"/>
    <w:rsid w:val="00EA1751"/>
    <w:rsid w:val="00EC1C3C"/>
    <w:rsid w:val="00ED7021"/>
    <w:rsid w:val="00EE2D45"/>
    <w:rsid w:val="00EE480A"/>
    <w:rsid w:val="00EE4A2E"/>
    <w:rsid w:val="00EF0F91"/>
    <w:rsid w:val="00F15554"/>
    <w:rsid w:val="00F24063"/>
    <w:rsid w:val="00F37072"/>
    <w:rsid w:val="00F379E4"/>
    <w:rsid w:val="00F66BD0"/>
    <w:rsid w:val="00FA0E12"/>
    <w:rsid w:val="00FA1AA0"/>
    <w:rsid w:val="00FA77ED"/>
    <w:rsid w:val="00FA7CF2"/>
    <w:rsid w:val="00FB0532"/>
    <w:rsid w:val="00FB279C"/>
    <w:rsid w:val="00FC32ED"/>
    <w:rsid w:val="00FC461B"/>
    <w:rsid w:val="00FD1525"/>
    <w:rsid w:val="00FE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7C97C"/>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basedOn w:val="Normal"/>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semiHidden/>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semiHidden/>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 w:type="paragraph" w:customStyle="1" w:styleId="paragraph">
    <w:name w:val="paragraph"/>
    <w:basedOn w:val="Normal"/>
    <w:rsid w:val="007A6791"/>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7A6791"/>
  </w:style>
  <w:style w:type="character" w:customStyle="1" w:styleId="eop">
    <w:name w:val="eop"/>
    <w:basedOn w:val="DefaultParagraphFont"/>
    <w:rsid w:val="007A6791"/>
  </w:style>
  <w:style w:type="paragraph" w:styleId="NormalWeb">
    <w:name w:val="Normal (Web)"/>
    <w:basedOn w:val="Normal"/>
    <w:uiPriority w:val="99"/>
    <w:semiHidden/>
    <w:unhideWhenUsed/>
    <w:rsid w:val="007A6791"/>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0062">
      <w:bodyDiv w:val="1"/>
      <w:marLeft w:val="0"/>
      <w:marRight w:val="0"/>
      <w:marTop w:val="0"/>
      <w:marBottom w:val="0"/>
      <w:divBdr>
        <w:top w:val="none" w:sz="0" w:space="0" w:color="auto"/>
        <w:left w:val="none" w:sz="0" w:space="0" w:color="auto"/>
        <w:bottom w:val="none" w:sz="0" w:space="0" w:color="auto"/>
        <w:right w:val="none" w:sz="0" w:space="0" w:color="auto"/>
      </w:divBdr>
    </w:div>
    <w:div w:id="157695011">
      <w:bodyDiv w:val="1"/>
      <w:marLeft w:val="0"/>
      <w:marRight w:val="0"/>
      <w:marTop w:val="0"/>
      <w:marBottom w:val="0"/>
      <w:divBdr>
        <w:top w:val="none" w:sz="0" w:space="0" w:color="auto"/>
        <w:left w:val="none" w:sz="0" w:space="0" w:color="auto"/>
        <w:bottom w:val="none" w:sz="0" w:space="0" w:color="auto"/>
        <w:right w:val="none" w:sz="0" w:space="0" w:color="auto"/>
      </w:divBdr>
    </w:div>
    <w:div w:id="700322139">
      <w:bodyDiv w:val="1"/>
      <w:marLeft w:val="0"/>
      <w:marRight w:val="0"/>
      <w:marTop w:val="0"/>
      <w:marBottom w:val="0"/>
      <w:divBdr>
        <w:top w:val="none" w:sz="0" w:space="0" w:color="auto"/>
        <w:left w:val="none" w:sz="0" w:space="0" w:color="auto"/>
        <w:bottom w:val="none" w:sz="0" w:space="0" w:color="auto"/>
        <w:right w:val="none" w:sz="0" w:space="0" w:color="auto"/>
      </w:divBdr>
      <w:divsChild>
        <w:div w:id="1864586458">
          <w:marLeft w:val="547"/>
          <w:marRight w:val="0"/>
          <w:marTop w:val="0"/>
          <w:marBottom w:val="0"/>
          <w:divBdr>
            <w:top w:val="none" w:sz="0" w:space="0" w:color="auto"/>
            <w:left w:val="none" w:sz="0" w:space="0" w:color="auto"/>
            <w:bottom w:val="none" w:sz="0" w:space="0" w:color="auto"/>
            <w:right w:val="none" w:sz="0" w:space="0" w:color="auto"/>
          </w:divBdr>
        </w:div>
        <w:div w:id="724840996">
          <w:marLeft w:val="547"/>
          <w:marRight w:val="0"/>
          <w:marTop w:val="0"/>
          <w:marBottom w:val="0"/>
          <w:divBdr>
            <w:top w:val="none" w:sz="0" w:space="0" w:color="auto"/>
            <w:left w:val="none" w:sz="0" w:space="0" w:color="auto"/>
            <w:bottom w:val="none" w:sz="0" w:space="0" w:color="auto"/>
            <w:right w:val="none" w:sz="0" w:space="0" w:color="auto"/>
          </w:divBdr>
        </w:div>
        <w:div w:id="1399328111">
          <w:marLeft w:val="547"/>
          <w:marRight w:val="0"/>
          <w:marTop w:val="0"/>
          <w:marBottom w:val="0"/>
          <w:divBdr>
            <w:top w:val="none" w:sz="0" w:space="0" w:color="auto"/>
            <w:left w:val="none" w:sz="0" w:space="0" w:color="auto"/>
            <w:bottom w:val="none" w:sz="0" w:space="0" w:color="auto"/>
            <w:right w:val="none" w:sz="0" w:space="0" w:color="auto"/>
          </w:divBdr>
        </w:div>
        <w:div w:id="1759717239">
          <w:marLeft w:val="547"/>
          <w:marRight w:val="0"/>
          <w:marTop w:val="0"/>
          <w:marBottom w:val="0"/>
          <w:divBdr>
            <w:top w:val="none" w:sz="0" w:space="0" w:color="auto"/>
            <w:left w:val="none" w:sz="0" w:space="0" w:color="auto"/>
            <w:bottom w:val="none" w:sz="0" w:space="0" w:color="auto"/>
            <w:right w:val="none" w:sz="0" w:space="0" w:color="auto"/>
          </w:divBdr>
        </w:div>
        <w:div w:id="1385519144">
          <w:marLeft w:val="547"/>
          <w:marRight w:val="0"/>
          <w:marTop w:val="0"/>
          <w:marBottom w:val="0"/>
          <w:divBdr>
            <w:top w:val="none" w:sz="0" w:space="0" w:color="auto"/>
            <w:left w:val="none" w:sz="0" w:space="0" w:color="auto"/>
            <w:bottom w:val="none" w:sz="0" w:space="0" w:color="auto"/>
            <w:right w:val="none" w:sz="0" w:space="0" w:color="auto"/>
          </w:divBdr>
        </w:div>
      </w:divsChild>
    </w:div>
    <w:div w:id="1011949561">
      <w:bodyDiv w:val="1"/>
      <w:marLeft w:val="0"/>
      <w:marRight w:val="0"/>
      <w:marTop w:val="0"/>
      <w:marBottom w:val="0"/>
      <w:divBdr>
        <w:top w:val="none" w:sz="0" w:space="0" w:color="auto"/>
        <w:left w:val="none" w:sz="0" w:space="0" w:color="auto"/>
        <w:bottom w:val="none" w:sz="0" w:space="0" w:color="auto"/>
        <w:right w:val="none" w:sz="0" w:space="0" w:color="auto"/>
      </w:divBdr>
    </w:div>
    <w:div w:id="1045981615">
      <w:bodyDiv w:val="1"/>
      <w:marLeft w:val="0"/>
      <w:marRight w:val="0"/>
      <w:marTop w:val="0"/>
      <w:marBottom w:val="0"/>
      <w:divBdr>
        <w:top w:val="none" w:sz="0" w:space="0" w:color="auto"/>
        <w:left w:val="none" w:sz="0" w:space="0" w:color="auto"/>
        <w:bottom w:val="none" w:sz="0" w:space="0" w:color="auto"/>
        <w:right w:val="none" w:sz="0" w:space="0" w:color="auto"/>
      </w:divBdr>
    </w:div>
    <w:div w:id="1182553630">
      <w:bodyDiv w:val="1"/>
      <w:marLeft w:val="0"/>
      <w:marRight w:val="0"/>
      <w:marTop w:val="0"/>
      <w:marBottom w:val="0"/>
      <w:divBdr>
        <w:top w:val="none" w:sz="0" w:space="0" w:color="auto"/>
        <w:left w:val="none" w:sz="0" w:space="0" w:color="auto"/>
        <w:bottom w:val="none" w:sz="0" w:space="0" w:color="auto"/>
        <w:right w:val="none" w:sz="0" w:space="0" w:color="auto"/>
      </w:divBdr>
      <w:divsChild>
        <w:div w:id="1497694637">
          <w:marLeft w:val="547"/>
          <w:marRight w:val="0"/>
          <w:marTop w:val="0"/>
          <w:marBottom w:val="0"/>
          <w:divBdr>
            <w:top w:val="none" w:sz="0" w:space="0" w:color="auto"/>
            <w:left w:val="none" w:sz="0" w:space="0" w:color="auto"/>
            <w:bottom w:val="none" w:sz="0" w:space="0" w:color="auto"/>
            <w:right w:val="none" w:sz="0" w:space="0" w:color="auto"/>
          </w:divBdr>
        </w:div>
      </w:divsChild>
    </w:div>
    <w:div w:id="1280255752">
      <w:bodyDiv w:val="1"/>
      <w:marLeft w:val="0"/>
      <w:marRight w:val="0"/>
      <w:marTop w:val="0"/>
      <w:marBottom w:val="0"/>
      <w:divBdr>
        <w:top w:val="none" w:sz="0" w:space="0" w:color="auto"/>
        <w:left w:val="none" w:sz="0" w:space="0" w:color="auto"/>
        <w:bottom w:val="none" w:sz="0" w:space="0" w:color="auto"/>
        <w:right w:val="none" w:sz="0" w:space="0" w:color="auto"/>
      </w:divBdr>
      <w:divsChild>
        <w:div w:id="1378361633">
          <w:marLeft w:val="0"/>
          <w:marRight w:val="0"/>
          <w:marTop w:val="0"/>
          <w:marBottom w:val="0"/>
          <w:divBdr>
            <w:top w:val="none" w:sz="0" w:space="0" w:color="auto"/>
            <w:left w:val="none" w:sz="0" w:space="0" w:color="auto"/>
            <w:bottom w:val="none" w:sz="0" w:space="0" w:color="auto"/>
            <w:right w:val="none" w:sz="0" w:space="0" w:color="auto"/>
          </w:divBdr>
        </w:div>
        <w:div w:id="274212458">
          <w:marLeft w:val="0"/>
          <w:marRight w:val="0"/>
          <w:marTop w:val="0"/>
          <w:marBottom w:val="0"/>
          <w:divBdr>
            <w:top w:val="none" w:sz="0" w:space="0" w:color="auto"/>
            <w:left w:val="none" w:sz="0" w:space="0" w:color="auto"/>
            <w:bottom w:val="none" w:sz="0" w:space="0" w:color="auto"/>
            <w:right w:val="none" w:sz="0" w:space="0" w:color="auto"/>
          </w:divBdr>
        </w:div>
        <w:div w:id="1086652925">
          <w:marLeft w:val="0"/>
          <w:marRight w:val="0"/>
          <w:marTop w:val="0"/>
          <w:marBottom w:val="0"/>
          <w:divBdr>
            <w:top w:val="none" w:sz="0" w:space="0" w:color="auto"/>
            <w:left w:val="none" w:sz="0" w:space="0" w:color="auto"/>
            <w:bottom w:val="none" w:sz="0" w:space="0" w:color="auto"/>
            <w:right w:val="none" w:sz="0" w:space="0" w:color="auto"/>
          </w:divBdr>
        </w:div>
      </w:divsChild>
    </w:div>
    <w:div w:id="1783568599">
      <w:bodyDiv w:val="1"/>
      <w:marLeft w:val="0"/>
      <w:marRight w:val="0"/>
      <w:marTop w:val="0"/>
      <w:marBottom w:val="0"/>
      <w:divBdr>
        <w:top w:val="none" w:sz="0" w:space="0" w:color="auto"/>
        <w:left w:val="none" w:sz="0" w:space="0" w:color="auto"/>
        <w:bottom w:val="none" w:sz="0" w:space="0" w:color="auto"/>
        <w:right w:val="none" w:sz="0" w:space="0" w:color="auto"/>
      </w:divBdr>
      <w:divsChild>
        <w:div w:id="904221504">
          <w:marLeft w:val="547"/>
          <w:marRight w:val="0"/>
          <w:marTop w:val="0"/>
          <w:marBottom w:val="0"/>
          <w:divBdr>
            <w:top w:val="none" w:sz="0" w:space="0" w:color="auto"/>
            <w:left w:val="none" w:sz="0" w:space="0" w:color="auto"/>
            <w:bottom w:val="none" w:sz="0" w:space="0" w:color="auto"/>
            <w:right w:val="none" w:sz="0" w:space="0" w:color="auto"/>
          </w:divBdr>
        </w:div>
        <w:div w:id="1300653355">
          <w:marLeft w:val="547"/>
          <w:marRight w:val="0"/>
          <w:marTop w:val="0"/>
          <w:marBottom w:val="0"/>
          <w:divBdr>
            <w:top w:val="none" w:sz="0" w:space="0" w:color="auto"/>
            <w:left w:val="none" w:sz="0" w:space="0" w:color="auto"/>
            <w:bottom w:val="none" w:sz="0" w:space="0" w:color="auto"/>
            <w:right w:val="none" w:sz="0" w:space="0" w:color="auto"/>
          </w:divBdr>
        </w:div>
        <w:div w:id="7471955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customXml" Target="/customXML/item3.xml" Id="R7bee55cc7b4c46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A3876421</value>
    </field>
    <field name="Objective-Title">
      <value order="0">E.06 Board of NatureScot Meeting - 07 December 2022 - NPF4 - Key changes, issues and next steps</value>
    </field>
    <field name="Objective-Description">
      <value order="0"/>
    </field>
    <field name="Objective-CreationStamp">
      <value order="0">2022-12-01T12:00:50Z</value>
    </field>
    <field name="Objective-IsApproved">
      <value order="0">false</value>
    </field>
    <field name="Objective-IsPublished">
      <value order="0">true</value>
    </field>
    <field name="Objective-DatePublished">
      <value order="0">2022-12-01T12:00:51Z</value>
    </field>
    <field name="Objective-ModificationStamp">
      <value order="0">2022-12-01T12:00:52Z</value>
    </field>
    <field name="Objective-Owner">
      <value order="0">Mary-Anne Thomson</value>
    </field>
    <field name="Objective-Path">
      <value order="0">Objective Global Folder:NatureScot Fileplan:MAN - Management:EO - Executive Office:BD - Board:SNH Board - Meetings:Board of NatureScot Meetings - 2022:202 - Board of NatureScot - 07 December 2022</value>
    </field>
    <field name="Objective-Parent">
      <value order="0">202 - Board of NatureScot - 07 December 2022</value>
    </field>
    <field name="Objective-State">
      <value order="0">Published</value>
    </field>
    <field name="Objective-VersionId">
      <value order="0">vA6805080</value>
    </field>
    <field name="Objective-Version">
      <value order="0">1.0</value>
    </field>
    <field name="Objective-VersionNumber">
      <value order="0">1</value>
    </field>
    <field name="Objective-VersionComment">
      <value order="0"/>
    </field>
    <field name="Objective-FileNumber">
      <value order="0">qA175120</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93FB0BE-26EB-4E3E-9061-AD2C6CF1C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Rennie</dc:creator>
  <cp:lastModifiedBy>MaryAnne Thomson</cp:lastModifiedBy>
  <cp:revision>2</cp:revision>
  <dcterms:created xsi:type="dcterms:W3CDTF">2022-12-01T11:56:00Z</dcterms:created>
  <dcterms:modified xsi:type="dcterms:W3CDTF">2022-12-01T11:56:00Z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A3876421</vt:lpwstr>
  </property>
  <property fmtid="{D5CDD505-2E9C-101B-9397-08002B2CF9AE}" pid="4" name="Objective-Title">
    <vt:lpwstr>E.06 Board of NatureScot Meeting - 07 December 2022 - NPF4 - Key changes, issues and next steps</vt:lpwstr>
  </property>
  <property fmtid="{D5CDD505-2E9C-101B-9397-08002B2CF9AE}" pid="5" name="Objective-Comment">
    <vt:lpwstr/>
  </property>
  <property fmtid="{D5CDD505-2E9C-101B-9397-08002B2CF9AE}" pid="6" name="Objective-CreationStamp">
    <vt:filetime>2022-12-01T12:00:50Z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2022-12-01T12:00:51Z</vt:filetime>
  </property>
  <property fmtid="{D5CDD505-2E9C-101B-9397-08002B2CF9AE}" pid="10" name="Objective-ModificationStamp">
    <vt:filetime>2022-12-01T12:00:52Z</vt:filetime>
  </property>
  <property fmtid="{D5CDD505-2E9C-101B-9397-08002B2CF9AE}" pid="11" name="Objective-Owner">
    <vt:lpwstr>Mary-Anne Thomson</vt:lpwstr>
  </property>
  <property fmtid="{D5CDD505-2E9C-101B-9397-08002B2CF9AE}" pid="12" name="Objective-Path">
    <vt:lpwstr>Objective Global Folder:NatureScot Fileplan:MAN - Management:EO - Executive Office:BD - Board:SNH Board - Meetings:Board of NatureScot Meetings - 2022:202 - Board of NatureScot - 07 December 2022</vt:lpwstr>
  </property>
  <property fmtid="{D5CDD505-2E9C-101B-9397-08002B2CF9AE}" pid="13" name="Objective-Parent">
    <vt:lpwstr>202 - Board of NatureScot - 07 December 2022</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
  </property>
  <property fmtid="{D5CDD505-2E9C-101B-9397-08002B2CF9AE}" pid="18" name="Objective-FileNumber">
    <vt:lpwstr>qA175120</vt:lpwstr>
  </property>
  <property fmtid="{D5CDD505-2E9C-101B-9397-08002B2CF9AE}" pid="19" name="Objective-Classification">
    <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y fmtid="{D5CDD505-2E9C-101B-9397-08002B2CF9AE}" pid="33" name="Objective-Description">
    <vt:lpwstr/>
  </property>
  <property fmtid="{D5CDD505-2E9C-101B-9397-08002B2CF9AE}" pid="34" name="Objective-VersionId">
    <vt:lpwstr>vA6805080</vt:lpwstr>
  </property>
  <property fmtid="{D5CDD505-2E9C-101B-9397-08002B2CF9AE}" pid="35" name="Objective-EIR Exception">
    <vt:lpwstr>Release</vt:lpwstr>
  </property>
  <property fmtid="{D5CDD505-2E9C-101B-9397-08002B2CF9AE}" pid="36" name="Objective-FOI Exemption">
    <vt:lpwstr>Release</vt:lpwstr>
  </property>
  <property fmtid="{D5CDD505-2E9C-101B-9397-08002B2CF9AE}" pid="37" name="Objective-DPA Exemption">
    <vt:lpwstr>Release</vt:lpwstr>
  </property>
  <property fmtid="{D5CDD505-2E9C-101B-9397-08002B2CF9AE}" pid="38" name="Objective-Justification">
    <vt:lpwstr/>
  </property>
  <property fmtid="{D5CDD505-2E9C-101B-9397-08002B2CF9AE}" pid="39" name="Objective-Date of Original">
    <vt:lpwstr/>
  </property>
  <property fmtid="{D5CDD505-2E9C-101B-9397-08002B2CF9AE}" pid="40" name="Objective-Sensitivity Review Date">
    <vt:lpwstr/>
  </property>
  <property fmtid="{D5CDD505-2E9C-101B-9397-08002B2CF9AE}" pid="41" name="Objective-FOI/EIR Disclosure Date">
    <vt:lpwstr/>
  </property>
  <property fmtid="{D5CDD505-2E9C-101B-9397-08002B2CF9AE}" pid="42" name="Objective-Date of Release">
    <vt:lpwstr/>
  </property>
  <property fmtid="{D5CDD505-2E9C-101B-9397-08002B2CF9AE}" pid="43" name="Objective-FOI Release Details">
    <vt:lpwstr/>
  </property>
  <property fmtid="{D5CDD505-2E9C-101B-9397-08002B2CF9AE}" pid="44" name="Objective-FOI/EIR Dissemination Date">
    <vt:lpwstr/>
  </property>
  <property fmtid="{D5CDD505-2E9C-101B-9397-08002B2CF9AE}" pid="45" name="Objective-Connect Creator">
    <vt:lpwstr/>
  </property>
  <property fmtid="{D5CDD505-2E9C-101B-9397-08002B2CF9AE}" pid="46" name="Objective-Date of Request">
    <vt:lpwstr/>
  </property>
</Properties>
</file>