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2E2A8" w14:textId="45FDBAE8" w:rsidR="00E80101" w:rsidRDefault="005D7258" w:rsidP="00BA3EED">
      <w:pPr>
        <w:rPr>
          <w:rFonts w:ascii="Calibri" w:hAnsi="Calibri" w:cs="Calibri"/>
          <w:sz w:val="24"/>
          <w:szCs w:val="24"/>
        </w:rPr>
      </w:pPr>
      <w:r>
        <w:rPr>
          <w:rFonts w:ascii="Calibri" w:hAnsi="Calibri" w:cs="Calibri"/>
          <w:sz w:val="24"/>
          <w:szCs w:val="24"/>
        </w:rPr>
        <w:t xml:space="preserve"> </w:t>
      </w:r>
      <w:r w:rsidR="00CA3DD7">
        <w:rPr>
          <w:noProof/>
          <w:lang w:eastAsia="en-GB"/>
        </w:rPr>
        <w:drawing>
          <wp:inline distT="0" distB="0" distL="0" distR="0" wp14:anchorId="31F82DE0" wp14:editId="7E364077">
            <wp:extent cx="2266950" cy="1390164"/>
            <wp:effectExtent l="0" t="0" r="0" b="635"/>
            <wp:docPr id="1" name="Picture 1" descr="https://www.nature.scot/sites/default/files/2022-08/NatureScot%20dual%20language%2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ure.scot/sites/default/files/2022-08/NatureScot%20dual%20language%20cmyk.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101" b="16513"/>
                    <a:stretch/>
                  </pic:blipFill>
                  <pic:spPr bwMode="auto">
                    <a:xfrm>
                      <a:off x="0" y="0"/>
                      <a:ext cx="2274552" cy="1394825"/>
                    </a:xfrm>
                    <a:prstGeom prst="rect">
                      <a:avLst/>
                    </a:prstGeom>
                    <a:noFill/>
                    <a:ln>
                      <a:noFill/>
                    </a:ln>
                    <a:extLst>
                      <a:ext uri="{53640926-AAD7-44D8-BBD7-CCE9431645EC}">
                        <a14:shadowObscured xmlns:a14="http://schemas.microsoft.com/office/drawing/2010/main"/>
                      </a:ext>
                    </a:extLst>
                  </pic:spPr>
                </pic:pic>
              </a:graphicData>
            </a:graphic>
          </wp:inline>
        </w:drawing>
      </w:r>
    </w:p>
    <w:p w14:paraId="1F6E0406" w14:textId="77777777" w:rsidR="00670ABC" w:rsidRPr="00B6615A" w:rsidRDefault="00670ABC" w:rsidP="00BA3EED">
      <w:pPr>
        <w:rPr>
          <w:rFonts w:ascii="Calibri" w:hAnsi="Calibri" w:cs="Calibri"/>
          <w:sz w:val="24"/>
          <w:szCs w:val="24"/>
        </w:rPr>
      </w:pPr>
    </w:p>
    <w:p w14:paraId="5A9D2E79" w14:textId="16CA2187" w:rsidR="00E80101" w:rsidRPr="00B41BBB" w:rsidRDefault="00CC7C36" w:rsidP="00670ABC">
      <w:pPr>
        <w:pStyle w:val="Heading1"/>
        <w:rPr>
          <w:rFonts w:ascii="Calibri" w:eastAsia="Times New Roman" w:hAnsi="Calibri" w:cs="Calibri"/>
          <w:sz w:val="24"/>
          <w:szCs w:val="24"/>
        </w:rPr>
      </w:pPr>
      <w:r>
        <w:rPr>
          <w:rFonts w:ascii="Calibri" w:eastAsia="Times New Roman" w:hAnsi="Calibri" w:cs="Calibri"/>
          <w:sz w:val="24"/>
          <w:szCs w:val="24"/>
        </w:rPr>
        <w:t>Title:  BOARD</w:t>
      </w:r>
      <w:r w:rsidR="00E80101" w:rsidRPr="00B41BBB">
        <w:rPr>
          <w:rFonts w:ascii="Calibri" w:eastAsia="Times New Roman" w:hAnsi="Calibri" w:cs="Calibri"/>
          <w:sz w:val="24"/>
          <w:szCs w:val="24"/>
        </w:rPr>
        <w:t xml:space="preserve"> Q</w:t>
      </w:r>
      <w:r w:rsidR="00714EB0">
        <w:rPr>
          <w:rFonts w:ascii="Calibri" w:eastAsia="Times New Roman" w:hAnsi="Calibri" w:cs="Calibri"/>
          <w:sz w:val="24"/>
          <w:szCs w:val="24"/>
        </w:rPr>
        <w:t>2</w:t>
      </w:r>
      <w:r w:rsidR="00E80101" w:rsidRPr="00B41BBB">
        <w:rPr>
          <w:rFonts w:ascii="Calibri" w:eastAsia="Times New Roman" w:hAnsi="Calibri" w:cs="Calibri"/>
          <w:sz w:val="24"/>
          <w:szCs w:val="24"/>
        </w:rPr>
        <w:t xml:space="preserve"> Performance Report</w:t>
      </w:r>
      <w:r w:rsidR="00E80101" w:rsidRPr="00B41BBB">
        <w:rPr>
          <w:rFonts w:ascii="Calibri" w:eastAsia="Times New Roman" w:hAnsi="Calibri" w:cs="Calibri"/>
          <w:sz w:val="24"/>
          <w:szCs w:val="24"/>
        </w:rPr>
        <w:tab/>
      </w:r>
    </w:p>
    <w:p w14:paraId="5B0CBF0F" w14:textId="34432307" w:rsidR="00E80101" w:rsidRPr="00B41BBB" w:rsidRDefault="00E80101" w:rsidP="00670ABC">
      <w:pPr>
        <w:pStyle w:val="Heading2"/>
        <w:rPr>
          <w:rFonts w:ascii="Calibri" w:eastAsia="Times New Roman" w:hAnsi="Calibri" w:cs="Calibri"/>
          <w:color w:val="FF0000"/>
          <w:sz w:val="24"/>
          <w:szCs w:val="24"/>
        </w:rPr>
      </w:pPr>
      <w:r w:rsidRPr="00B41BBB">
        <w:rPr>
          <w:rFonts w:ascii="Calibri" w:eastAsia="Times New Roman" w:hAnsi="Calibri" w:cs="Calibri"/>
          <w:sz w:val="24"/>
          <w:szCs w:val="24"/>
        </w:rPr>
        <w:t xml:space="preserve">Date: </w:t>
      </w:r>
      <w:r w:rsidR="00C2207A">
        <w:rPr>
          <w:rFonts w:ascii="Calibri" w:eastAsia="Times New Roman" w:hAnsi="Calibri" w:cs="Calibri"/>
          <w:sz w:val="24"/>
          <w:szCs w:val="24"/>
        </w:rPr>
        <w:t>07 December</w:t>
      </w:r>
      <w:r w:rsidR="00B6075A" w:rsidRPr="00B41BBB">
        <w:rPr>
          <w:rFonts w:ascii="Calibri" w:eastAsia="Times New Roman" w:hAnsi="Calibri" w:cs="Calibri"/>
          <w:sz w:val="24"/>
          <w:szCs w:val="24"/>
        </w:rPr>
        <w:t xml:space="preserve"> 2022</w:t>
      </w:r>
    </w:p>
    <w:tbl>
      <w:tblPr>
        <w:tblStyle w:val="TableGrid"/>
        <w:tblW w:w="9634" w:type="dxa"/>
        <w:tblLook w:val="04A0" w:firstRow="1" w:lastRow="0" w:firstColumn="1" w:lastColumn="0" w:noHBand="0" w:noVBand="1"/>
        <w:tblCaption w:val="Cover page "/>
        <w:tblDescription w:val="Summary of information provided in the subsequent pages of the paper"/>
      </w:tblPr>
      <w:tblGrid>
        <w:gridCol w:w="2547"/>
        <w:gridCol w:w="7087"/>
      </w:tblGrid>
      <w:tr w:rsidR="00670ABC" w:rsidRPr="00B41BBB" w14:paraId="6B3B8879" w14:textId="77777777" w:rsidTr="0042261E">
        <w:trPr>
          <w:tblHeader/>
        </w:trPr>
        <w:tc>
          <w:tcPr>
            <w:tcW w:w="2547" w:type="dxa"/>
          </w:tcPr>
          <w:p w14:paraId="130A79E5" w14:textId="77777777" w:rsidR="00670ABC" w:rsidRPr="00B41BBB" w:rsidRDefault="00670ABC" w:rsidP="000E0B5A">
            <w:pPr>
              <w:rPr>
                <w:sz w:val="24"/>
                <w:szCs w:val="24"/>
              </w:rPr>
            </w:pPr>
            <w:r w:rsidRPr="00B41BBB">
              <w:rPr>
                <w:rStyle w:val="Heading3Char"/>
                <w:rFonts w:ascii="Calibri" w:hAnsi="Calibri" w:cs="Calibri"/>
                <w:b/>
              </w:rPr>
              <w:t>Purpose:</w:t>
            </w:r>
          </w:p>
        </w:tc>
        <w:tc>
          <w:tcPr>
            <w:tcW w:w="7087" w:type="dxa"/>
          </w:tcPr>
          <w:p w14:paraId="13F2F8B2" w14:textId="77777777" w:rsidR="00670ABC" w:rsidRPr="00B41BBB" w:rsidRDefault="00670ABC" w:rsidP="000E0B5A">
            <w:pPr>
              <w:contextualSpacing/>
              <w:rPr>
                <w:rFonts w:ascii="Calibri" w:eastAsia="Arial" w:hAnsi="Calibri" w:cs="Times New Roman"/>
                <w:sz w:val="24"/>
                <w:szCs w:val="24"/>
              </w:rPr>
            </w:pPr>
            <w:r w:rsidRPr="00B41BBB">
              <w:rPr>
                <w:rFonts w:ascii="Calibri" w:eastAsia="Arial" w:hAnsi="Calibri" w:cs="Calibri"/>
                <w:sz w:val="24"/>
                <w:szCs w:val="24"/>
              </w:rPr>
              <w:t>Decision</w:t>
            </w:r>
          </w:p>
        </w:tc>
      </w:tr>
      <w:tr w:rsidR="00670ABC" w:rsidRPr="00B41BBB" w14:paraId="68DB0081" w14:textId="77777777" w:rsidTr="008E70BD">
        <w:tc>
          <w:tcPr>
            <w:tcW w:w="2547" w:type="dxa"/>
          </w:tcPr>
          <w:p w14:paraId="65EF728E" w14:textId="77777777" w:rsidR="00670ABC" w:rsidRPr="00B41BBB" w:rsidRDefault="00670ABC" w:rsidP="000E0B5A">
            <w:pPr>
              <w:rPr>
                <w:rFonts w:ascii="Calibri" w:eastAsia="Arial" w:hAnsi="Calibri" w:cs="Times New Roman"/>
                <w:sz w:val="24"/>
                <w:szCs w:val="24"/>
              </w:rPr>
            </w:pPr>
            <w:r w:rsidRPr="00B41BBB">
              <w:rPr>
                <w:rFonts w:ascii="Calibri" w:eastAsia="Arial" w:hAnsi="Calibri" w:cs="Times New Roman"/>
                <w:b/>
                <w:sz w:val="24"/>
                <w:szCs w:val="24"/>
              </w:rPr>
              <w:t>How does this link with our corporate priorities of improving biodiversity or delivering nature-based solutions to climate change:</w:t>
            </w:r>
          </w:p>
        </w:tc>
        <w:tc>
          <w:tcPr>
            <w:tcW w:w="7087" w:type="dxa"/>
          </w:tcPr>
          <w:p w14:paraId="2E0AA14E" w14:textId="77777777" w:rsidR="00670ABC" w:rsidRPr="00B41BBB" w:rsidRDefault="00FB43AB" w:rsidP="006001B3">
            <w:pPr>
              <w:contextualSpacing/>
              <w:rPr>
                <w:rFonts w:ascii="Calibri" w:eastAsia="Arial" w:hAnsi="Calibri" w:cs="Times New Roman"/>
                <w:i/>
                <w:color w:val="FF0000"/>
                <w:sz w:val="24"/>
                <w:szCs w:val="24"/>
              </w:rPr>
            </w:pPr>
            <w:r w:rsidRPr="00B41BBB">
              <w:rPr>
                <w:rFonts w:ascii="Calibri" w:eastAsia="Arial" w:hAnsi="Calibri" w:cs="Calibri"/>
                <w:color w:val="000000" w:themeColor="text1"/>
                <w:sz w:val="24"/>
                <w:szCs w:val="24"/>
              </w:rPr>
              <w:t xml:space="preserve">This paper presents </w:t>
            </w:r>
            <w:r w:rsidR="00D52779">
              <w:rPr>
                <w:rFonts w:ascii="Calibri" w:eastAsia="Arial" w:hAnsi="Calibri" w:cs="Calibri"/>
                <w:color w:val="000000" w:themeColor="text1"/>
                <w:sz w:val="24"/>
                <w:szCs w:val="24"/>
              </w:rPr>
              <w:t>Q2</w:t>
            </w:r>
            <w:r w:rsidR="008E1C66" w:rsidRPr="00B41BBB">
              <w:rPr>
                <w:rFonts w:ascii="Calibri" w:eastAsia="Arial" w:hAnsi="Calibri" w:cs="Calibri"/>
                <w:color w:val="000000" w:themeColor="text1"/>
                <w:sz w:val="24"/>
                <w:szCs w:val="24"/>
              </w:rPr>
              <w:t xml:space="preserve"> </w:t>
            </w:r>
            <w:r w:rsidRPr="00B41BBB">
              <w:rPr>
                <w:rFonts w:ascii="Calibri" w:eastAsia="Arial" w:hAnsi="Calibri" w:cs="Calibri"/>
                <w:color w:val="000000" w:themeColor="text1"/>
                <w:sz w:val="24"/>
                <w:szCs w:val="24"/>
              </w:rPr>
              <w:t>progress towards</w:t>
            </w:r>
            <w:r w:rsidR="00670ABC" w:rsidRPr="00B41BBB">
              <w:rPr>
                <w:rFonts w:ascii="Calibri" w:eastAsia="Arial" w:hAnsi="Calibri" w:cs="Calibri"/>
                <w:color w:val="000000" w:themeColor="text1"/>
                <w:sz w:val="24"/>
                <w:szCs w:val="24"/>
              </w:rPr>
              <w:t xml:space="preserve"> delivery of our corporate priorities </w:t>
            </w:r>
            <w:r w:rsidRPr="00B41BBB">
              <w:rPr>
                <w:rFonts w:ascii="Calibri" w:eastAsia="Arial" w:hAnsi="Calibri" w:cs="Calibri"/>
                <w:color w:val="000000" w:themeColor="text1"/>
                <w:sz w:val="24"/>
                <w:szCs w:val="24"/>
              </w:rPr>
              <w:t>as laid out in our</w:t>
            </w:r>
            <w:r w:rsidR="00670ABC" w:rsidRPr="00B41BBB">
              <w:rPr>
                <w:rFonts w:ascii="Calibri" w:eastAsia="Arial" w:hAnsi="Calibri" w:cs="Calibri"/>
                <w:color w:val="000000" w:themeColor="text1"/>
                <w:sz w:val="24"/>
                <w:szCs w:val="24"/>
              </w:rPr>
              <w:t xml:space="preserve"> Business Plan, </w:t>
            </w:r>
            <w:r w:rsidR="006001B3" w:rsidRPr="00B41BBB">
              <w:rPr>
                <w:rFonts w:ascii="Calibri" w:eastAsia="Arial" w:hAnsi="Calibri" w:cs="Calibri"/>
                <w:color w:val="000000" w:themeColor="text1"/>
                <w:sz w:val="24"/>
                <w:szCs w:val="24"/>
              </w:rPr>
              <w:t>A Nature-rich future for all: Year 1</w:t>
            </w:r>
            <w:r w:rsidR="00FE4730">
              <w:rPr>
                <w:rFonts w:ascii="Calibri" w:eastAsia="Arial" w:hAnsi="Calibri" w:cs="Calibri"/>
                <w:color w:val="000000" w:themeColor="text1"/>
                <w:sz w:val="24"/>
                <w:szCs w:val="24"/>
              </w:rPr>
              <w:t>.</w:t>
            </w:r>
          </w:p>
        </w:tc>
      </w:tr>
      <w:tr w:rsidR="00670ABC" w:rsidRPr="00B41BBB" w14:paraId="609EA56E" w14:textId="77777777" w:rsidTr="008E70BD">
        <w:tc>
          <w:tcPr>
            <w:tcW w:w="2547" w:type="dxa"/>
          </w:tcPr>
          <w:p w14:paraId="34AF4688" w14:textId="77777777" w:rsidR="00670ABC" w:rsidRPr="00B41BBB" w:rsidRDefault="00670ABC" w:rsidP="000E0B5A">
            <w:pPr>
              <w:rPr>
                <w:rFonts w:ascii="Calibri" w:eastAsia="Arial" w:hAnsi="Calibri" w:cs="Times New Roman"/>
                <w:sz w:val="24"/>
                <w:szCs w:val="24"/>
              </w:rPr>
            </w:pPr>
            <w:r w:rsidRPr="00B41BBB">
              <w:rPr>
                <w:rFonts w:ascii="Calibri" w:eastAsia="Arial" w:hAnsi="Calibri" w:cs="Times New Roman"/>
                <w:b/>
                <w:sz w:val="24"/>
                <w:szCs w:val="24"/>
              </w:rPr>
              <w:t>Summary:</w:t>
            </w:r>
          </w:p>
        </w:tc>
        <w:tc>
          <w:tcPr>
            <w:tcW w:w="7087" w:type="dxa"/>
          </w:tcPr>
          <w:p w14:paraId="433197F0" w14:textId="14E6ECBF" w:rsidR="00670ABC" w:rsidRPr="00B41BBB" w:rsidRDefault="00D52779" w:rsidP="0042261E">
            <w:pPr>
              <w:contextualSpacing/>
              <w:rPr>
                <w:rFonts w:ascii="Calibri" w:eastAsia="Arial" w:hAnsi="Calibri" w:cs="Times New Roman"/>
                <w:i/>
                <w:color w:val="FF0000"/>
                <w:sz w:val="24"/>
                <w:szCs w:val="24"/>
              </w:rPr>
            </w:pPr>
            <w:r>
              <w:rPr>
                <w:rFonts w:ascii="Calibri" w:eastAsia="Arial" w:hAnsi="Calibri" w:cs="Calibri"/>
                <w:sz w:val="24"/>
                <w:szCs w:val="24"/>
              </w:rPr>
              <w:t>At the end of Q2</w:t>
            </w:r>
            <w:r w:rsidR="006E0DDA" w:rsidRPr="00B41BBB">
              <w:rPr>
                <w:rFonts w:ascii="Calibri" w:eastAsia="Arial" w:hAnsi="Calibri" w:cs="Calibri"/>
                <w:sz w:val="24"/>
                <w:szCs w:val="24"/>
              </w:rPr>
              <w:t>, p</w:t>
            </w:r>
            <w:r w:rsidR="00670ABC" w:rsidRPr="00B41BBB">
              <w:rPr>
                <w:rFonts w:ascii="Calibri" w:eastAsia="Arial" w:hAnsi="Calibri" w:cs="Calibri"/>
                <w:sz w:val="24"/>
                <w:szCs w:val="24"/>
              </w:rPr>
              <w:t xml:space="preserve">erformance for </w:t>
            </w:r>
            <w:r w:rsidR="0081514E" w:rsidRPr="00FE4730">
              <w:rPr>
                <w:rFonts w:ascii="Calibri" w:eastAsia="Arial" w:hAnsi="Calibri" w:cs="Calibri"/>
                <w:sz w:val="24"/>
                <w:szCs w:val="24"/>
              </w:rPr>
              <w:t>1</w:t>
            </w:r>
            <w:r w:rsidR="00123F33">
              <w:rPr>
                <w:rFonts w:ascii="Calibri" w:eastAsia="Arial" w:hAnsi="Calibri" w:cs="Calibri"/>
                <w:sz w:val="24"/>
                <w:szCs w:val="24"/>
              </w:rPr>
              <w:t>4</w:t>
            </w:r>
            <w:r w:rsidR="00670ABC" w:rsidRPr="00FE4730">
              <w:rPr>
                <w:rFonts w:ascii="Calibri" w:eastAsia="Arial" w:hAnsi="Calibri" w:cs="Calibri"/>
                <w:sz w:val="24"/>
                <w:szCs w:val="24"/>
              </w:rPr>
              <w:t xml:space="preserve"> of our </w:t>
            </w:r>
            <w:r w:rsidR="00B6075A" w:rsidRPr="00FE4730">
              <w:rPr>
                <w:rFonts w:ascii="Calibri" w:eastAsia="Arial" w:hAnsi="Calibri" w:cs="Calibri"/>
                <w:sz w:val="24"/>
                <w:szCs w:val="24"/>
              </w:rPr>
              <w:t xml:space="preserve">15 Corporate plan objectives are </w:t>
            </w:r>
            <w:r w:rsidR="00670ABC" w:rsidRPr="00FE4730">
              <w:rPr>
                <w:rFonts w:ascii="Calibri" w:eastAsia="Arial" w:hAnsi="Calibri" w:cs="Calibri"/>
                <w:sz w:val="24"/>
                <w:szCs w:val="24"/>
              </w:rPr>
              <w:t>ra</w:t>
            </w:r>
            <w:r w:rsidR="000635BA" w:rsidRPr="00FE4730">
              <w:rPr>
                <w:rFonts w:ascii="Calibri" w:eastAsia="Arial" w:hAnsi="Calibri" w:cs="Calibri"/>
                <w:sz w:val="24"/>
                <w:szCs w:val="24"/>
              </w:rPr>
              <w:t>ted as ‘on track’</w:t>
            </w:r>
            <w:r w:rsidR="00CC7C36">
              <w:rPr>
                <w:rFonts w:ascii="Calibri" w:eastAsia="Arial" w:hAnsi="Calibri" w:cs="Calibri"/>
                <w:sz w:val="24"/>
                <w:szCs w:val="24"/>
              </w:rPr>
              <w:t xml:space="preserve">. </w:t>
            </w:r>
            <w:r w:rsidR="00670ABC" w:rsidRPr="00FE4730">
              <w:rPr>
                <w:rFonts w:ascii="Calibri" w:eastAsia="Arial" w:hAnsi="Calibri" w:cs="Calibri"/>
                <w:sz w:val="24"/>
                <w:szCs w:val="24"/>
              </w:rPr>
              <w:t xml:space="preserve"> </w:t>
            </w:r>
            <w:r w:rsidR="00FE4730" w:rsidRPr="00FE4730">
              <w:rPr>
                <w:rFonts w:ascii="Calibri" w:eastAsia="Arial" w:hAnsi="Calibri" w:cs="Calibri"/>
                <w:color w:val="000000" w:themeColor="text1"/>
                <w:sz w:val="24"/>
                <w:szCs w:val="24"/>
              </w:rPr>
              <w:t>1</w:t>
            </w:r>
            <w:r w:rsidR="00F375D8" w:rsidRPr="00FE4730">
              <w:rPr>
                <w:rFonts w:ascii="Calibri" w:eastAsia="Arial" w:hAnsi="Calibri" w:cs="Calibri"/>
                <w:color w:val="000000" w:themeColor="text1"/>
                <w:sz w:val="24"/>
                <w:szCs w:val="24"/>
              </w:rPr>
              <w:t xml:space="preserve"> </w:t>
            </w:r>
            <w:r w:rsidR="00670ABC" w:rsidRPr="00FE4730">
              <w:rPr>
                <w:rFonts w:ascii="Calibri" w:eastAsia="Arial" w:hAnsi="Calibri" w:cs="Calibri"/>
                <w:color w:val="000000" w:themeColor="text1"/>
                <w:sz w:val="24"/>
                <w:szCs w:val="24"/>
              </w:rPr>
              <w:t>corporate risk</w:t>
            </w:r>
            <w:r w:rsidR="00FE4730" w:rsidRPr="00FE4730">
              <w:rPr>
                <w:rFonts w:ascii="Calibri" w:eastAsia="Arial" w:hAnsi="Calibri" w:cs="Calibri"/>
                <w:color w:val="000000" w:themeColor="text1"/>
                <w:sz w:val="24"/>
                <w:szCs w:val="24"/>
              </w:rPr>
              <w:t xml:space="preserve"> has</w:t>
            </w:r>
            <w:r w:rsidR="00670ABC" w:rsidRPr="00FE4730">
              <w:rPr>
                <w:rFonts w:ascii="Calibri" w:eastAsia="Arial" w:hAnsi="Calibri" w:cs="Calibri"/>
                <w:color w:val="000000" w:themeColor="text1"/>
                <w:sz w:val="24"/>
                <w:szCs w:val="24"/>
              </w:rPr>
              <w:t xml:space="preserve"> </w:t>
            </w:r>
            <w:r w:rsidR="006C15E2" w:rsidRPr="00FE4730">
              <w:rPr>
                <w:rFonts w:ascii="Calibri" w:eastAsia="Arial" w:hAnsi="Calibri" w:cs="Calibri"/>
                <w:color w:val="000000" w:themeColor="text1"/>
                <w:sz w:val="24"/>
                <w:szCs w:val="24"/>
              </w:rPr>
              <w:t>increased their</w:t>
            </w:r>
            <w:r w:rsidR="00D66351" w:rsidRPr="00FE4730">
              <w:rPr>
                <w:rFonts w:ascii="Calibri" w:eastAsia="Arial" w:hAnsi="Calibri" w:cs="Calibri"/>
                <w:color w:val="000000" w:themeColor="text1"/>
                <w:sz w:val="24"/>
                <w:szCs w:val="24"/>
              </w:rPr>
              <w:t xml:space="preserve"> risk score</w:t>
            </w:r>
            <w:r w:rsidR="00FE4730" w:rsidRPr="00FE4730">
              <w:rPr>
                <w:rFonts w:ascii="Calibri" w:eastAsia="Arial" w:hAnsi="Calibri" w:cs="Calibri"/>
                <w:color w:val="000000" w:themeColor="text1"/>
                <w:sz w:val="24"/>
                <w:szCs w:val="24"/>
              </w:rPr>
              <w:t xml:space="preserve"> </w:t>
            </w:r>
            <w:r w:rsidR="00D66351" w:rsidRPr="00FE4730">
              <w:rPr>
                <w:rFonts w:ascii="Calibri" w:eastAsia="Arial" w:hAnsi="Calibri" w:cs="Calibri"/>
                <w:color w:val="000000" w:themeColor="text1"/>
                <w:sz w:val="24"/>
                <w:szCs w:val="24"/>
              </w:rPr>
              <w:t>in the last quarter</w:t>
            </w:r>
            <w:r w:rsidR="00670ABC" w:rsidRPr="00FE4730">
              <w:rPr>
                <w:rFonts w:ascii="Calibri" w:eastAsia="Arial" w:hAnsi="Calibri" w:cs="Calibri"/>
                <w:color w:val="000000" w:themeColor="text1"/>
                <w:sz w:val="24"/>
                <w:szCs w:val="24"/>
              </w:rPr>
              <w:t xml:space="preserve">. </w:t>
            </w:r>
            <w:r w:rsidR="007C3D2E" w:rsidRPr="00FD089F">
              <w:rPr>
                <w:rFonts w:ascii="Calibri" w:eastAsia="Arial" w:hAnsi="Calibri" w:cs="Calibri"/>
                <w:sz w:val="24"/>
                <w:szCs w:val="24"/>
              </w:rPr>
              <w:t xml:space="preserve">There </w:t>
            </w:r>
            <w:r w:rsidR="00714EB0" w:rsidRPr="00FD089F">
              <w:rPr>
                <w:rFonts w:ascii="Calibri" w:eastAsia="Arial" w:hAnsi="Calibri" w:cs="Calibri"/>
                <w:sz w:val="24"/>
                <w:szCs w:val="24"/>
              </w:rPr>
              <w:t xml:space="preserve">are </w:t>
            </w:r>
            <w:r w:rsidR="00FD089F" w:rsidRPr="00FD089F">
              <w:rPr>
                <w:rFonts w:ascii="Calibri" w:eastAsia="Arial" w:hAnsi="Calibri" w:cs="Calibri"/>
                <w:sz w:val="24"/>
                <w:szCs w:val="24"/>
              </w:rPr>
              <w:t>no</w:t>
            </w:r>
            <w:r w:rsidR="00FE4730" w:rsidRPr="00FD089F">
              <w:rPr>
                <w:rFonts w:ascii="Calibri" w:eastAsia="Arial" w:hAnsi="Calibri" w:cs="Calibri"/>
                <w:sz w:val="24"/>
                <w:szCs w:val="24"/>
              </w:rPr>
              <w:t xml:space="preserve"> </w:t>
            </w:r>
            <w:r w:rsidR="00714EB0" w:rsidRPr="00FD089F">
              <w:rPr>
                <w:rFonts w:ascii="Calibri" w:eastAsia="Arial" w:hAnsi="Calibri" w:cs="Calibri"/>
                <w:sz w:val="24"/>
                <w:szCs w:val="24"/>
              </w:rPr>
              <w:t xml:space="preserve">new corporate risks </w:t>
            </w:r>
            <w:r w:rsidR="00FE4730" w:rsidRPr="00FD089F">
              <w:rPr>
                <w:rFonts w:ascii="Calibri" w:eastAsia="Arial" w:hAnsi="Calibri" w:cs="Calibri"/>
                <w:sz w:val="24"/>
                <w:szCs w:val="24"/>
              </w:rPr>
              <w:t xml:space="preserve">for escalation </w:t>
            </w:r>
            <w:r w:rsidR="0042261E">
              <w:rPr>
                <w:rFonts w:ascii="Calibri" w:eastAsia="Arial" w:hAnsi="Calibri" w:cs="Calibri"/>
                <w:sz w:val="24"/>
                <w:szCs w:val="24"/>
              </w:rPr>
              <w:t>or</w:t>
            </w:r>
            <w:r w:rsidR="00714EB0" w:rsidRPr="00FD089F">
              <w:rPr>
                <w:rFonts w:ascii="Calibri" w:eastAsia="Arial" w:hAnsi="Calibri" w:cs="Calibri"/>
                <w:sz w:val="24"/>
                <w:szCs w:val="24"/>
              </w:rPr>
              <w:t xml:space="preserve"> de-escalation.</w:t>
            </w:r>
            <w:r w:rsidR="007C3D2E" w:rsidRPr="00FD089F">
              <w:rPr>
                <w:rFonts w:ascii="Calibri" w:eastAsia="Arial" w:hAnsi="Calibri" w:cs="Calibri"/>
                <w:sz w:val="24"/>
                <w:szCs w:val="24"/>
              </w:rPr>
              <w:t xml:space="preserve"> </w:t>
            </w:r>
            <w:r w:rsidR="00E147E3" w:rsidRPr="00E147E3">
              <w:rPr>
                <w:rFonts w:ascii="Calibri" w:eastAsia="Arial" w:hAnsi="Calibri" w:cs="Calibri"/>
                <w:sz w:val="24"/>
                <w:szCs w:val="24"/>
              </w:rPr>
              <w:t xml:space="preserve">Our Resource and Capital budgets are </w:t>
            </w:r>
            <w:r w:rsidR="00E411C4">
              <w:rPr>
                <w:rFonts w:ascii="Calibri" w:eastAsia="Arial" w:hAnsi="Calibri" w:cs="Calibri"/>
                <w:sz w:val="24"/>
                <w:szCs w:val="24"/>
              </w:rPr>
              <w:t xml:space="preserve">currently </w:t>
            </w:r>
            <w:r w:rsidR="00E147E3" w:rsidRPr="00E147E3">
              <w:rPr>
                <w:rFonts w:ascii="Calibri" w:eastAsia="Arial" w:hAnsi="Calibri" w:cs="Calibri"/>
                <w:sz w:val="24"/>
                <w:szCs w:val="24"/>
              </w:rPr>
              <w:t>expected to outturn within tolerance</w:t>
            </w:r>
            <w:r w:rsidR="00E411C4" w:rsidRPr="00E147E3">
              <w:rPr>
                <w:rFonts w:ascii="Calibri" w:eastAsia="Arial" w:hAnsi="Calibri" w:cs="Calibri"/>
                <w:sz w:val="24"/>
                <w:szCs w:val="24"/>
              </w:rPr>
              <w:t xml:space="preserve"> at year end</w:t>
            </w:r>
            <w:r w:rsidR="00F44A4A">
              <w:rPr>
                <w:rFonts w:ascii="Calibri" w:eastAsia="Arial" w:hAnsi="Calibri" w:cs="Calibri"/>
                <w:sz w:val="24"/>
                <w:szCs w:val="24"/>
              </w:rPr>
              <w:t xml:space="preserve"> although this could be affected by unresolved areas including paybill, inflationary increases and the retention of </w:t>
            </w:r>
            <w:proofErr w:type="spellStart"/>
            <w:r w:rsidR="00F44A4A">
              <w:rPr>
                <w:rFonts w:ascii="Calibri" w:eastAsia="Arial" w:hAnsi="Calibri" w:cs="Calibri"/>
                <w:sz w:val="24"/>
                <w:szCs w:val="24"/>
              </w:rPr>
              <w:t>Glencripesdale</w:t>
            </w:r>
            <w:proofErr w:type="spellEnd"/>
            <w:r w:rsidR="00F44A4A">
              <w:rPr>
                <w:rFonts w:ascii="Calibri" w:eastAsia="Arial" w:hAnsi="Calibri" w:cs="Calibri"/>
                <w:sz w:val="24"/>
                <w:szCs w:val="24"/>
              </w:rPr>
              <w:t xml:space="preserve"> capital proceeds</w:t>
            </w:r>
            <w:r w:rsidR="00E147E3" w:rsidRPr="00E147E3">
              <w:rPr>
                <w:rFonts w:ascii="Calibri" w:eastAsia="Arial" w:hAnsi="Calibri" w:cs="Calibri"/>
                <w:sz w:val="24"/>
                <w:szCs w:val="24"/>
              </w:rPr>
              <w:t>.</w:t>
            </w:r>
            <w:r w:rsidR="00F44A4A">
              <w:rPr>
                <w:rFonts w:ascii="Calibri" w:eastAsia="Arial" w:hAnsi="Calibri" w:cs="Calibri"/>
                <w:sz w:val="24"/>
                <w:szCs w:val="24"/>
              </w:rPr>
              <w:t xml:space="preserve"> </w:t>
            </w:r>
            <w:r w:rsidR="00E147E3" w:rsidRPr="00E147E3">
              <w:rPr>
                <w:rFonts w:ascii="Calibri" w:eastAsia="Arial" w:hAnsi="Calibri" w:cs="Calibri"/>
                <w:sz w:val="24"/>
                <w:szCs w:val="24"/>
              </w:rPr>
              <w:t xml:space="preserve"> The Peatlands fo</w:t>
            </w:r>
            <w:r w:rsidR="00F44A4A">
              <w:rPr>
                <w:rFonts w:ascii="Calibri" w:eastAsia="Arial" w:hAnsi="Calibri" w:cs="Calibri"/>
                <w:sz w:val="24"/>
                <w:szCs w:val="24"/>
              </w:rPr>
              <w:t>r</w:t>
            </w:r>
            <w:r w:rsidR="0042261E">
              <w:rPr>
                <w:rFonts w:ascii="Calibri" w:eastAsia="Arial" w:hAnsi="Calibri" w:cs="Calibri"/>
                <w:sz w:val="24"/>
                <w:szCs w:val="24"/>
              </w:rPr>
              <w:t xml:space="preserve">ecast is being reviewed with </w:t>
            </w:r>
            <w:proofErr w:type="gramStart"/>
            <w:r w:rsidR="0042261E">
              <w:rPr>
                <w:rFonts w:ascii="Calibri" w:eastAsia="Arial" w:hAnsi="Calibri" w:cs="Calibri"/>
                <w:sz w:val="24"/>
                <w:szCs w:val="24"/>
              </w:rPr>
              <w:t xml:space="preserve">an </w:t>
            </w:r>
            <w:r w:rsidR="00E147E3" w:rsidRPr="00E147E3">
              <w:rPr>
                <w:rFonts w:ascii="Calibri" w:eastAsia="Arial" w:hAnsi="Calibri" w:cs="Calibri"/>
                <w:sz w:val="24"/>
                <w:szCs w:val="24"/>
              </w:rPr>
              <w:t>underspend</w:t>
            </w:r>
            <w:proofErr w:type="gramEnd"/>
            <w:r w:rsidR="00E147E3" w:rsidRPr="00E147E3">
              <w:rPr>
                <w:rFonts w:ascii="Calibri" w:eastAsia="Arial" w:hAnsi="Calibri" w:cs="Calibri"/>
                <w:sz w:val="24"/>
                <w:szCs w:val="24"/>
              </w:rPr>
              <w:t xml:space="preserve"> compared to</w:t>
            </w:r>
            <w:r w:rsidR="00F44A4A">
              <w:rPr>
                <w:rFonts w:ascii="Calibri" w:eastAsia="Arial" w:hAnsi="Calibri" w:cs="Calibri"/>
                <w:sz w:val="24"/>
                <w:szCs w:val="24"/>
              </w:rPr>
              <w:t xml:space="preserve"> the indirect capital budget expected</w:t>
            </w:r>
            <w:r w:rsidR="00F44A4A" w:rsidRPr="00A86FD0">
              <w:rPr>
                <w:rFonts w:ascii="Calibri" w:eastAsia="Arial" w:hAnsi="Calibri" w:cs="Calibri"/>
                <w:sz w:val="24"/>
                <w:szCs w:val="24"/>
              </w:rPr>
              <w:t xml:space="preserve">.  </w:t>
            </w:r>
            <w:r w:rsidR="008D7B2C" w:rsidRPr="00A86FD0">
              <w:rPr>
                <w:rFonts w:ascii="Calibri" w:eastAsia="Arial" w:hAnsi="Calibri" w:cs="Calibri"/>
                <w:sz w:val="24"/>
                <w:szCs w:val="24"/>
              </w:rPr>
              <w:t xml:space="preserve"> </w:t>
            </w:r>
            <w:r w:rsidR="00670ABC" w:rsidRPr="00A86FD0">
              <w:rPr>
                <w:rFonts w:ascii="Calibri" w:eastAsia="Arial" w:hAnsi="Calibri" w:cs="Calibri"/>
                <w:sz w:val="24"/>
                <w:szCs w:val="24"/>
              </w:rPr>
              <w:t xml:space="preserve">In the People Report, </w:t>
            </w:r>
            <w:r w:rsidR="00886D4D" w:rsidRPr="00A86FD0">
              <w:rPr>
                <w:rFonts w:ascii="Calibri" w:hAnsi="Calibri" w:cs="Calibri"/>
                <w:sz w:val="24"/>
                <w:szCs w:val="24"/>
              </w:rPr>
              <w:t>nine</w:t>
            </w:r>
            <w:r w:rsidR="003E1F97" w:rsidRPr="00A86FD0">
              <w:rPr>
                <w:rFonts w:ascii="Calibri" w:hAnsi="Calibri" w:cs="Calibri"/>
                <w:sz w:val="24"/>
                <w:szCs w:val="24"/>
              </w:rPr>
              <w:t xml:space="preserve"> of ten</w:t>
            </w:r>
            <w:r w:rsidR="002F23BF" w:rsidRPr="00A86FD0">
              <w:rPr>
                <w:rFonts w:ascii="Calibri" w:hAnsi="Calibri" w:cs="Calibri"/>
                <w:sz w:val="24"/>
                <w:szCs w:val="24"/>
              </w:rPr>
              <w:t xml:space="preserve"> indicators are </w:t>
            </w:r>
            <w:r w:rsidR="00886D4D" w:rsidRPr="00A86FD0">
              <w:rPr>
                <w:rFonts w:ascii="Calibri" w:hAnsi="Calibri" w:cs="Calibri"/>
                <w:sz w:val="24"/>
                <w:szCs w:val="24"/>
              </w:rPr>
              <w:t>green and</w:t>
            </w:r>
            <w:r w:rsidR="003E1F97" w:rsidRPr="00A86FD0">
              <w:rPr>
                <w:rFonts w:ascii="Calibri" w:hAnsi="Calibri" w:cs="Calibri"/>
                <w:sz w:val="24"/>
                <w:szCs w:val="24"/>
              </w:rPr>
              <w:t xml:space="preserve"> </w:t>
            </w:r>
            <w:r w:rsidR="00886D4D" w:rsidRPr="00A86FD0">
              <w:rPr>
                <w:rFonts w:ascii="Calibri" w:hAnsi="Calibri" w:cs="Calibri"/>
                <w:sz w:val="24"/>
                <w:szCs w:val="24"/>
              </w:rPr>
              <w:t>one is</w:t>
            </w:r>
            <w:r w:rsidR="003E1F97" w:rsidRPr="00A86FD0">
              <w:rPr>
                <w:rFonts w:ascii="Calibri" w:hAnsi="Calibri" w:cs="Calibri"/>
                <w:sz w:val="24"/>
                <w:szCs w:val="24"/>
              </w:rPr>
              <w:t xml:space="preserve"> amber</w:t>
            </w:r>
            <w:r w:rsidR="00886D4D" w:rsidRPr="00A86FD0">
              <w:rPr>
                <w:rFonts w:ascii="Calibri" w:hAnsi="Calibri" w:cs="Calibri"/>
                <w:sz w:val="24"/>
                <w:szCs w:val="24"/>
              </w:rPr>
              <w:t>.</w:t>
            </w:r>
          </w:p>
        </w:tc>
      </w:tr>
      <w:tr w:rsidR="00670ABC" w:rsidRPr="00B41BBB" w14:paraId="2B357DE5" w14:textId="77777777" w:rsidTr="008E70BD">
        <w:tc>
          <w:tcPr>
            <w:tcW w:w="2547" w:type="dxa"/>
          </w:tcPr>
          <w:p w14:paraId="413D6599" w14:textId="77777777" w:rsidR="00670ABC" w:rsidRPr="00B41BBB" w:rsidRDefault="00670ABC" w:rsidP="000E0B5A">
            <w:pPr>
              <w:contextualSpacing/>
              <w:rPr>
                <w:rFonts w:ascii="Calibri" w:eastAsia="Arial" w:hAnsi="Calibri" w:cs="Times New Roman"/>
                <w:sz w:val="24"/>
                <w:szCs w:val="24"/>
              </w:rPr>
            </w:pPr>
            <w:r w:rsidRPr="00B41BBB">
              <w:rPr>
                <w:rFonts w:ascii="Calibri" w:eastAsia="Arial" w:hAnsi="Calibri" w:cs="Times New Roman"/>
                <w:b/>
                <w:sz w:val="24"/>
                <w:szCs w:val="24"/>
              </w:rPr>
              <w:t>Actions:</w:t>
            </w:r>
            <w:r w:rsidRPr="00B41BBB">
              <w:rPr>
                <w:rFonts w:ascii="Calibri" w:eastAsia="Arial" w:hAnsi="Calibri" w:cs="Times New Roman"/>
                <w:sz w:val="24"/>
                <w:szCs w:val="24"/>
              </w:rPr>
              <w:t xml:space="preserve"> </w:t>
            </w:r>
          </w:p>
        </w:tc>
        <w:tc>
          <w:tcPr>
            <w:tcW w:w="7087" w:type="dxa"/>
          </w:tcPr>
          <w:p w14:paraId="6B6F62FD" w14:textId="77777777" w:rsidR="00670ABC" w:rsidRPr="00B41BBB" w:rsidRDefault="00670ABC" w:rsidP="000E0B5A">
            <w:pPr>
              <w:rPr>
                <w:rFonts w:ascii="Calibri" w:eastAsia="Arial" w:hAnsi="Calibri" w:cs="Times New Roman"/>
                <w:color w:val="000000" w:themeColor="text1"/>
                <w:sz w:val="24"/>
                <w:szCs w:val="24"/>
              </w:rPr>
            </w:pPr>
            <w:r w:rsidRPr="00B41BBB">
              <w:rPr>
                <w:rFonts w:ascii="Calibri" w:eastAsia="Arial" w:hAnsi="Calibri" w:cs="Calibri"/>
                <w:color w:val="000000" w:themeColor="text1"/>
                <w:sz w:val="24"/>
                <w:szCs w:val="24"/>
              </w:rPr>
              <w:t>To note the recommendations below</w:t>
            </w:r>
          </w:p>
        </w:tc>
      </w:tr>
      <w:tr w:rsidR="00670ABC" w:rsidRPr="00B41BBB" w14:paraId="4683E62B" w14:textId="77777777" w:rsidTr="008E70BD">
        <w:tc>
          <w:tcPr>
            <w:tcW w:w="2547" w:type="dxa"/>
          </w:tcPr>
          <w:p w14:paraId="3E2B88F1" w14:textId="77777777" w:rsidR="00670ABC" w:rsidRPr="00B41BBB" w:rsidRDefault="00670ABC" w:rsidP="000E0B5A">
            <w:pPr>
              <w:contextualSpacing/>
              <w:rPr>
                <w:rFonts w:ascii="Calibri" w:eastAsia="Arial" w:hAnsi="Calibri" w:cs="Times New Roman"/>
                <w:sz w:val="24"/>
                <w:szCs w:val="24"/>
              </w:rPr>
            </w:pPr>
            <w:r w:rsidRPr="00B41BBB">
              <w:rPr>
                <w:rFonts w:ascii="Calibri" w:eastAsia="Arial" w:hAnsi="Calibri" w:cs="Times New Roman"/>
                <w:b/>
                <w:sz w:val="24"/>
                <w:szCs w:val="24"/>
              </w:rPr>
              <w:t>Recommendations:</w:t>
            </w:r>
            <w:r w:rsidRPr="00B41BBB">
              <w:rPr>
                <w:rFonts w:ascii="Calibri" w:eastAsia="Arial" w:hAnsi="Calibri" w:cs="Times New Roman"/>
                <w:sz w:val="24"/>
                <w:szCs w:val="24"/>
              </w:rPr>
              <w:t xml:space="preserve"> </w:t>
            </w:r>
          </w:p>
        </w:tc>
        <w:tc>
          <w:tcPr>
            <w:tcW w:w="7087" w:type="dxa"/>
          </w:tcPr>
          <w:p w14:paraId="27315BB8" w14:textId="296E6314" w:rsidR="00670ABC" w:rsidRPr="00B41BBB" w:rsidRDefault="00CC7C36" w:rsidP="00670ABC">
            <w:pPr>
              <w:contextualSpacing/>
              <w:rPr>
                <w:rFonts w:ascii="Calibri" w:eastAsia="Arial" w:hAnsi="Calibri" w:cs="Calibri"/>
                <w:i/>
                <w:color w:val="000000" w:themeColor="text1"/>
                <w:sz w:val="24"/>
                <w:szCs w:val="24"/>
              </w:rPr>
            </w:pPr>
            <w:r>
              <w:rPr>
                <w:rFonts w:ascii="Calibri" w:eastAsia="Arial" w:hAnsi="Calibri" w:cs="Calibri"/>
                <w:color w:val="000000" w:themeColor="text1"/>
                <w:sz w:val="24"/>
                <w:szCs w:val="24"/>
              </w:rPr>
              <w:t>Board</w:t>
            </w:r>
            <w:r w:rsidR="00670ABC" w:rsidRPr="00B41BBB">
              <w:rPr>
                <w:rFonts w:ascii="Calibri" w:eastAsia="Arial" w:hAnsi="Calibri" w:cs="Calibri"/>
                <w:color w:val="000000" w:themeColor="text1"/>
                <w:sz w:val="24"/>
                <w:szCs w:val="24"/>
              </w:rPr>
              <w:t xml:space="preserve"> are asked to:</w:t>
            </w:r>
          </w:p>
          <w:p w14:paraId="2B987757" w14:textId="77777777" w:rsidR="00DC6DEC" w:rsidRPr="00B41BBB" w:rsidRDefault="00DC6DEC" w:rsidP="00DC6DEC">
            <w:pPr>
              <w:pStyle w:val="ListParagraph"/>
              <w:numPr>
                <w:ilvl w:val="1"/>
                <w:numId w:val="7"/>
              </w:numPr>
              <w:rPr>
                <w:rFonts w:ascii="Calibri" w:eastAsia="Arial" w:hAnsi="Calibri" w:cs="Calibri"/>
                <w:sz w:val="24"/>
                <w:szCs w:val="24"/>
              </w:rPr>
            </w:pPr>
            <w:r w:rsidRPr="00B41BBB">
              <w:rPr>
                <w:rFonts w:ascii="Calibri" w:eastAsia="Arial" w:hAnsi="Calibri" w:cs="Calibri"/>
                <w:sz w:val="24"/>
                <w:szCs w:val="24"/>
              </w:rPr>
              <w:t xml:space="preserve">Note the overall performance of the </w:t>
            </w:r>
            <w:r w:rsidR="0091136A" w:rsidRPr="00B41BBB">
              <w:rPr>
                <w:rFonts w:ascii="Calibri" w:eastAsia="Arial" w:hAnsi="Calibri" w:cs="Calibri"/>
                <w:sz w:val="24"/>
                <w:szCs w:val="24"/>
              </w:rPr>
              <w:t>Corporate Plan objectives</w:t>
            </w:r>
            <w:r w:rsidRPr="00B41BBB">
              <w:rPr>
                <w:rFonts w:ascii="Calibri" w:eastAsia="Arial" w:hAnsi="Calibri" w:cs="Calibri"/>
                <w:sz w:val="24"/>
                <w:szCs w:val="24"/>
              </w:rPr>
              <w:t xml:space="preserve"> </w:t>
            </w:r>
          </w:p>
          <w:p w14:paraId="132701C0" w14:textId="77777777" w:rsidR="001975DA" w:rsidRPr="00B41BBB" w:rsidRDefault="00DC6DEC" w:rsidP="001975DA">
            <w:pPr>
              <w:pStyle w:val="ListParagraph"/>
              <w:numPr>
                <w:ilvl w:val="1"/>
                <w:numId w:val="7"/>
              </w:numPr>
              <w:rPr>
                <w:rFonts w:ascii="Calibri" w:eastAsia="Arial" w:hAnsi="Calibri" w:cs="Calibri"/>
                <w:sz w:val="24"/>
                <w:szCs w:val="24"/>
              </w:rPr>
            </w:pPr>
            <w:r w:rsidRPr="00B41BBB">
              <w:rPr>
                <w:rFonts w:ascii="Calibri" w:eastAsia="Arial" w:hAnsi="Calibri" w:cs="Calibri"/>
                <w:sz w:val="24"/>
                <w:szCs w:val="24"/>
              </w:rPr>
              <w:t>Note the position of the operating and capital budgets (Finance Report)</w:t>
            </w:r>
          </w:p>
          <w:p w14:paraId="5A7ADE9E" w14:textId="0A2FCE49" w:rsidR="001C547B" w:rsidRPr="001C547B" w:rsidRDefault="00DC6DEC" w:rsidP="001C547B">
            <w:pPr>
              <w:pStyle w:val="ListParagraph"/>
              <w:numPr>
                <w:ilvl w:val="1"/>
                <w:numId w:val="7"/>
              </w:numPr>
              <w:rPr>
                <w:rFonts w:ascii="Calibri" w:eastAsia="Arial" w:hAnsi="Calibri" w:cs="Calibri"/>
                <w:sz w:val="24"/>
                <w:szCs w:val="24"/>
              </w:rPr>
            </w:pPr>
            <w:r w:rsidRPr="001C547B">
              <w:rPr>
                <w:rFonts w:ascii="Calibri" w:eastAsia="Arial" w:hAnsi="Calibri" w:cs="Calibri"/>
                <w:sz w:val="24"/>
                <w:szCs w:val="24"/>
              </w:rPr>
              <w:t>Note the per</w:t>
            </w:r>
            <w:r w:rsidR="001C547B">
              <w:rPr>
                <w:rFonts w:ascii="Calibri" w:eastAsia="Arial" w:hAnsi="Calibri" w:cs="Calibri"/>
                <w:sz w:val="24"/>
                <w:szCs w:val="24"/>
              </w:rPr>
              <w:t>formance of the corporate risks</w:t>
            </w:r>
          </w:p>
          <w:p w14:paraId="36BB3242" w14:textId="77777777" w:rsidR="00443FC1" w:rsidRPr="00B41BBB" w:rsidRDefault="00DC6DEC" w:rsidP="001C547B">
            <w:pPr>
              <w:pStyle w:val="ListParagraph"/>
              <w:numPr>
                <w:ilvl w:val="1"/>
                <w:numId w:val="7"/>
              </w:numPr>
              <w:rPr>
                <w:rFonts w:ascii="Calibri" w:eastAsia="Arial" w:hAnsi="Calibri" w:cs="Calibri"/>
                <w:sz w:val="24"/>
                <w:szCs w:val="24"/>
              </w:rPr>
            </w:pPr>
            <w:r w:rsidRPr="00B41BBB">
              <w:rPr>
                <w:rFonts w:ascii="Calibri" w:eastAsia="Arial" w:hAnsi="Calibri" w:cs="Calibri"/>
                <w:sz w:val="24"/>
                <w:szCs w:val="24"/>
              </w:rPr>
              <w:t>Note the overall performance of the People Meas</w:t>
            </w:r>
            <w:r w:rsidR="00443FC1" w:rsidRPr="00B41BBB">
              <w:rPr>
                <w:rFonts w:ascii="Calibri" w:hAnsi="Calibri" w:cs="Calibri"/>
                <w:sz w:val="24"/>
                <w:szCs w:val="24"/>
              </w:rPr>
              <w:t>ures</w:t>
            </w:r>
          </w:p>
        </w:tc>
      </w:tr>
      <w:tr w:rsidR="00670ABC" w:rsidRPr="00B41BBB" w14:paraId="58902638" w14:textId="77777777" w:rsidTr="008E70BD">
        <w:tc>
          <w:tcPr>
            <w:tcW w:w="2547" w:type="dxa"/>
          </w:tcPr>
          <w:p w14:paraId="4D21D171" w14:textId="77777777" w:rsidR="00670ABC" w:rsidRPr="00B41BBB" w:rsidRDefault="00670ABC" w:rsidP="000E0B5A">
            <w:pPr>
              <w:contextualSpacing/>
              <w:rPr>
                <w:rFonts w:ascii="Calibri" w:eastAsia="Arial" w:hAnsi="Calibri" w:cs="Times New Roman"/>
                <w:b/>
                <w:color w:val="000000" w:themeColor="text1"/>
                <w:sz w:val="24"/>
                <w:szCs w:val="24"/>
              </w:rPr>
            </w:pPr>
            <w:r w:rsidRPr="00B41BBB">
              <w:rPr>
                <w:rFonts w:ascii="Calibri" w:eastAsia="Arial" w:hAnsi="Calibri" w:cs="Times New Roman"/>
                <w:b/>
                <w:color w:val="000000" w:themeColor="text1"/>
                <w:sz w:val="24"/>
                <w:szCs w:val="24"/>
              </w:rPr>
              <w:t>Report Author(s):</w:t>
            </w:r>
          </w:p>
        </w:tc>
        <w:tc>
          <w:tcPr>
            <w:tcW w:w="7087" w:type="dxa"/>
          </w:tcPr>
          <w:p w14:paraId="256CC361" w14:textId="081E2A8D" w:rsidR="00670ABC" w:rsidRPr="00B41BBB" w:rsidRDefault="00670ABC" w:rsidP="000E0B5A">
            <w:pPr>
              <w:rPr>
                <w:rFonts w:ascii="Calibri" w:eastAsia="Arial" w:hAnsi="Calibri" w:cs="Times New Roman"/>
                <w:color w:val="000000" w:themeColor="text1"/>
                <w:sz w:val="24"/>
                <w:szCs w:val="24"/>
              </w:rPr>
            </w:pPr>
            <w:r w:rsidRPr="00B41BBB">
              <w:rPr>
                <w:rFonts w:ascii="Calibri" w:eastAsia="Arial" w:hAnsi="Calibri" w:cs="Calibri"/>
                <w:color w:val="000000" w:themeColor="text1"/>
                <w:sz w:val="24"/>
                <w:szCs w:val="24"/>
              </w:rPr>
              <w:t>Authors – Direc</w:t>
            </w:r>
            <w:r w:rsidR="00CC7C36">
              <w:rPr>
                <w:rFonts w:ascii="Calibri" w:eastAsia="Arial" w:hAnsi="Calibri" w:cs="Calibri"/>
                <w:color w:val="000000" w:themeColor="text1"/>
                <w:sz w:val="24"/>
                <w:szCs w:val="24"/>
              </w:rPr>
              <w:t>tors, Deputy Directors, Outcome</w:t>
            </w:r>
            <w:r w:rsidRPr="00B41BBB">
              <w:rPr>
                <w:rFonts w:ascii="Calibri" w:eastAsia="Arial" w:hAnsi="Calibri" w:cs="Calibri"/>
                <w:color w:val="000000" w:themeColor="text1"/>
                <w:sz w:val="24"/>
                <w:szCs w:val="24"/>
              </w:rPr>
              <w:t xml:space="preserve"> Managers, Finance, Planning &amp; Performance Team, People &amp; OD Team</w:t>
            </w:r>
          </w:p>
        </w:tc>
      </w:tr>
      <w:tr w:rsidR="00670ABC" w:rsidRPr="00B41BBB" w14:paraId="22DAF843" w14:textId="77777777" w:rsidTr="008E70BD">
        <w:tc>
          <w:tcPr>
            <w:tcW w:w="2547" w:type="dxa"/>
          </w:tcPr>
          <w:p w14:paraId="2D172536" w14:textId="77777777" w:rsidR="00670ABC" w:rsidRPr="00B41BBB" w:rsidRDefault="00670ABC" w:rsidP="000E0B5A">
            <w:pPr>
              <w:contextualSpacing/>
              <w:rPr>
                <w:rFonts w:ascii="Calibri" w:eastAsia="Arial" w:hAnsi="Calibri" w:cs="Times New Roman"/>
                <w:b/>
                <w:color w:val="000000" w:themeColor="text1"/>
                <w:sz w:val="24"/>
                <w:szCs w:val="24"/>
              </w:rPr>
            </w:pPr>
            <w:r w:rsidRPr="00B41BBB">
              <w:rPr>
                <w:rFonts w:ascii="Calibri" w:eastAsia="Arial" w:hAnsi="Calibri" w:cs="Times New Roman"/>
                <w:b/>
                <w:color w:val="000000" w:themeColor="text1"/>
                <w:sz w:val="24"/>
                <w:szCs w:val="24"/>
              </w:rPr>
              <w:t>Sponsor</w:t>
            </w:r>
            <w:r w:rsidR="00443FC1" w:rsidRPr="00B41BBB">
              <w:rPr>
                <w:rFonts w:ascii="Calibri" w:eastAsia="Arial" w:hAnsi="Calibri" w:cs="Times New Roman"/>
                <w:b/>
                <w:color w:val="000000" w:themeColor="text1"/>
                <w:sz w:val="24"/>
                <w:szCs w:val="24"/>
              </w:rPr>
              <w:t>s</w:t>
            </w:r>
            <w:r w:rsidRPr="00B41BBB">
              <w:rPr>
                <w:rFonts w:ascii="Calibri" w:eastAsia="Arial" w:hAnsi="Calibri" w:cs="Times New Roman"/>
                <w:b/>
                <w:color w:val="000000" w:themeColor="text1"/>
                <w:sz w:val="24"/>
                <w:szCs w:val="24"/>
              </w:rPr>
              <w:t>:</w:t>
            </w:r>
            <w:r w:rsidRPr="00B41BBB">
              <w:rPr>
                <w:rFonts w:ascii="Calibri" w:eastAsia="Arial" w:hAnsi="Calibri" w:cs="Times New Roman"/>
                <w:b/>
                <w:color w:val="000000" w:themeColor="text1"/>
                <w:sz w:val="24"/>
                <w:szCs w:val="24"/>
              </w:rPr>
              <w:tab/>
            </w:r>
          </w:p>
        </w:tc>
        <w:tc>
          <w:tcPr>
            <w:tcW w:w="7087" w:type="dxa"/>
          </w:tcPr>
          <w:p w14:paraId="6BFB4D8D" w14:textId="77777777" w:rsidR="00670ABC" w:rsidRPr="00B41BBB" w:rsidRDefault="007D1E79" w:rsidP="000E0B5A">
            <w:pPr>
              <w:rPr>
                <w:rFonts w:ascii="Calibri" w:eastAsia="Arial" w:hAnsi="Calibri" w:cs="Times New Roman"/>
                <w:color w:val="000000" w:themeColor="text1"/>
                <w:sz w:val="24"/>
                <w:szCs w:val="24"/>
              </w:rPr>
            </w:pPr>
            <w:r w:rsidRPr="00B41BBB">
              <w:rPr>
                <w:rFonts w:ascii="Calibri" w:eastAsia="Arial" w:hAnsi="Calibri" w:cs="Calibri"/>
                <w:color w:val="000000" w:themeColor="text1"/>
                <w:sz w:val="24"/>
                <w:szCs w:val="24"/>
              </w:rPr>
              <w:t>Stuart MacQuarrie, Jane Macd</w:t>
            </w:r>
            <w:r w:rsidR="000635BA" w:rsidRPr="00B41BBB">
              <w:rPr>
                <w:rFonts w:ascii="Calibri" w:eastAsia="Arial" w:hAnsi="Calibri" w:cs="Calibri"/>
                <w:color w:val="000000" w:themeColor="text1"/>
                <w:sz w:val="24"/>
                <w:szCs w:val="24"/>
              </w:rPr>
              <w:t>onald</w:t>
            </w:r>
          </w:p>
        </w:tc>
      </w:tr>
      <w:tr w:rsidR="00124A15" w:rsidRPr="00B41BBB" w14:paraId="4D5F4254" w14:textId="77777777" w:rsidTr="002E50CA">
        <w:trPr>
          <w:trHeight w:val="503"/>
        </w:trPr>
        <w:tc>
          <w:tcPr>
            <w:tcW w:w="2547" w:type="dxa"/>
          </w:tcPr>
          <w:p w14:paraId="3CE5BA39" w14:textId="33745521" w:rsidR="00124A15" w:rsidRPr="00B41BBB" w:rsidRDefault="00124A15" w:rsidP="000E0B5A">
            <w:pPr>
              <w:contextualSpacing/>
              <w:rPr>
                <w:rFonts w:ascii="Calibri" w:eastAsia="Arial" w:hAnsi="Calibri" w:cs="Times New Roman"/>
                <w:b/>
                <w:color w:val="000000" w:themeColor="text1"/>
                <w:sz w:val="24"/>
                <w:szCs w:val="24"/>
              </w:rPr>
            </w:pPr>
            <w:r>
              <w:rPr>
                <w:rFonts w:ascii="Calibri" w:eastAsia="Arial" w:hAnsi="Calibri" w:cs="Times New Roman"/>
                <w:b/>
                <w:color w:val="000000" w:themeColor="text1"/>
                <w:sz w:val="24"/>
                <w:szCs w:val="24"/>
              </w:rPr>
              <w:t>Annex</w:t>
            </w:r>
          </w:p>
        </w:tc>
        <w:tc>
          <w:tcPr>
            <w:tcW w:w="7087" w:type="dxa"/>
          </w:tcPr>
          <w:p w14:paraId="5425E8C2" w14:textId="5F5885F7" w:rsidR="00FD089F" w:rsidRPr="00B41BBB" w:rsidRDefault="00124A15" w:rsidP="000E0B5A">
            <w:pPr>
              <w:rPr>
                <w:rFonts w:ascii="Calibri" w:eastAsia="Arial" w:hAnsi="Calibri" w:cs="Calibri"/>
                <w:color w:val="000000" w:themeColor="text1"/>
                <w:sz w:val="24"/>
                <w:szCs w:val="24"/>
              </w:rPr>
            </w:pPr>
            <w:r>
              <w:rPr>
                <w:rFonts w:ascii="Calibri" w:eastAsia="Arial" w:hAnsi="Calibri" w:cs="Calibri"/>
                <w:color w:val="000000" w:themeColor="text1"/>
                <w:sz w:val="24"/>
                <w:szCs w:val="24"/>
              </w:rPr>
              <w:t>Annex A – Corporate Risk Register</w:t>
            </w:r>
          </w:p>
        </w:tc>
      </w:tr>
    </w:tbl>
    <w:p w14:paraId="4572D451" w14:textId="77777777" w:rsidR="00E80101" w:rsidRPr="00B6615A" w:rsidRDefault="00E80101" w:rsidP="00BA3EED">
      <w:pPr>
        <w:spacing w:after="160" w:line="259" w:lineRule="auto"/>
        <w:rPr>
          <w:rFonts w:ascii="Calibri" w:eastAsia="Times New Roman" w:hAnsi="Calibri" w:cs="Calibri"/>
          <w:b/>
          <w:sz w:val="24"/>
          <w:szCs w:val="24"/>
        </w:rPr>
        <w:sectPr w:rsidR="00E80101" w:rsidRPr="00B6615A" w:rsidSect="00CC7C36">
          <w:headerReference w:type="default" r:id="rId10"/>
          <w:headerReference w:type="first" r:id="rId11"/>
          <w:footerReference w:type="first" r:id="rId12"/>
          <w:pgSz w:w="11906" w:h="16838"/>
          <w:pgMar w:top="1134" w:right="1134" w:bottom="1134" w:left="1134" w:header="709" w:footer="709" w:gutter="0"/>
          <w:cols w:space="708"/>
          <w:docGrid w:linePitch="360"/>
        </w:sectPr>
      </w:pPr>
    </w:p>
    <w:p w14:paraId="6148072F" w14:textId="77777777" w:rsidR="00E80101" w:rsidRPr="00B6615A" w:rsidRDefault="00E80101" w:rsidP="00BA3EED">
      <w:pPr>
        <w:pStyle w:val="Heading2"/>
        <w:rPr>
          <w:rFonts w:ascii="Calibri" w:eastAsia="Times New Roman" w:hAnsi="Calibri" w:cs="Calibri"/>
          <w:sz w:val="24"/>
          <w:szCs w:val="24"/>
        </w:rPr>
      </w:pPr>
      <w:r w:rsidRPr="00B6615A">
        <w:rPr>
          <w:rFonts w:ascii="Calibri" w:eastAsia="Times New Roman" w:hAnsi="Calibri" w:cs="Calibri"/>
          <w:sz w:val="24"/>
          <w:szCs w:val="24"/>
        </w:rPr>
        <w:lastRenderedPageBreak/>
        <w:t xml:space="preserve">Purpose </w:t>
      </w:r>
    </w:p>
    <w:p w14:paraId="23487529" w14:textId="77777777" w:rsidR="00E80101" w:rsidRPr="00B6615A" w:rsidRDefault="00E80101" w:rsidP="00B41BBB">
      <w:pPr>
        <w:pStyle w:val="ListParagraph"/>
        <w:numPr>
          <w:ilvl w:val="0"/>
          <w:numId w:val="4"/>
        </w:numPr>
        <w:spacing w:after="200" w:line="276" w:lineRule="auto"/>
        <w:ind w:left="357" w:hanging="357"/>
        <w:rPr>
          <w:rFonts w:ascii="Calibri" w:eastAsia="Calibri" w:hAnsi="Calibri" w:cs="Calibri"/>
          <w:sz w:val="24"/>
          <w:szCs w:val="24"/>
        </w:rPr>
      </w:pPr>
      <w:r w:rsidRPr="00B6615A">
        <w:rPr>
          <w:rFonts w:ascii="Calibri" w:eastAsia="Calibri" w:hAnsi="Calibri" w:cs="Calibri"/>
          <w:sz w:val="24"/>
          <w:szCs w:val="24"/>
        </w:rPr>
        <w:t xml:space="preserve">This paper presents NatureScot’s performance for the </w:t>
      </w:r>
      <w:r w:rsidR="00D52779">
        <w:rPr>
          <w:rFonts w:ascii="Calibri" w:eastAsia="Calibri" w:hAnsi="Calibri" w:cs="Calibri"/>
          <w:sz w:val="24"/>
          <w:szCs w:val="24"/>
        </w:rPr>
        <w:t>second</w:t>
      </w:r>
      <w:r w:rsidR="00F83481" w:rsidRPr="00B6615A">
        <w:rPr>
          <w:rFonts w:ascii="Calibri" w:eastAsia="Calibri" w:hAnsi="Calibri" w:cs="Calibri"/>
          <w:sz w:val="24"/>
          <w:szCs w:val="24"/>
        </w:rPr>
        <w:t xml:space="preserve"> quarter of 20</w:t>
      </w:r>
      <w:r w:rsidR="006001B3">
        <w:rPr>
          <w:rFonts w:ascii="Calibri" w:eastAsia="Calibri" w:hAnsi="Calibri" w:cs="Calibri"/>
          <w:sz w:val="24"/>
          <w:szCs w:val="24"/>
        </w:rPr>
        <w:t>22/23</w:t>
      </w:r>
      <w:r w:rsidRPr="00B6615A">
        <w:rPr>
          <w:rFonts w:ascii="Calibri" w:eastAsia="Calibri" w:hAnsi="Calibri" w:cs="Calibri"/>
          <w:sz w:val="24"/>
          <w:szCs w:val="24"/>
        </w:rPr>
        <w:t>.  It addresses delivery of our corporate priorities by reviewing</w:t>
      </w:r>
      <w:r w:rsidR="001975DA">
        <w:rPr>
          <w:rFonts w:ascii="Calibri" w:eastAsia="Calibri" w:hAnsi="Calibri" w:cs="Calibri"/>
          <w:sz w:val="24"/>
          <w:szCs w:val="24"/>
        </w:rPr>
        <w:t>;</w:t>
      </w:r>
      <w:r w:rsidRPr="00B6615A">
        <w:rPr>
          <w:rFonts w:ascii="Calibri" w:eastAsia="Calibri" w:hAnsi="Calibri" w:cs="Calibri"/>
          <w:sz w:val="24"/>
          <w:szCs w:val="24"/>
        </w:rPr>
        <w:t xml:space="preserve"> the alignment of performance against our Business Plan, </w:t>
      </w:r>
      <w:r w:rsidR="006001B3">
        <w:rPr>
          <w:rFonts w:ascii="Calibri" w:eastAsia="Calibri" w:hAnsi="Calibri" w:cs="Calibri"/>
          <w:sz w:val="24"/>
          <w:szCs w:val="24"/>
        </w:rPr>
        <w:t>a Nature-rich future for all: Year 1</w:t>
      </w:r>
      <w:r w:rsidR="002979EE">
        <w:rPr>
          <w:rFonts w:ascii="Calibri" w:eastAsia="Calibri" w:hAnsi="Calibri" w:cs="Calibri"/>
          <w:sz w:val="24"/>
          <w:szCs w:val="24"/>
        </w:rPr>
        <w:t>;</w:t>
      </w:r>
      <w:r w:rsidRPr="00B6615A">
        <w:rPr>
          <w:rFonts w:ascii="Calibri" w:eastAsia="Calibri" w:hAnsi="Calibri" w:cs="Calibri"/>
          <w:sz w:val="24"/>
          <w:szCs w:val="24"/>
        </w:rPr>
        <w:t xml:space="preserve"> progress towards </w:t>
      </w:r>
      <w:r w:rsidR="002979EE">
        <w:rPr>
          <w:rFonts w:ascii="Calibri" w:eastAsia="Calibri" w:hAnsi="Calibri" w:cs="Calibri"/>
          <w:sz w:val="24"/>
          <w:szCs w:val="24"/>
        </w:rPr>
        <w:t>maximising our available budget;</w:t>
      </w:r>
      <w:r w:rsidRPr="00B6615A">
        <w:rPr>
          <w:rFonts w:ascii="Calibri" w:eastAsia="Calibri" w:hAnsi="Calibri" w:cs="Calibri"/>
          <w:sz w:val="24"/>
          <w:szCs w:val="24"/>
        </w:rPr>
        <w:t xml:space="preserve"> assessing risks for delivery</w:t>
      </w:r>
      <w:r w:rsidR="002979EE">
        <w:rPr>
          <w:rFonts w:ascii="Calibri" w:eastAsia="Calibri" w:hAnsi="Calibri" w:cs="Calibri"/>
          <w:sz w:val="24"/>
          <w:szCs w:val="24"/>
        </w:rPr>
        <w:t>;</w:t>
      </w:r>
      <w:r w:rsidRPr="00B6615A">
        <w:rPr>
          <w:rFonts w:ascii="Calibri" w:eastAsia="Calibri" w:hAnsi="Calibri" w:cs="Calibri"/>
          <w:sz w:val="24"/>
          <w:szCs w:val="24"/>
        </w:rPr>
        <w:t xml:space="preserve"> and reviewing people information supporting the resourcing of our work.  These support del</w:t>
      </w:r>
      <w:r w:rsidR="006001B3">
        <w:rPr>
          <w:rFonts w:ascii="Calibri" w:eastAsia="Calibri" w:hAnsi="Calibri" w:cs="Calibri"/>
          <w:sz w:val="24"/>
          <w:szCs w:val="24"/>
        </w:rPr>
        <w:t>ivery of our Corporate Plan 2022-23</w:t>
      </w:r>
      <w:r w:rsidRPr="00B6615A">
        <w:rPr>
          <w:rFonts w:ascii="Calibri" w:eastAsia="Calibri" w:hAnsi="Calibri" w:cs="Calibri"/>
          <w:sz w:val="24"/>
          <w:szCs w:val="24"/>
        </w:rPr>
        <w:t xml:space="preserve">, </w:t>
      </w:r>
      <w:r w:rsidR="006001B3">
        <w:rPr>
          <w:rFonts w:ascii="Calibri" w:eastAsia="Calibri" w:hAnsi="Calibri" w:cs="Calibri"/>
          <w:sz w:val="24"/>
          <w:szCs w:val="24"/>
        </w:rPr>
        <w:t>A Nature-rich future for all</w:t>
      </w:r>
      <w:r w:rsidRPr="00B6615A">
        <w:rPr>
          <w:rFonts w:ascii="Calibri" w:eastAsia="Calibri" w:hAnsi="Calibri" w:cs="Calibri"/>
          <w:sz w:val="24"/>
          <w:szCs w:val="24"/>
        </w:rPr>
        <w:t>.</w:t>
      </w:r>
    </w:p>
    <w:p w14:paraId="2DC36CA1" w14:textId="77777777" w:rsidR="006B746D" w:rsidRPr="00F375D8" w:rsidRDefault="00E80101" w:rsidP="00F375D8">
      <w:pPr>
        <w:pStyle w:val="Heading2"/>
        <w:spacing w:line="276" w:lineRule="auto"/>
        <w:rPr>
          <w:rFonts w:ascii="Calibri" w:eastAsia="Times New Roman" w:hAnsi="Calibri" w:cs="Calibri"/>
          <w:sz w:val="24"/>
          <w:szCs w:val="24"/>
        </w:rPr>
      </w:pPr>
      <w:r w:rsidRPr="00B6615A">
        <w:rPr>
          <w:rFonts w:ascii="Calibri" w:eastAsia="Times New Roman" w:hAnsi="Calibri" w:cs="Calibri"/>
          <w:sz w:val="24"/>
          <w:szCs w:val="24"/>
        </w:rPr>
        <w:t xml:space="preserve">Summary </w:t>
      </w:r>
    </w:p>
    <w:p w14:paraId="3D2B21F3" w14:textId="77777777" w:rsidR="007C3D2E" w:rsidRPr="00714EB0" w:rsidRDefault="00714EB0" w:rsidP="00714EB0">
      <w:pPr>
        <w:pStyle w:val="ListParagraph"/>
        <w:numPr>
          <w:ilvl w:val="0"/>
          <w:numId w:val="4"/>
        </w:numPr>
        <w:spacing w:line="276" w:lineRule="auto"/>
        <w:rPr>
          <w:rFonts w:ascii="Calibri" w:eastAsia="Calibri" w:hAnsi="Calibri" w:cs="Calibri"/>
          <w:color w:val="000000" w:themeColor="text1"/>
          <w:sz w:val="24"/>
          <w:szCs w:val="24"/>
        </w:rPr>
      </w:pPr>
      <w:r w:rsidRPr="00714EB0">
        <w:rPr>
          <w:rFonts w:ascii="Calibri" w:eastAsia="Calibri" w:hAnsi="Calibri" w:cs="Calibri"/>
          <w:color w:val="000000" w:themeColor="text1"/>
          <w:sz w:val="24"/>
          <w:szCs w:val="24"/>
        </w:rPr>
        <w:t>The</w:t>
      </w:r>
      <w:r w:rsidR="007C3D2E" w:rsidRPr="00714EB0">
        <w:rPr>
          <w:rFonts w:ascii="Calibri" w:eastAsia="Calibri" w:hAnsi="Calibri" w:cs="Calibri"/>
          <w:color w:val="000000" w:themeColor="text1"/>
          <w:sz w:val="24"/>
          <w:szCs w:val="24"/>
        </w:rPr>
        <w:t xml:space="preserve"> outbreak of </w:t>
      </w:r>
      <w:r w:rsidR="001975DA" w:rsidRPr="00714EB0">
        <w:rPr>
          <w:rFonts w:ascii="Calibri" w:eastAsia="Calibri" w:hAnsi="Calibri" w:cs="Calibri"/>
          <w:color w:val="000000" w:themeColor="text1"/>
          <w:sz w:val="24"/>
          <w:szCs w:val="24"/>
        </w:rPr>
        <w:t>avian</w:t>
      </w:r>
      <w:r w:rsidR="007C3D2E" w:rsidRPr="00714EB0">
        <w:rPr>
          <w:rFonts w:ascii="Calibri" w:eastAsia="Calibri" w:hAnsi="Calibri" w:cs="Calibri"/>
          <w:color w:val="000000" w:themeColor="text1"/>
          <w:sz w:val="24"/>
          <w:szCs w:val="24"/>
        </w:rPr>
        <w:t xml:space="preserve"> influenza (AI)</w:t>
      </w:r>
      <w:r w:rsidR="001975DA" w:rsidRPr="00714EB0">
        <w:rPr>
          <w:rFonts w:ascii="Calibri" w:eastAsia="Calibri" w:hAnsi="Calibri" w:cs="Calibri"/>
          <w:color w:val="000000" w:themeColor="text1"/>
          <w:sz w:val="24"/>
          <w:szCs w:val="24"/>
        </w:rPr>
        <w:t xml:space="preserve"> </w:t>
      </w:r>
      <w:r w:rsidRPr="00714EB0">
        <w:rPr>
          <w:rFonts w:ascii="Calibri" w:eastAsia="Calibri" w:hAnsi="Calibri" w:cs="Calibri"/>
          <w:color w:val="000000" w:themeColor="text1"/>
          <w:sz w:val="24"/>
          <w:szCs w:val="24"/>
        </w:rPr>
        <w:t>is still critical and continues</w:t>
      </w:r>
      <w:r w:rsidR="001975DA" w:rsidRPr="00714EB0">
        <w:rPr>
          <w:rFonts w:ascii="Calibri" w:eastAsia="Calibri" w:hAnsi="Calibri" w:cs="Calibri"/>
          <w:color w:val="000000" w:themeColor="text1"/>
          <w:sz w:val="24"/>
          <w:szCs w:val="24"/>
        </w:rPr>
        <w:t xml:space="preserve"> </w:t>
      </w:r>
      <w:r w:rsidRPr="00714EB0">
        <w:rPr>
          <w:rFonts w:ascii="Calibri" w:eastAsia="Calibri" w:hAnsi="Calibri" w:cs="Calibri"/>
          <w:color w:val="000000" w:themeColor="text1"/>
          <w:sz w:val="24"/>
          <w:szCs w:val="24"/>
        </w:rPr>
        <w:t xml:space="preserve">to divert </w:t>
      </w:r>
      <w:r w:rsidR="007C3D2E" w:rsidRPr="00714EB0">
        <w:rPr>
          <w:rFonts w:ascii="Calibri" w:eastAsia="Calibri" w:hAnsi="Calibri" w:cs="Calibri"/>
          <w:color w:val="000000" w:themeColor="text1"/>
          <w:sz w:val="24"/>
          <w:szCs w:val="24"/>
        </w:rPr>
        <w:t xml:space="preserve">staff resource </w:t>
      </w:r>
      <w:r w:rsidRPr="00714EB0">
        <w:rPr>
          <w:rFonts w:ascii="Calibri" w:eastAsia="Calibri" w:hAnsi="Calibri" w:cs="Calibri"/>
          <w:color w:val="000000" w:themeColor="text1"/>
          <w:sz w:val="24"/>
          <w:szCs w:val="24"/>
        </w:rPr>
        <w:t xml:space="preserve">to </w:t>
      </w:r>
      <w:r>
        <w:rPr>
          <w:rFonts w:ascii="Calibri" w:eastAsia="Calibri" w:hAnsi="Calibri" w:cs="Calibri"/>
          <w:color w:val="000000" w:themeColor="text1"/>
          <w:sz w:val="24"/>
          <w:szCs w:val="24"/>
        </w:rPr>
        <w:t>lead</w:t>
      </w:r>
      <w:r w:rsidRPr="00714EB0">
        <w:rPr>
          <w:rFonts w:ascii="Calibri" w:eastAsia="Calibri" w:hAnsi="Calibri" w:cs="Calibri"/>
          <w:color w:val="000000" w:themeColor="text1"/>
          <w:sz w:val="24"/>
          <w:szCs w:val="24"/>
        </w:rPr>
        <w:t xml:space="preserve"> a task force, working with Scottish Government and conservation organisations to develop an effective overall strategy and produce the most up to date advice.</w:t>
      </w:r>
      <w:r>
        <w:rPr>
          <w:rFonts w:ascii="Calibri" w:eastAsia="Calibri" w:hAnsi="Calibri" w:cs="Calibri"/>
          <w:color w:val="000000" w:themeColor="text1"/>
          <w:sz w:val="24"/>
          <w:szCs w:val="24"/>
        </w:rPr>
        <w:t xml:space="preserve">  </w:t>
      </w:r>
      <w:r w:rsidRPr="00714EB0">
        <w:rPr>
          <w:rFonts w:ascii="Calibri" w:eastAsia="Calibri" w:hAnsi="Calibri" w:cs="Calibri"/>
          <w:color w:val="000000" w:themeColor="text1"/>
          <w:sz w:val="24"/>
          <w:szCs w:val="24"/>
        </w:rPr>
        <w:t>Central to this is gaining a good understanding of the present situation and putting in place means to mitigate against its future recurrence.</w:t>
      </w:r>
      <w:r w:rsidR="007C3D2E" w:rsidRPr="00714EB0">
        <w:rPr>
          <w:rFonts w:ascii="Calibri" w:eastAsia="Calibri" w:hAnsi="Calibri" w:cs="Calibri"/>
          <w:color w:val="000000" w:themeColor="text1"/>
          <w:sz w:val="24"/>
          <w:szCs w:val="24"/>
        </w:rPr>
        <w:t xml:space="preserve">  This response attempts to reduce spread and manage the impact where possible.</w:t>
      </w:r>
    </w:p>
    <w:p w14:paraId="3AC2295D" w14:textId="77777777" w:rsidR="00B41BBB" w:rsidRPr="00D52779" w:rsidRDefault="00B41BBB" w:rsidP="00B41BBB">
      <w:pPr>
        <w:pStyle w:val="ListParagraph"/>
        <w:spacing w:line="276" w:lineRule="auto"/>
        <w:ind w:left="360"/>
        <w:rPr>
          <w:rFonts w:ascii="Calibri" w:eastAsia="Calibri" w:hAnsi="Calibri" w:cs="Calibri"/>
          <w:color w:val="000000" w:themeColor="text1"/>
          <w:sz w:val="24"/>
          <w:szCs w:val="24"/>
          <w:highlight w:val="yellow"/>
        </w:rPr>
      </w:pPr>
    </w:p>
    <w:p w14:paraId="45B9B691" w14:textId="3B7A6402" w:rsidR="00B41BBB" w:rsidRPr="00714EB0" w:rsidRDefault="00714EB0" w:rsidP="00A86FD0">
      <w:pPr>
        <w:pStyle w:val="ListParagraph"/>
        <w:numPr>
          <w:ilvl w:val="0"/>
          <w:numId w:val="4"/>
        </w:numPr>
        <w:spacing w:line="276" w:lineRule="auto"/>
        <w:rPr>
          <w:rFonts w:ascii="Calibri" w:eastAsia="Calibri" w:hAnsi="Calibri" w:cs="Calibri"/>
          <w:color w:val="000000" w:themeColor="text1"/>
          <w:sz w:val="24"/>
          <w:szCs w:val="24"/>
        </w:rPr>
      </w:pPr>
      <w:r w:rsidRPr="00714EB0">
        <w:rPr>
          <w:rFonts w:ascii="Calibri" w:eastAsia="Calibri" w:hAnsi="Calibri" w:cs="Calibri"/>
          <w:color w:val="000000" w:themeColor="text1"/>
          <w:sz w:val="24"/>
          <w:szCs w:val="24"/>
        </w:rPr>
        <w:t xml:space="preserve">The </w:t>
      </w:r>
      <w:r w:rsidR="00A86FD0" w:rsidRPr="00A86FD0">
        <w:rPr>
          <w:rFonts w:ascii="Calibri" w:eastAsia="Calibri" w:hAnsi="Calibri" w:cs="Calibri"/>
          <w:color w:val="000000" w:themeColor="text1"/>
          <w:sz w:val="24"/>
          <w:szCs w:val="24"/>
        </w:rPr>
        <w:t>UK government released its mini budget which has an impact</w:t>
      </w:r>
      <w:r w:rsidR="00FF0FA0">
        <w:rPr>
          <w:rFonts w:ascii="Calibri" w:eastAsia="Calibri" w:hAnsi="Calibri" w:cs="Calibri"/>
          <w:color w:val="000000" w:themeColor="text1"/>
          <w:sz w:val="24"/>
          <w:szCs w:val="24"/>
        </w:rPr>
        <w:t>,</w:t>
      </w:r>
      <w:r w:rsidR="00A86FD0" w:rsidRPr="00A86FD0">
        <w:rPr>
          <w:rFonts w:ascii="Calibri" w:eastAsia="Calibri" w:hAnsi="Calibri" w:cs="Calibri"/>
          <w:color w:val="000000" w:themeColor="text1"/>
          <w:sz w:val="24"/>
          <w:szCs w:val="24"/>
        </w:rPr>
        <w:t xml:space="preserve"> not only on this year</w:t>
      </w:r>
      <w:r w:rsidR="00FF0FA0">
        <w:rPr>
          <w:rFonts w:ascii="Calibri" w:eastAsia="Calibri" w:hAnsi="Calibri" w:cs="Calibri"/>
          <w:color w:val="000000" w:themeColor="text1"/>
          <w:sz w:val="24"/>
          <w:szCs w:val="24"/>
        </w:rPr>
        <w:t>’</w:t>
      </w:r>
      <w:r w:rsidR="00A86FD0" w:rsidRPr="00A86FD0">
        <w:rPr>
          <w:rFonts w:ascii="Calibri" w:eastAsia="Calibri" w:hAnsi="Calibri" w:cs="Calibri"/>
          <w:color w:val="000000" w:themeColor="text1"/>
          <w:sz w:val="24"/>
          <w:szCs w:val="24"/>
        </w:rPr>
        <w:t>s funding by reducing our commitments in employer national insurance payments</w:t>
      </w:r>
      <w:r w:rsidR="00FF0FA0">
        <w:rPr>
          <w:rFonts w:ascii="Calibri" w:eastAsia="Calibri" w:hAnsi="Calibri" w:cs="Calibri"/>
          <w:color w:val="000000" w:themeColor="text1"/>
          <w:sz w:val="24"/>
          <w:szCs w:val="24"/>
        </w:rPr>
        <w:t>, but also in</w:t>
      </w:r>
      <w:r w:rsidR="00A86FD0" w:rsidRPr="00A86FD0">
        <w:rPr>
          <w:rFonts w:ascii="Calibri" w:eastAsia="Calibri" w:hAnsi="Calibri" w:cs="Calibri"/>
          <w:color w:val="000000" w:themeColor="text1"/>
          <w:sz w:val="24"/>
          <w:szCs w:val="24"/>
        </w:rPr>
        <w:t xml:space="preserve"> to next year.  This is welcome given the emerging current and future pressures playing out in Scottish Government.  An Extended Leadership Team meeting in September </w:t>
      </w:r>
      <w:r w:rsidR="00FF0FA0">
        <w:rPr>
          <w:rFonts w:ascii="Calibri" w:eastAsia="Calibri" w:hAnsi="Calibri" w:cs="Calibri"/>
          <w:color w:val="000000" w:themeColor="text1"/>
          <w:sz w:val="24"/>
          <w:szCs w:val="24"/>
        </w:rPr>
        <w:t>focused on</w:t>
      </w:r>
      <w:r w:rsidR="00A86FD0" w:rsidRPr="00A86FD0">
        <w:rPr>
          <w:rFonts w:ascii="Calibri" w:eastAsia="Calibri" w:hAnsi="Calibri" w:cs="Calibri"/>
          <w:color w:val="000000" w:themeColor="text1"/>
          <w:sz w:val="24"/>
          <w:szCs w:val="24"/>
        </w:rPr>
        <w:t xml:space="preserve"> the need to prioritise for next year</w:t>
      </w:r>
      <w:r w:rsidR="00FF0FA0">
        <w:rPr>
          <w:rFonts w:ascii="Calibri" w:eastAsia="Calibri" w:hAnsi="Calibri" w:cs="Calibri"/>
          <w:color w:val="000000" w:themeColor="text1"/>
          <w:sz w:val="24"/>
          <w:szCs w:val="24"/>
        </w:rPr>
        <w:t>,</w:t>
      </w:r>
      <w:r w:rsidR="00A86FD0" w:rsidRPr="00A86FD0">
        <w:rPr>
          <w:rFonts w:ascii="Calibri" w:eastAsia="Calibri" w:hAnsi="Calibri" w:cs="Calibri"/>
          <w:color w:val="000000" w:themeColor="text1"/>
          <w:sz w:val="24"/>
          <w:szCs w:val="24"/>
        </w:rPr>
        <w:t xml:space="preserve"> to maximise</w:t>
      </w:r>
      <w:r w:rsidR="00FF0FA0">
        <w:rPr>
          <w:rFonts w:ascii="Calibri" w:eastAsia="Calibri" w:hAnsi="Calibri" w:cs="Calibri"/>
          <w:color w:val="000000" w:themeColor="text1"/>
          <w:sz w:val="24"/>
          <w:szCs w:val="24"/>
        </w:rPr>
        <w:t xml:space="preserve"> the benefits for nature and</w:t>
      </w:r>
      <w:r w:rsidR="00A86FD0" w:rsidRPr="00A86FD0">
        <w:rPr>
          <w:rFonts w:ascii="Calibri" w:eastAsia="Calibri" w:hAnsi="Calibri" w:cs="Calibri"/>
          <w:color w:val="000000" w:themeColor="text1"/>
          <w:sz w:val="24"/>
          <w:szCs w:val="24"/>
        </w:rPr>
        <w:t xml:space="preserve"> climate</w:t>
      </w:r>
      <w:r w:rsidR="00FF0FA0">
        <w:rPr>
          <w:rFonts w:ascii="Calibri" w:eastAsia="Calibri" w:hAnsi="Calibri" w:cs="Calibri"/>
          <w:color w:val="000000" w:themeColor="text1"/>
          <w:sz w:val="24"/>
          <w:szCs w:val="24"/>
        </w:rPr>
        <w:t>,</w:t>
      </w:r>
      <w:r w:rsidR="00A86FD0" w:rsidRPr="00A86FD0">
        <w:rPr>
          <w:rFonts w:ascii="Calibri" w:eastAsia="Calibri" w:hAnsi="Calibri" w:cs="Calibri"/>
          <w:color w:val="000000" w:themeColor="text1"/>
          <w:sz w:val="24"/>
          <w:szCs w:val="24"/>
        </w:rPr>
        <w:t xml:space="preserve"> whilst ensuring that we can continue to manage the volatility in our funding package.</w:t>
      </w:r>
    </w:p>
    <w:p w14:paraId="009DB418" w14:textId="77777777" w:rsidR="00B41BBB" w:rsidRPr="00D52779" w:rsidRDefault="00B41BBB" w:rsidP="00B41BBB">
      <w:pPr>
        <w:pStyle w:val="ListParagraph"/>
        <w:spacing w:line="276" w:lineRule="auto"/>
        <w:ind w:left="360"/>
        <w:rPr>
          <w:rFonts w:ascii="Calibri" w:eastAsia="Calibri" w:hAnsi="Calibri" w:cs="Calibri"/>
          <w:color w:val="000000" w:themeColor="text1"/>
          <w:sz w:val="24"/>
          <w:szCs w:val="24"/>
          <w:highlight w:val="yellow"/>
        </w:rPr>
      </w:pPr>
    </w:p>
    <w:p w14:paraId="3D12A0E9" w14:textId="09970388" w:rsidR="0091136A" w:rsidRPr="00714EB0" w:rsidRDefault="007C3D2E" w:rsidP="007C3D2E">
      <w:pPr>
        <w:pStyle w:val="ListParagraph"/>
        <w:numPr>
          <w:ilvl w:val="0"/>
          <w:numId w:val="4"/>
        </w:numPr>
        <w:spacing w:line="276" w:lineRule="auto"/>
        <w:rPr>
          <w:rFonts w:ascii="Calibri" w:eastAsia="Calibri" w:hAnsi="Calibri" w:cs="Calibri"/>
          <w:color w:val="000000" w:themeColor="text1"/>
          <w:sz w:val="24"/>
          <w:szCs w:val="24"/>
        </w:rPr>
      </w:pPr>
      <w:r w:rsidRPr="00714EB0">
        <w:rPr>
          <w:rFonts w:ascii="Calibri" w:eastAsia="Calibri" w:hAnsi="Calibri" w:cs="Calibri"/>
          <w:color w:val="000000" w:themeColor="text1"/>
          <w:sz w:val="24"/>
          <w:szCs w:val="24"/>
        </w:rPr>
        <w:t>The Organisa</w:t>
      </w:r>
      <w:r w:rsidR="001975DA" w:rsidRPr="00714EB0">
        <w:rPr>
          <w:rFonts w:ascii="Calibri" w:eastAsia="Calibri" w:hAnsi="Calibri" w:cs="Calibri"/>
          <w:color w:val="000000" w:themeColor="text1"/>
          <w:sz w:val="24"/>
          <w:szCs w:val="24"/>
        </w:rPr>
        <w:t>tional Development p</w:t>
      </w:r>
      <w:r w:rsidRPr="00714EB0">
        <w:rPr>
          <w:rFonts w:ascii="Calibri" w:eastAsia="Calibri" w:hAnsi="Calibri" w:cs="Calibri"/>
          <w:color w:val="000000" w:themeColor="text1"/>
          <w:sz w:val="24"/>
          <w:szCs w:val="24"/>
        </w:rPr>
        <w:t xml:space="preserve">rogramme continues to review how to evolve the shape of the organisation to set us up for successful delivery of our corporate plan ambitions, with </w:t>
      </w:r>
      <w:r w:rsidR="00FF0FA0">
        <w:rPr>
          <w:rFonts w:ascii="Calibri" w:eastAsia="Calibri" w:hAnsi="Calibri" w:cs="Calibri"/>
          <w:color w:val="000000" w:themeColor="text1"/>
          <w:sz w:val="24"/>
          <w:szCs w:val="24"/>
        </w:rPr>
        <w:t xml:space="preserve">a focus on </w:t>
      </w:r>
      <w:r w:rsidRPr="00714EB0">
        <w:rPr>
          <w:rFonts w:ascii="Calibri" w:eastAsia="Calibri" w:hAnsi="Calibri" w:cs="Calibri"/>
          <w:color w:val="000000" w:themeColor="text1"/>
          <w:sz w:val="24"/>
          <w:szCs w:val="24"/>
        </w:rPr>
        <w:t>more agile and flexible ways to plan and allocate our resources across the organisation.  S</w:t>
      </w:r>
      <w:r w:rsidR="00B173B7">
        <w:rPr>
          <w:rFonts w:ascii="Calibri" w:eastAsia="Calibri" w:hAnsi="Calibri" w:cs="Calibri"/>
          <w:color w:val="000000" w:themeColor="text1"/>
          <w:sz w:val="24"/>
          <w:szCs w:val="24"/>
        </w:rPr>
        <w:t xml:space="preserve">enior </w:t>
      </w:r>
      <w:r w:rsidRPr="00714EB0">
        <w:rPr>
          <w:rFonts w:ascii="Calibri" w:eastAsia="Calibri" w:hAnsi="Calibri" w:cs="Calibri"/>
          <w:color w:val="000000" w:themeColor="text1"/>
          <w:sz w:val="24"/>
          <w:szCs w:val="24"/>
        </w:rPr>
        <w:t>L</w:t>
      </w:r>
      <w:r w:rsidR="00B173B7">
        <w:rPr>
          <w:rFonts w:ascii="Calibri" w:eastAsia="Calibri" w:hAnsi="Calibri" w:cs="Calibri"/>
          <w:color w:val="000000" w:themeColor="text1"/>
          <w:sz w:val="24"/>
          <w:szCs w:val="24"/>
        </w:rPr>
        <w:t xml:space="preserve">eadership </w:t>
      </w:r>
      <w:r w:rsidRPr="00714EB0">
        <w:rPr>
          <w:rFonts w:ascii="Calibri" w:eastAsia="Calibri" w:hAnsi="Calibri" w:cs="Calibri"/>
          <w:color w:val="000000" w:themeColor="text1"/>
          <w:sz w:val="24"/>
          <w:szCs w:val="24"/>
        </w:rPr>
        <w:t>T</w:t>
      </w:r>
      <w:r w:rsidR="00B173B7">
        <w:rPr>
          <w:rFonts w:ascii="Calibri" w:eastAsia="Calibri" w:hAnsi="Calibri" w:cs="Calibri"/>
          <w:color w:val="000000" w:themeColor="text1"/>
          <w:sz w:val="24"/>
          <w:szCs w:val="24"/>
        </w:rPr>
        <w:t>eam (SLT)</w:t>
      </w:r>
      <w:r w:rsidRPr="00714EB0">
        <w:rPr>
          <w:rFonts w:ascii="Calibri" w:eastAsia="Calibri" w:hAnsi="Calibri" w:cs="Calibri"/>
          <w:color w:val="000000" w:themeColor="text1"/>
          <w:sz w:val="24"/>
          <w:szCs w:val="24"/>
        </w:rPr>
        <w:t xml:space="preserve"> agree that we need an organisational design that is built around a robust focus on delivery, centred on the Delivery Plans, and ensuring our priorities are clearly communicated and collectively understood.  They are also committed to ensuring strong support for learning &amp; development to underpin our knowledge, expertise &amp; skills for the future.</w:t>
      </w:r>
    </w:p>
    <w:p w14:paraId="0EB3DA39" w14:textId="77777777" w:rsidR="00B41BBB" w:rsidRPr="007C3D2E" w:rsidRDefault="00B41BBB" w:rsidP="00B41BBB">
      <w:pPr>
        <w:pStyle w:val="ListParagraph"/>
        <w:spacing w:line="276" w:lineRule="auto"/>
        <w:ind w:left="360"/>
        <w:rPr>
          <w:rFonts w:ascii="Calibri" w:eastAsia="Calibri" w:hAnsi="Calibri" w:cs="Calibri"/>
          <w:color w:val="000000" w:themeColor="text1"/>
          <w:sz w:val="24"/>
          <w:szCs w:val="24"/>
        </w:rPr>
      </w:pPr>
    </w:p>
    <w:p w14:paraId="24C777E7" w14:textId="77777777" w:rsidR="00B41BBB" w:rsidRDefault="006001B3" w:rsidP="007C3D2E">
      <w:pPr>
        <w:keepNext/>
        <w:keepLines/>
        <w:numPr>
          <w:ilvl w:val="0"/>
          <w:numId w:val="4"/>
        </w:numPr>
        <w:ind w:left="357" w:hanging="357"/>
        <w:contextualSpacing/>
        <w:rPr>
          <w:rFonts w:ascii="Calibri" w:eastAsia="Times New Roman" w:hAnsi="Calibri" w:cs="Calibri"/>
          <w:sz w:val="24"/>
          <w:szCs w:val="24"/>
        </w:rPr>
      </w:pPr>
      <w:r w:rsidRPr="0091136A">
        <w:rPr>
          <w:rFonts w:ascii="Calibri" w:eastAsia="Calibri" w:hAnsi="Calibri" w:cs="Calibri"/>
          <w:sz w:val="24"/>
          <w:szCs w:val="24"/>
        </w:rPr>
        <w:t>The table below reflects the Corporate Plan objectives and risks, finance and people metrics.</w:t>
      </w:r>
      <w:r w:rsidRPr="0091136A">
        <w:rPr>
          <w:rFonts w:ascii="Calibri" w:eastAsia="Times New Roman" w:hAnsi="Calibri" w:cs="Calibri"/>
          <w:sz w:val="24"/>
          <w:szCs w:val="24"/>
        </w:rPr>
        <w:t xml:space="preserve">  </w:t>
      </w:r>
    </w:p>
    <w:p w14:paraId="134F9F6E" w14:textId="77777777" w:rsidR="00B41BBB" w:rsidRDefault="00B41BBB">
      <w:pPr>
        <w:spacing w:after="160" w:line="259" w:lineRule="auto"/>
        <w:rPr>
          <w:rFonts w:ascii="Calibri" w:eastAsia="Times New Roman" w:hAnsi="Calibri" w:cs="Calibri"/>
          <w:sz w:val="24"/>
          <w:szCs w:val="24"/>
        </w:rPr>
      </w:pPr>
      <w:r>
        <w:rPr>
          <w:rFonts w:ascii="Calibri" w:eastAsia="Times New Roman" w:hAnsi="Calibri" w:cs="Calibri"/>
          <w:sz w:val="24"/>
          <w:szCs w:val="24"/>
        </w:rPr>
        <w:br w:type="page"/>
      </w:r>
    </w:p>
    <w:p w14:paraId="70A3EF83" w14:textId="77777777" w:rsidR="007C3D2E" w:rsidRPr="007C3D2E" w:rsidRDefault="007C3D2E" w:rsidP="00B41BBB">
      <w:pPr>
        <w:keepNext/>
        <w:keepLines/>
        <w:contextualSpacing/>
        <w:rPr>
          <w:rFonts w:ascii="Calibri" w:eastAsia="Times New Roman" w:hAnsi="Calibri" w:cs="Calibri"/>
          <w:sz w:val="24"/>
          <w:szCs w:val="24"/>
        </w:rPr>
      </w:pPr>
    </w:p>
    <w:p w14:paraId="5C286967" w14:textId="77777777" w:rsidR="007C3D2E" w:rsidRPr="007C3D2E" w:rsidRDefault="007C3D2E" w:rsidP="007C3D2E">
      <w:pPr>
        <w:keepNext/>
        <w:keepLines/>
        <w:ind w:left="357"/>
        <w:contextualSpacing/>
        <w:rPr>
          <w:rFonts w:ascii="Calibri" w:eastAsia="Times New Roman" w:hAnsi="Calibri" w:cs="Calibri"/>
          <w:sz w:val="24"/>
          <w:szCs w:val="24"/>
        </w:rPr>
      </w:pPr>
    </w:p>
    <w:tbl>
      <w:tblPr>
        <w:tblStyle w:val="GridTable4-Accent1"/>
        <w:tblW w:w="9351" w:type="dxa"/>
        <w:jc w:val="center"/>
        <w:tblLook w:val="04A0" w:firstRow="1" w:lastRow="0" w:firstColumn="1" w:lastColumn="0" w:noHBand="0" w:noVBand="1"/>
        <w:tblCaption w:val="Priority and risk performance"/>
        <w:tblDescription w:val="Summary of performance on the priorities and risks"/>
      </w:tblPr>
      <w:tblGrid>
        <w:gridCol w:w="2824"/>
        <w:gridCol w:w="2136"/>
        <w:gridCol w:w="2443"/>
        <w:gridCol w:w="1948"/>
      </w:tblGrid>
      <w:tr w:rsidR="006001B3" w:rsidRPr="00B6615A" w14:paraId="5B784687" w14:textId="77777777" w:rsidTr="00644AA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824" w:type="dxa"/>
          </w:tcPr>
          <w:p w14:paraId="15607527" w14:textId="77777777" w:rsidR="006001B3" w:rsidRPr="00B6615A" w:rsidRDefault="006001B3" w:rsidP="00644AA9">
            <w:pPr>
              <w:spacing w:line="276" w:lineRule="auto"/>
              <w:jc w:val="center"/>
              <w:rPr>
                <w:rFonts w:ascii="Calibri" w:hAnsi="Calibri" w:cs="Calibri"/>
                <w:sz w:val="24"/>
                <w:szCs w:val="24"/>
              </w:rPr>
            </w:pPr>
            <w:r w:rsidRPr="00B6615A">
              <w:rPr>
                <w:rFonts w:ascii="Calibri" w:hAnsi="Calibri" w:cs="Calibri"/>
                <w:color w:val="000000" w:themeColor="text1"/>
                <w:sz w:val="24"/>
                <w:szCs w:val="24"/>
              </w:rPr>
              <w:t>PRIORITY PERFORMANCE</w:t>
            </w:r>
          </w:p>
        </w:tc>
        <w:tc>
          <w:tcPr>
            <w:tcW w:w="2136" w:type="dxa"/>
          </w:tcPr>
          <w:p w14:paraId="307B1FC0" w14:textId="77777777" w:rsidR="006001B3" w:rsidRPr="00B6615A" w:rsidRDefault="006001B3" w:rsidP="00644AA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B6615A">
              <w:rPr>
                <w:rFonts w:ascii="Calibri" w:hAnsi="Calibri" w:cs="Calibri"/>
                <w:color w:val="000000" w:themeColor="text1"/>
                <w:sz w:val="24"/>
                <w:szCs w:val="24"/>
              </w:rPr>
              <w:t>NUMBER</w:t>
            </w:r>
          </w:p>
        </w:tc>
        <w:tc>
          <w:tcPr>
            <w:tcW w:w="2443" w:type="dxa"/>
          </w:tcPr>
          <w:p w14:paraId="7E7DE6A2" w14:textId="77777777" w:rsidR="006001B3" w:rsidRPr="00B6615A" w:rsidRDefault="006001B3" w:rsidP="00644AA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B6615A">
              <w:rPr>
                <w:rFonts w:ascii="Calibri" w:hAnsi="Calibri" w:cs="Calibri"/>
                <w:color w:val="000000" w:themeColor="text1"/>
                <w:sz w:val="24"/>
                <w:szCs w:val="24"/>
              </w:rPr>
              <w:t>CORPORATE RISK</w:t>
            </w:r>
          </w:p>
        </w:tc>
        <w:tc>
          <w:tcPr>
            <w:tcW w:w="1948" w:type="dxa"/>
          </w:tcPr>
          <w:p w14:paraId="3F05C58B" w14:textId="77777777" w:rsidR="006001B3" w:rsidRPr="00B6615A" w:rsidRDefault="006001B3" w:rsidP="00644AA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B6615A">
              <w:rPr>
                <w:rFonts w:ascii="Calibri" w:hAnsi="Calibri" w:cs="Calibri"/>
                <w:color w:val="000000" w:themeColor="text1"/>
                <w:sz w:val="24"/>
                <w:szCs w:val="24"/>
              </w:rPr>
              <w:t>NUMBER</w:t>
            </w:r>
          </w:p>
        </w:tc>
      </w:tr>
      <w:tr w:rsidR="006001B3" w:rsidRPr="00B6615A" w14:paraId="62FED6A3" w14:textId="77777777" w:rsidTr="00644A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4" w:type="dxa"/>
          </w:tcPr>
          <w:p w14:paraId="30368B80" w14:textId="77777777" w:rsidR="006001B3" w:rsidRPr="00B6615A" w:rsidRDefault="006001B3" w:rsidP="00644AA9">
            <w:pPr>
              <w:spacing w:line="276" w:lineRule="auto"/>
              <w:jc w:val="center"/>
              <w:rPr>
                <w:rFonts w:ascii="Calibri" w:hAnsi="Calibri" w:cs="Calibri"/>
                <w:sz w:val="24"/>
                <w:szCs w:val="24"/>
              </w:rPr>
            </w:pPr>
            <w:r>
              <w:rPr>
                <w:rFonts w:ascii="Calibri" w:hAnsi="Calibri" w:cs="Calibri"/>
                <w:sz w:val="24"/>
                <w:szCs w:val="24"/>
              </w:rPr>
              <w:t>Objectives</w:t>
            </w:r>
          </w:p>
        </w:tc>
        <w:tc>
          <w:tcPr>
            <w:tcW w:w="2136" w:type="dxa"/>
          </w:tcPr>
          <w:p w14:paraId="37927AE7" w14:textId="77777777" w:rsidR="006001B3" w:rsidRPr="00B6615A" w:rsidRDefault="006001B3" w:rsidP="00644AA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Pr>
                <w:rFonts w:ascii="Calibri" w:hAnsi="Calibri" w:cs="Calibri"/>
                <w:b/>
                <w:sz w:val="24"/>
                <w:szCs w:val="24"/>
              </w:rPr>
              <w:t>15</w:t>
            </w:r>
          </w:p>
        </w:tc>
        <w:tc>
          <w:tcPr>
            <w:tcW w:w="2443" w:type="dxa"/>
          </w:tcPr>
          <w:p w14:paraId="0981BBC0" w14:textId="77777777" w:rsidR="006001B3" w:rsidRPr="00B6615A" w:rsidRDefault="006001B3" w:rsidP="00644AA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sidRPr="00B6615A">
              <w:rPr>
                <w:rFonts w:ascii="Calibri" w:hAnsi="Calibri" w:cs="Calibri"/>
                <w:b/>
                <w:sz w:val="24"/>
                <w:szCs w:val="24"/>
              </w:rPr>
              <w:t>Corporate Risks</w:t>
            </w:r>
          </w:p>
        </w:tc>
        <w:tc>
          <w:tcPr>
            <w:tcW w:w="1948" w:type="dxa"/>
          </w:tcPr>
          <w:p w14:paraId="510C6155" w14:textId="0B31C019" w:rsidR="006001B3" w:rsidRPr="00B6615A" w:rsidRDefault="006001B3" w:rsidP="00C57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Pr>
                <w:rFonts w:ascii="Calibri" w:hAnsi="Calibri" w:cs="Calibri"/>
                <w:b/>
                <w:sz w:val="24"/>
                <w:szCs w:val="24"/>
              </w:rPr>
              <w:t>1</w:t>
            </w:r>
            <w:r w:rsidR="002B0C5D">
              <w:rPr>
                <w:rFonts w:ascii="Calibri" w:hAnsi="Calibri" w:cs="Calibri"/>
                <w:b/>
                <w:sz w:val="24"/>
                <w:szCs w:val="24"/>
              </w:rPr>
              <w:t>3</w:t>
            </w:r>
          </w:p>
        </w:tc>
      </w:tr>
      <w:tr w:rsidR="006001B3" w:rsidRPr="00B6615A" w14:paraId="4D6547D9" w14:textId="77777777" w:rsidTr="00644AA9">
        <w:trPr>
          <w:jc w:val="center"/>
        </w:trPr>
        <w:tc>
          <w:tcPr>
            <w:cnfStyle w:val="001000000000" w:firstRow="0" w:lastRow="0" w:firstColumn="1" w:lastColumn="0" w:oddVBand="0" w:evenVBand="0" w:oddHBand="0" w:evenHBand="0" w:firstRowFirstColumn="0" w:firstRowLastColumn="0" w:lastRowFirstColumn="0" w:lastRowLastColumn="0"/>
            <w:tcW w:w="2824" w:type="dxa"/>
          </w:tcPr>
          <w:p w14:paraId="657D2678" w14:textId="77777777" w:rsidR="006001B3" w:rsidRPr="00B6615A" w:rsidRDefault="006001B3" w:rsidP="00644AA9">
            <w:pPr>
              <w:spacing w:line="276" w:lineRule="auto"/>
              <w:jc w:val="center"/>
              <w:rPr>
                <w:rFonts w:ascii="Calibri" w:hAnsi="Calibri" w:cs="Calibri"/>
                <w:b w:val="0"/>
                <w:sz w:val="24"/>
                <w:szCs w:val="24"/>
              </w:rPr>
            </w:pPr>
            <w:r w:rsidRPr="00B6615A">
              <w:rPr>
                <w:rFonts w:ascii="Calibri" w:hAnsi="Calibri" w:cs="Calibri"/>
                <w:b w:val="0"/>
                <w:color w:val="00B050"/>
                <w:sz w:val="24"/>
                <w:szCs w:val="24"/>
              </w:rPr>
              <w:t>On Track</w:t>
            </w:r>
          </w:p>
        </w:tc>
        <w:tc>
          <w:tcPr>
            <w:tcW w:w="2136" w:type="dxa"/>
          </w:tcPr>
          <w:p w14:paraId="0D39C215" w14:textId="1F9B7B09" w:rsidR="006001B3" w:rsidRPr="00B6615A" w:rsidRDefault="00123F33" w:rsidP="00AD789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14</w:t>
            </w:r>
          </w:p>
        </w:tc>
        <w:tc>
          <w:tcPr>
            <w:tcW w:w="2443" w:type="dxa"/>
          </w:tcPr>
          <w:p w14:paraId="7BD75619" w14:textId="77777777" w:rsidR="006001B3" w:rsidRPr="00B6615A" w:rsidRDefault="006001B3" w:rsidP="00644AA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B6615A">
              <w:rPr>
                <w:rFonts w:ascii="Calibri" w:hAnsi="Calibri" w:cs="Calibri"/>
                <w:sz w:val="24"/>
                <w:szCs w:val="24"/>
              </w:rPr>
              <w:t>Increased Score</w:t>
            </w:r>
          </w:p>
        </w:tc>
        <w:tc>
          <w:tcPr>
            <w:tcW w:w="1948" w:type="dxa"/>
          </w:tcPr>
          <w:p w14:paraId="0F0EFF50" w14:textId="7815EA89" w:rsidR="006001B3" w:rsidRPr="00B6615A" w:rsidRDefault="00A86FD0" w:rsidP="00644AA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1</w:t>
            </w:r>
          </w:p>
        </w:tc>
      </w:tr>
      <w:tr w:rsidR="006001B3" w:rsidRPr="00B6615A" w14:paraId="20FEDE5C" w14:textId="77777777" w:rsidTr="00644A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4" w:type="dxa"/>
          </w:tcPr>
          <w:p w14:paraId="41823AFB" w14:textId="54C1D19C" w:rsidR="006001B3" w:rsidRPr="00B6615A" w:rsidRDefault="00123F33" w:rsidP="00644AA9">
            <w:pPr>
              <w:spacing w:line="276" w:lineRule="auto"/>
              <w:jc w:val="center"/>
              <w:rPr>
                <w:rFonts w:ascii="Calibri" w:hAnsi="Calibri" w:cs="Calibri"/>
                <w:b w:val="0"/>
                <w:sz w:val="24"/>
                <w:szCs w:val="24"/>
              </w:rPr>
            </w:pPr>
            <w:r w:rsidRPr="00123F33">
              <w:rPr>
                <w:rFonts w:ascii="Calibri" w:hAnsi="Calibri" w:cs="Calibri"/>
                <w:b w:val="0"/>
                <w:color w:val="FF0000"/>
                <w:sz w:val="24"/>
                <w:szCs w:val="24"/>
              </w:rPr>
              <w:t xml:space="preserve">Major </w:t>
            </w:r>
            <w:r w:rsidR="00147858" w:rsidRPr="00123F33">
              <w:rPr>
                <w:rFonts w:ascii="Calibri" w:hAnsi="Calibri" w:cs="Calibri"/>
                <w:b w:val="0"/>
                <w:color w:val="FF0000"/>
                <w:sz w:val="24"/>
                <w:szCs w:val="24"/>
              </w:rPr>
              <w:t>Slippage</w:t>
            </w:r>
          </w:p>
        </w:tc>
        <w:tc>
          <w:tcPr>
            <w:tcW w:w="2136" w:type="dxa"/>
          </w:tcPr>
          <w:p w14:paraId="3C1D7F48" w14:textId="5480420E" w:rsidR="006001B3" w:rsidRPr="00B6615A" w:rsidRDefault="00123F33" w:rsidP="00644AA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Pr>
                <w:rFonts w:ascii="Calibri" w:hAnsi="Calibri" w:cs="Calibri"/>
                <w:sz w:val="24"/>
                <w:szCs w:val="24"/>
              </w:rPr>
              <w:t>1</w:t>
            </w:r>
          </w:p>
        </w:tc>
        <w:tc>
          <w:tcPr>
            <w:tcW w:w="2443" w:type="dxa"/>
          </w:tcPr>
          <w:p w14:paraId="52A8CDAA" w14:textId="77777777" w:rsidR="006001B3" w:rsidRPr="00B6615A" w:rsidRDefault="006001B3" w:rsidP="00644AA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B6615A">
              <w:rPr>
                <w:rFonts w:ascii="Calibri" w:hAnsi="Calibri" w:cs="Calibri"/>
                <w:sz w:val="24"/>
                <w:szCs w:val="24"/>
              </w:rPr>
              <w:t>Decreased Score</w:t>
            </w:r>
          </w:p>
        </w:tc>
        <w:tc>
          <w:tcPr>
            <w:tcW w:w="1948" w:type="dxa"/>
          </w:tcPr>
          <w:p w14:paraId="30E6CACD" w14:textId="179D816A" w:rsidR="006001B3" w:rsidRPr="00B6615A" w:rsidRDefault="00A86FD0" w:rsidP="00644AA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Pr>
                <w:rFonts w:ascii="Calibri" w:hAnsi="Calibri" w:cs="Calibri"/>
                <w:sz w:val="24"/>
                <w:szCs w:val="24"/>
              </w:rPr>
              <w:t>0</w:t>
            </w:r>
          </w:p>
        </w:tc>
      </w:tr>
    </w:tbl>
    <w:p w14:paraId="6CA538A0" w14:textId="77777777" w:rsidR="006001B3" w:rsidRPr="007C3D2E" w:rsidRDefault="006001B3" w:rsidP="007C3D2E">
      <w:pPr>
        <w:rPr>
          <w:rFonts w:ascii="Calibri" w:eastAsia="Calibri" w:hAnsi="Calibri" w:cs="Calibri"/>
          <w:sz w:val="24"/>
          <w:szCs w:val="24"/>
        </w:rPr>
      </w:pPr>
    </w:p>
    <w:tbl>
      <w:tblPr>
        <w:tblStyle w:val="GridTable4-Accent1"/>
        <w:tblW w:w="9351" w:type="dxa"/>
        <w:jc w:val="center"/>
        <w:tblLook w:val="04A0" w:firstRow="1" w:lastRow="0" w:firstColumn="1" w:lastColumn="0" w:noHBand="0" w:noVBand="1"/>
        <w:tblCaption w:val="Financial and people metrics"/>
        <w:tblDescription w:val="Summary of performance on the financial and people metrics"/>
      </w:tblPr>
      <w:tblGrid>
        <w:gridCol w:w="2824"/>
        <w:gridCol w:w="2136"/>
        <w:gridCol w:w="2443"/>
        <w:gridCol w:w="1948"/>
      </w:tblGrid>
      <w:tr w:rsidR="006001B3" w:rsidRPr="00B6615A" w14:paraId="5A0A0244" w14:textId="77777777" w:rsidTr="00644AA9">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824" w:type="dxa"/>
          </w:tcPr>
          <w:p w14:paraId="197A3DBA" w14:textId="77777777" w:rsidR="006001B3" w:rsidRPr="00B6615A" w:rsidRDefault="006001B3" w:rsidP="00644AA9">
            <w:pPr>
              <w:spacing w:line="276" w:lineRule="auto"/>
              <w:jc w:val="center"/>
              <w:rPr>
                <w:rFonts w:ascii="Calibri" w:hAnsi="Calibri" w:cs="Calibri"/>
                <w:color w:val="auto"/>
                <w:sz w:val="24"/>
                <w:szCs w:val="24"/>
              </w:rPr>
            </w:pPr>
            <w:r w:rsidRPr="00B6615A">
              <w:rPr>
                <w:rFonts w:ascii="Calibri" w:hAnsi="Calibri" w:cs="Calibri"/>
                <w:color w:val="auto"/>
                <w:sz w:val="24"/>
                <w:szCs w:val="24"/>
              </w:rPr>
              <w:t>FINANCIAL METRICS</w:t>
            </w:r>
          </w:p>
        </w:tc>
        <w:tc>
          <w:tcPr>
            <w:tcW w:w="2136" w:type="dxa"/>
          </w:tcPr>
          <w:p w14:paraId="019EB5C2" w14:textId="77777777" w:rsidR="006001B3" w:rsidRPr="00B6615A" w:rsidRDefault="006001B3" w:rsidP="00644AA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4"/>
                <w:szCs w:val="24"/>
              </w:rPr>
            </w:pPr>
            <w:r w:rsidRPr="00B6615A">
              <w:rPr>
                <w:rFonts w:ascii="Calibri" w:hAnsi="Calibri" w:cs="Calibri"/>
                <w:color w:val="auto"/>
                <w:sz w:val="24"/>
                <w:szCs w:val="24"/>
              </w:rPr>
              <w:t>STATUS</w:t>
            </w:r>
          </w:p>
        </w:tc>
        <w:tc>
          <w:tcPr>
            <w:tcW w:w="2443" w:type="dxa"/>
          </w:tcPr>
          <w:p w14:paraId="40AF74E5" w14:textId="77777777" w:rsidR="006001B3" w:rsidRPr="00B6615A" w:rsidRDefault="006001B3" w:rsidP="00644AA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4"/>
                <w:szCs w:val="24"/>
              </w:rPr>
            </w:pPr>
            <w:r w:rsidRPr="00B6615A">
              <w:rPr>
                <w:rFonts w:ascii="Calibri" w:hAnsi="Calibri" w:cs="Calibri"/>
                <w:color w:val="auto"/>
                <w:sz w:val="24"/>
                <w:szCs w:val="24"/>
              </w:rPr>
              <w:t>PEOPLE METRICS</w:t>
            </w:r>
          </w:p>
        </w:tc>
        <w:tc>
          <w:tcPr>
            <w:tcW w:w="1948" w:type="dxa"/>
          </w:tcPr>
          <w:p w14:paraId="26244F7C" w14:textId="77777777" w:rsidR="006001B3" w:rsidRPr="00B6615A" w:rsidRDefault="006001B3" w:rsidP="00644AA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4"/>
                <w:szCs w:val="24"/>
              </w:rPr>
            </w:pPr>
            <w:r w:rsidRPr="00B6615A">
              <w:rPr>
                <w:rFonts w:ascii="Calibri" w:hAnsi="Calibri" w:cs="Calibri"/>
                <w:color w:val="auto"/>
                <w:sz w:val="24"/>
                <w:szCs w:val="24"/>
              </w:rPr>
              <w:t>STATUS</w:t>
            </w:r>
          </w:p>
        </w:tc>
      </w:tr>
      <w:tr w:rsidR="006001B3" w:rsidRPr="00B6615A" w14:paraId="7C5D7D61" w14:textId="77777777" w:rsidTr="00644AA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824" w:type="dxa"/>
          </w:tcPr>
          <w:p w14:paraId="4D05C9B6" w14:textId="54ACEA18" w:rsidR="006001B3" w:rsidRPr="00B6615A" w:rsidRDefault="00BF73DA" w:rsidP="00644AA9">
            <w:pPr>
              <w:spacing w:line="276" w:lineRule="auto"/>
              <w:jc w:val="center"/>
              <w:rPr>
                <w:rFonts w:ascii="Calibri" w:hAnsi="Calibri" w:cs="Calibri"/>
                <w:b w:val="0"/>
                <w:sz w:val="24"/>
                <w:szCs w:val="24"/>
              </w:rPr>
            </w:pPr>
            <w:r>
              <w:rPr>
                <w:rFonts w:ascii="Calibri" w:hAnsi="Calibri" w:cs="Calibri"/>
                <w:b w:val="0"/>
                <w:sz w:val="24"/>
                <w:szCs w:val="24"/>
              </w:rPr>
              <w:t>Resource</w:t>
            </w:r>
          </w:p>
        </w:tc>
        <w:tc>
          <w:tcPr>
            <w:tcW w:w="2136" w:type="dxa"/>
          </w:tcPr>
          <w:p w14:paraId="7218313E" w14:textId="7B96BE2B" w:rsidR="006001B3" w:rsidRPr="00ED450A" w:rsidRDefault="00BF73DA" w:rsidP="00644AA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B050"/>
                <w:sz w:val="24"/>
                <w:szCs w:val="24"/>
                <w:lang w:eastAsia="en-GB"/>
              </w:rPr>
            </w:pPr>
            <w:r>
              <w:rPr>
                <w:rFonts w:ascii="Calibri" w:eastAsia="Times New Roman" w:hAnsi="Calibri" w:cs="Calibri"/>
                <w:color w:val="00B050"/>
                <w:sz w:val="24"/>
                <w:szCs w:val="24"/>
                <w:lang w:eastAsia="en-GB"/>
              </w:rPr>
              <w:t>On Track</w:t>
            </w:r>
          </w:p>
        </w:tc>
        <w:tc>
          <w:tcPr>
            <w:tcW w:w="2443" w:type="dxa"/>
          </w:tcPr>
          <w:p w14:paraId="25260778" w14:textId="77777777" w:rsidR="006001B3" w:rsidRPr="00B6615A" w:rsidRDefault="006001B3" w:rsidP="00644AA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B6615A">
              <w:rPr>
                <w:rFonts w:ascii="Calibri" w:hAnsi="Calibri" w:cs="Calibri"/>
                <w:sz w:val="24"/>
                <w:szCs w:val="24"/>
              </w:rPr>
              <w:t>Wellbeing</w:t>
            </w:r>
          </w:p>
        </w:tc>
        <w:tc>
          <w:tcPr>
            <w:tcW w:w="1948" w:type="dxa"/>
          </w:tcPr>
          <w:p w14:paraId="3EF94875" w14:textId="77777777" w:rsidR="006001B3" w:rsidRPr="00B6615A" w:rsidRDefault="00301619" w:rsidP="00644AA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B050"/>
                <w:sz w:val="24"/>
                <w:szCs w:val="24"/>
              </w:rPr>
            </w:pPr>
            <w:r>
              <w:rPr>
                <w:rFonts w:ascii="Calibri" w:hAnsi="Calibri" w:cs="Calibri"/>
                <w:color w:val="00B050"/>
                <w:sz w:val="24"/>
                <w:szCs w:val="24"/>
              </w:rPr>
              <w:t>On Track</w:t>
            </w:r>
          </w:p>
        </w:tc>
      </w:tr>
      <w:tr w:rsidR="006001B3" w:rsidRPr="00B6615A" w14:paraId="278EC1DD" w14:textId="77777777" w:rsidTr="00644AA9">
        <w:trPr>
          <w:cantSplit/>
          <w:jc w:val="center"/>
        </w:trPr>
        <w:tc>
          <w:tcPr>
            <w:cnfStyle w:val="001000000000" w:firstRow="0" w:lastRow="0" w:firstColumn="1" w:lastColumn="0" w:oddVBand="0" w:evenVBand="0" w:oddHBand="0" w:evenHBand="0" w:firstRowFirstColumn="0" w:firstRowLastColumn="0" w:lastRowFirstColumn="0" w:lastRowLastColumn="0"/>
            <w:tcW w:w="2824" w:type="dxa"/>
          </w:tcPr>
          <w:p w14:paraId="299FDA04" w14:textId="77777777" w:rsidR="006001B3" w:rsidRPr="00B6615A" w:rsidRDefault="006001B3" w:rsidP="00644AA9">
            <w:pPr>
              <w:spacing w:line="276" w:lineRule="auto"/>
              <w:jc w:val="center"/>
              <w:rPr>
                <w:rFonts w:ascii="Calibri" w:hAnsi="Calibri" w:cs="Calibri"/>
                <w:b w:val="0"/>
                <w:sz w:val="24"/>
                <w:szCs w:val="24"/>
              </w:rPr>
            </w:pPr>
            <w:r w:rsidRPr="00B6615A">
              <w:rPr>
                <w:rFonts w:ascii="Calibri" w:hAnsi="Calibri" w:cs="Calibri"/>
                <w:b w:val="0"/>
                <w:sz w:val="24"/>
                <w:szCs w:val="24"/>
              </w:rPr>
              <w:t>Project Allocation</w:t>
            </w:r>
          </w:p>
        </w:tc>
        <w:tc>
          <w:tcPr>
            <w:tcW w:w="2136" w:type="dxa"/>
          </w:tcPr>
          <w:p w14:paraId="747B94F4" w14:textId="77739728" w:rsidR="006001B3" w:rsidRPr="002A1FFB" w:rsidRDefault="00BF73DA" w:rsidP="00644AA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F79646" w:themeColor="accent6"/>
                <w:kern w:val="24"/>
                <w:sz w:val="24"/>
                <w:szCs w:val="24"/>
                <w:lang w:eastAsia="en-GB"/>
              </w:rPr>
            </w:pPr>
            <w:r>
              <w:rPr>
                <w:rFonts w:ascii="Calibri" w:eastAsia="Times New Roman" w:hAnsi="Calibri" w:cs="Calibri"/>
                <w:bCs/>
                <w:color w:val="F79646" w:themeColor="accent6"/>
                <w:kern w:val="24"/>
                <w:sz w:val="24"/>
                <w:szCs w:val="24"/>
                <w:lang w:eastAsia="en-GB"/>
              </w:rPr>
              <w:t>Minor Slippage</w:t>
            </w:r>
          </w:p>
        </w:tc>
        <w:tc>
          <w:tcPr>
            <w:tcW w:w="2443" w:type="dxa"/>
          </w:tcPr>
          <w:p w14:paraId="440E5C1C" w14:textId="77777777" w:rsidR="006001B3" w:rsidRPr="00B6615A" w:rsidRDefault="006001B3" w:rsidP="00644AA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B6615A">
              <w:rPr>
                <w:rFonts w:ascii="Calibri" w:hAnsi="Calibri" w:cs="Calibri"/>
                <w:sz w:val="24"/>
                <w:szCs w:val="24"/>
              </w:rPr>
              <w:t>Capacity</w:t>
            </w:r>
          </w:p>
        </w:tc>
        <w:tc>
          <w:tcPr>
            <w:tcW w:w="1948" w:type="dxa"/>
          </w:tcPr>
          <w:p w14:paraId="75F08798" w14:textId="77777777" w:rsidR="006001B3" w:rsidRPr="00B6615A" w:rsidRDefault="00301619" w:rsidP="00644AA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B050"/>
                <w:kern w:val="24"/>
                <w:sz w:val="24"/>
                <w:szCs w:val="24"/>
                <w:lang w:eastAsia="en-GB"/>
              </w:rPr>
            </w:pPr>
            <w:r>
              <w:rPr>
                <w:rFonts w:ascii="Calibri" w:eastAsia="Times New Roman" w:hAnsi="Calibri" w:cs="Calibri"/>
                <w:bCs/>
                <w:color w:val="00B050"/>
                <w:kern w:val="24"/>
                <w:sz w:val="24"/>
                <w:szCs w:val="24"/>
                <w:lang w:eastAsia="en-GB"/>
              </w:rPr>
              <w:t>On Track</w:t>
            </w:r>
          </w:p>
        </w:tc>
      </w:tr>
      <w:tr w:rsidR="006001B3" w:rsidRPr="00B6615A" w14:paraId="5D7DFF67" w14:textId="77777777" w:rsidTr="00644AA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824" w:type="dxa"/>
          </w:tcPr>
          <w:p w14:paraId="2AB007A4" w14:textId="77777777" w:rsidR="006001B3" w:rsidRPr="00B6615A" w:rsidRDefault="006001B3" w:rsidP="00644AA9">
            <w:pPr>
              <w:spacing w:line="276" w:lineRule="auto"/>
              <w:jc w:val="center"/>
              <w:rPr>
                <w:rFonts w:ascii="Calibri" w:hAnsi="Calibri" w:cs="Calibri"/>
                <w:b w:val="0"/>
                <w:sz w:val="24"/>
                <w:szCs w:val="24"/>
              </w:rPr>
            </w:pPr>
            <w:r w:rsidRPr="00B6615A">
              <w:rPr>
                <w:rFonts w:ascii="Calibri" w:hAnsi="Calibri" w:cs="Calibri"/>
                <w:b w:val="0"/>
                <w:sz w:val="24"/>
                <w:szCs w:val="24"/>
              </w:rPr>
              <w:t>Paybill</w:t>
            </w:r>
          </w:p>
        </w:tc>
        <w:tc>
          <w:tcPr>
            <w:tcW w:w="2136" w:type="dxa"/>
          </w:tcPr>
          <w:p w14:paraId="3E21D593" w14:textId="55B835B9" w:rsidR="006001B3" w:rsidRPr="002A1FFB" w:rsidRDefault="00BF73DA" w:rsidP="00644AA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F79646" w:themeColor="accent6"/>
                <w:kern w:val="24"/>
                <w:sz w:val="24"/>
                <w:szCs w:val="24"/>
                <w:lang w:eastAsia="en-GB"/>
              </w:rPr>
            </w:pPr>
            <w:r>
              <w:rPr>
                <w:rFonts w:ascii="Calibri" w:eastAsia="Times New Roman" w:hAnsi="Calibri" w:cs="Calibri"/>
                <w:bCs/>
                <w:color w:val="F79646" w:themeColor="accent6"/>
                <w:kern w:val="24"/>
                <w:sz w:val="24"/>
                <w:szCs w:val="24"/>
                <w:lang w:eastAsia="en-GB"/>
              </w:rPr>
              <w:t>Minor Slippage</w:t>
            </w:r>
          </w:p>
        </w:tc>
        <w:tc>
          <w:tcPr>
            <w:tcW w:w="2443" w:type="dxa"/>
          </w:tcPr>
          <w:p w14:paraId="330B4EAE" w14:textId="77777777" w:rsidR="006001B3" w:rsidRPr="00B6615A" w:rsidRDefault="006001B3" w:rsidP="00644AA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B6615A">
              <w:rPr>
                <w:rFonts w:ascii="Calibri" w:hAnsi="Calibri" w:cs="Calibri"/>
                <w:sz w:val="24"/>
                <w:szCs w:val="24"/>
              </w:rPr>
              <w:t>Development</w:t>
            </w:r>
          </w:p>
        </w:tc>
        <w:tc>
          <w:tcPr>
            <w:tcW w:w="1948" w:type="dxa"/>
          </w:tcPr>
          <w:p w14:paraId="53D640BA" w14:textId="77777777" w:rsidR="006001B3" w:rsidRPr="00B6615A" w:rsidRDefault="00301619" w:rsidP="00644AA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B050"/>
                <w:sz w:val="24"/>
                <w:szCs w:val="24"/>
              </w:rPr>
            </w:pPr>
            <w:r>
              <w:rPr>
                <w:rFonts w:ascii="Calibri" w:hAnsi="Calibri" w:cs="Calibri"/>
                <w:color w:val="00B050"/>
                <w:sz w:val="24"/>
                <w:szCs w:val="24"/>
              </w:rPr>
              <w:t>On Track</w:t>
            </w:r>
          </w:p>
        </w:tc>
      </w:tr>
      <w:tr w:rsidR="006001B3" w:rsidRPr="00B6615A" w14:paraId="3C77DFBA" w14:textId="77777777" w:rsidTr="00644AA9">
        <w:trPr>
          <w:cantSplit/>
          <w:jc w:val="center"/>
        </w:trPr>
        <w:tc>
          <w:tcPr>
            <w:cnfStyle w:val="001000000000" w:firstRow="0" w:lastRow="0" w:firstColumn="1" w:lastColumn="0" w:oddVBand="0" w:evenVBand="0" w:oddHBand="0" w:evenHBand="0" w:firstRowFirstColumn="0" w:firstRowLastColumn="0" w:lastRowFirstColumn="0" w:lastRowLastColumn="0"/>
            <w:tcW w:w="2824" w:type="dxa"/>
          </w:tcPr>
          <w:p w14:paraId="45BBF878" w14:textId="77777777" w:rsidR="006001B3" w:rsidRPr="00B6615A" w:rsidRDefault="006001B3" w:rsidP="00644AA9">
            <w:pPr>
              <w:spacing w:line="276" w:lineRule="auto"/>
              <w:jc w:val="center"/>
              <w:rPr>
                <w:rFonts w:ascii="Calibri" w:hAnsi="Calibri" w:cs="Calibri"/>
                <w:b w:val="0"/>
                <w:sz w:val="24"/>
                <w:szCs w:val="24"/>
              </w:rPr>
            </w:pPr>
            <w:r w:rsidRPr="00B6615A">
              <w:rPr>
                <w:rFonts w:ascii="Calibri" w:hAnsi="Calibri" w:cs="Calibri"/>
                <w:b w:val="0"/>
                <w:sz w:val="24"/>
                <w:szCs w:val="24"/>
              </w:rPr>
              <w:t>Capital</w:t>
            </w:r>
          </w:p>
        </w:tc>
        <w:tc>
          <w:tcPr>
            <w:tcW w:w="2136" w:type="dxa"/>
          </w:tcPr>
          <w:p w14:paraId="5737FC91" w14:textId="3C3CEF93" w:rsidR="006001B3" w:rsidRPr="00ED450A" w:rsidRDefault="00BF73DA" w:rsidP="00644AA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B050"/>
                <w:kern w:val="24"/>
                <w:sz w:val="24"/>
                <w:szCs w:val="24"/>
                <w:lang w:eastAsia="en-GB"/>
              </w:rPr>
            </w:pPr>
            <w:r>
              <w:rPr>
                <w:rFonts w:ascii="Calibri" w:eastAsia="Times New Roman" w:hAnsi="Calibri" w:cs="Calibri"/>
                <w:bCs/>
                <w:color w:val="00B050"/>
                <w:kern w:val="24"/>
                <w:sz w:val="24"/>
                <w:szCs w:val="24"/>
                <w:lang w:eastAsia="en-GB"/>
              </w:rPr>
              <w:t xml:space="preserve">On Track </w:t>
            </w:r>
          </w:p>
        </w:tc>
        <w:tc>
          <w:tcPr>
            <w:tcW w:w="2443" w:type="dxa"/>
          </w:tcPr>
          <w:p w14:paraId="19E132E0" w14:textId="77777777" w:rsidR="006001B3" w:rsidRPr="00B6615A" w:rsidRDefault="006001B3" w:rsidP="00644AA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Workforce Profile</w:t>
            </w:r>
          </w:p>
        </w:tc>
        <w:tc>
          <w:tcPr>
            <w:tcW w:w="1948" w:type="dxa"/>
          </w:tcPr>
          <w:p w14:paraId="6F6979F0" w14:textId="50C335CB" w:rsidR="006001B3" w:rsidRPr="00B6615A" w:rsidRDefault="00BB1E73" w:rsidP="0030161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F79646" w:themeColor="accent6"/>
                <w:kern w:val="24"/>
                <w:sz w:val="24"/>
                <w:szCs w:val="24"/>
                <w:lang w:eastAsia="en-GB"/>
              </w:rPr>
            </w:pPr>
            <w:r>
              <w:rPr>
                <w:rFonts w:ascii="Calibri" w:eastAsia="Times New Roman" w:hAnsi="Calibri" w:cs="Calibri"/>
                <w:bCs/>
                <w:color w:val="F79646" w:themeColor="accent6"/>
                <w:kern w:val="24"/>
                <w:sz w:val="24"/>
                <w:szCs w:val="24"/>
                <w:lang w:eastAsia="en-GB"/>
              </w:rPr>
              <w:t>Minor Slippage</w:t>
            </w:r>
          </w:p>
        </w:tc>
      </w:tr>
    </w:tbl>
    <w:p w14:paraId="5DCEC001" w14:textId="77777777" w:rsidR="006001B3" w:rsidRPr="007C3D2E" w:rsidRDefault="006001B3" w:rsidP="007C3D2E">
      <w:pPr>
        <w:spacing w:after="160" w:line="259" w:lineRule="auto"/>
        <w:rPr>
          <w:rFonts w:ascii="Calibri" w:eastAsia="Calibri" w:hAnsi="Calibri" w:cs="Calibri"/>
          <w:sz w:val="24"/>
          <w:szCs w:val="24"/>
        </w:rPr>
        <w:sectPr w:rsidR="006001B3" w:rsidRPr="007C3D2E" w:rsidSect="00675DB4">
          <w:headerReference w:type="default" r:id="rId13"/>
          <w:pgSz w:w="11906" w:h="16838"/>
          <w:pgMar w:top="1440" w:right="1440" w:bottom="1440" w:left="1440" w:header="709" w:footer="709" w:gutter="0"/>
          <w:cols w:space="708"/>
          <w:docGrid w:linePitch="360"/>
        </w:sectPr>
      </w:pPr>
    </w:p>
    <w:p w14:paraId="5FA8D39B" w14:textId="77777777" w:rsidR="00B2758B" w:rsidRDefault="00EF68F0" w:rsidP="00B2758B">
      <w:pPr>
        <w:pStyle w:val="Heading1"/>
        <w:rPr>
          <w:rFonts w:ascii="Calibri" w:eastAsiaTheme="minorHAnsi" w:hAnsi="Calibri" w:cs="Calibri"/>
          <w:caps w:val="0"/>
          <w:color w:val="007DC3"/>
          <w:sz w:val="28"/>
          <w:szCs w:val="22"/>
        </w:rPr>
      </w:pPr>
      <w:r w:rsidRPr="009A7A96">
        <w:rPr>
          <w:rFonts w:ascii="Calibri" w:eastAsiaTheme="minorHAnsi" w:hAnsi="Calibri" w:cs="Calibri"/>
          <w:caps w:val="0"/>
          <w:color w:val="007DC3"/>
          <w:sz w:val="28"/>
          <w:szCs w:val="22"/>
        </w:rPr>
        <w:lastRenderedPageBreak/>
        <w:t xml:space="preserve">PERFORMANCE </w:t>
      </w:r>
      <w:r w:rsidR="006001B3" w:rsidRPr="009A7A96">
        <w:rPr>
          <w:rFonts w:ascii="Calibri" w:eastAsiaTheme="minorHAnsi" w:hAnsi="Calibri" w:cs="Calibri"/>
          <w:caps w:val="0"/>
          <w:color w:val="007DC3"/>
          <w:sz w:val="28"/>
          <w:szCs w:val="22"/>
        </w:rPr>
        <w:t>DASHBOARD</w:t>
      </w:r>
      <w:r w:rsidR="00B2758B">
        <w:rPr>
          <w:rFonts w:ascii="Calibri" w:eastAsiaTheme="minorHAnsi" w:hAnsi="Calibri" w:cs="Calibri"/>
          <w:caps w:val="0"/>
          <w:color w:val="007DC3"/>
          <w:sz w:val="28"/>
          <w:szCs w:val="22"/>
        </w:rPr>
        <w:t xml:space="preserve"> </w:t>
      </w:r>
    </w:p>
    <w:p w14:paraId="6ACADB11" w14:textId="77777777" w:rsidR="00B2758B" w:rsidRPr="00B2758B" w:rsidRDefault="00B2758B" w:rsidP="00B2758B">
      <w:pPr>
        <w:pStyle w:val="Heading1"/>
        <w:rPr>
          <w:rFonts w:ascii="Calibri" w:eastAsiaTheme="minorHAnsi" w:hAnsi="Calibri" w:cs="Calibri"/>
          <w:caps w:val="0"/>
          <w:color w:val="007DC3"/>
          <w:sz w:val="28"/>
          <w:szCs w:val="22"/>
        </w:rPr>
      </w:pPr>
      <w:r w:rsidRPr="00B2758B">
        <w:rPr>
          <w:rFonts w:ascii="Calibri" w:hAnsi="Calibri" w:cs="Calibri"/>
          <w:sz w:val="16"/>
          <w:szCs w:val="16"/>
        </w:rPr>
        <w:t>RAG status will be available once 5 data points are collected.  Bar charts are used until this point and initial data is noted without a graph</w:t>
      </w:r>
    </w:p>
    <w:p w14:paraId="0342FB63" w14:textId="77777777" w:rsidR="006E0DDA" w:rsidRPr="00FB3B80" w:rsidRDefault="00675DB4" w:rsidP="009A7A96">
      <w:pPr>
        <w:pStyle w:val="Heading2"/>
        <w:shd w:val="clear" w:color="auto" w:fill="007DC3"/>
        <w:spacing w:after="0"/>
        <w:jc w:val="center"/>
        <w:rPr>
          <w:rFonts w:ascii="Calibri" w:hAnsi="Calibri" w:cs="Calibri"/>
        </w:rPr>
      </w:pPr>
      <w:r w:rsidRPr="00FB3B80">
        <w:rPr>
          <w:rFonts w:ascii="Calibri" w:hAnsi="Calibri" w:cs="Calibri"/>
        </w:rPr>
        <w:t>WE HAVE PROTECTED NATURE</w:t>
      </w:r>
    </w:p>
    <w:tbl>
      <w:tblPr>
        <w:tblStyle w:val="TableGrid"/>
        <w:tblW w:w="14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transformed how we work measures"/>
        <w:tblDescription w:val="An update at the end of this quarter for all of the measures that sit under 'we have transformed how we work'"/>
      </w:tblPr>
      <w:tblGrid>
        <w:gridCol w:w="958"/>
        <w:gridCol w:w="2297"/>
        <w:gridCol w:w="3117"/>
        <w:gridCol w:w="853"/>
        <w:gridCol w:w="3685"/>
        <w:gridCol w:w="3691"/>
      </w:tblGrid>
      <w:tr w:rsidR="006E28A5" w:rsidRPr="00F56679" w14:paraId="3B6A7D3E" w14:textId="77777777" w:rsidTr="00F735CD">
        <w:trPr>
          <w:tblHeader/>
          <w:jc w:val="center"/>
        </w:trPr>
        <w:tc>
          <w:tcPr>
            <w:tcW w:w="958" w:type="dxa"/>
            <w:tcBorders>
              <w:bottom w:val="single" w:sz="4" w:space="0" w:color="548DD4" w:themeColor="text2" w:themeTint="99"/>
            </w:tcBorders>
          </w:tcPr>
          <w:p w14:paraId="3BB2C122" w14:textId="77777777" w:rsidR="006E28A5" w:rsidRPr="00F56679" w:rsidRDefault="006E28A5" w:rsidP="00644AA9">
            <w:pPr>
              <w:jc w:val="center"/>
              <w:rPr>
                <w:rFonts w:ascii="Calibri" w:hAnsi="Calibri" w:cs="Calibri"/>
                <w:b/>
              </w:rPr>
            </w:pPr>
            <w:r>
              <w:rPr>
                <w:rFonts w:ascii="Calibri" w:hAnsi="Calibri" w:cs="Calibri"/>
                <w:b/>
              </w:rPr>
              <w:t>Score</w:t>
            </w:r>
          </w:p>
        </w:tc>
        <w:tc>
          <w:tcPr>
            <w:tcW w:w="2297" w:type="dxa"/>
            <w:tcBorders>
              <w:bottom w:val="single" w:sz="4" w:space="0" w:color="548DD4" w:themeColor="text2" w:themeTint="99"/>
            </w:tcBorders>
          </w:tcPr>
          <w:p w14:paraId="53A809B9" w14:textId="77777777" w:rsidR="006E28A5" w:rsidRPr="00F56679" w:rsidRDefault="006E28A5" w:rsidP="00644AA9">
            <w:pPr>
              <w:jc w:val="center"/>
              <w:rPr>
                <w:rFonts w:ascii="Calibri" w:hAnsi="Calibri" w:cs="Calibri"/>
                <w:b/>
              </w:rPr>
            </w:pPr>
            <w:r w:rsidRPr="00F56679">
              <w:rPr>
                <w:rFonts w:ascii="Calibri" w:hAnsi="Calibri" w:cs="Calibri"/>
                <w:b/>
              </w:rPr>
              <w:t>Measure</w:t>
            </w:r>
          </w:p>
        </w:tc>
        <w:tc>
          <w:tcPr>
            <w:tcW w:w="3117" w:type="dxa"/>
            <w:tcBorders>
              <w:bottom w:val="single" w:sz="4" w:space="0" w:color="548DD4" w:themeColor="text2" w:themeTint="99"/>
            </w:tcBorders>
          </w:tcPr>
          <w:p w14:paraId="7089DCEA" w14:textId="77777777" w:rsidR="006E28A5" w:rsidRPr="00F56679" w:rsidRDefault="006E28A5" w:rsidP="00644AA9">
            <w:pPr>
              <w:jc w:val="center"/>
              <w:rPr>
                <w:rFonts w:ascii="Calibri" w:hAnsi="Calibri" w:cs="Calibri"/>
                <w:b/>
              </w:rPr>
            </w:pPr>
            <w:r>
              <w:rPr>
                <w:rFonts w:ascii="Calibri" w:hAnsi="Calibri" w:cs="Calibri"/>
                <w:b/>
              </w:rPr>
              <w:t>Performance Overview</w:t>
            </w:r>
          </w:p>
        </w:tc>
        <w:tc>
          <w:tcPr>
            <w:tcW w:w="853" w:type="dxa"/>
            <w:tcBorders>
              <w:bottom w:val="single" w:sz="4" w:space="0" w:color="548DD4" w:themeColor="text2" w:themeTint="99"/>
            </w:tcBorders>
          </w:tcPr>
          <w:p w14:paraId="73ECED9F" w14:textId="77777777" w:rsidR="006E28A5" w:rsidRPr="00F56679" w:rsidRDefault="006E28A5" w:rsidP="00644AA9">
            <w:pPr>
              <w:jc w:val="center"/>
              <w:rPr>
                <w:rFonts w:ascii="Calibri" w:hAnsi="Calibri" w:cs="Calibri"/>
                <w:b/>
              </w:rPr>
            </w:pPr>
            <w:r w:rsidRPr="00F56679">
              <w:rPr>
                <w:rFonts w:ascii="Calibri" w:hAnsi="Calibri" w:cs="Calibri"/>
                <w:b/>
              </w:rPr>
              <w:t>Actual</w:t>
            </w:r>
          </w:p>
        </w:tc>
        <w:tc>
          <w:tcPr>
            <w:tcW w:w="3685" w:type="dxa"/>
            <w:tcBorders>
              <w:bottom w:val="single" w:sz="4" w:space="0" w:color="548DD4" w:themeColor="text2" w:themeTint="99"/>
            </w:tcBorders>
          </w:tcPr>
          <w:p w14:paraId="6364ED43" w14:textId="77777777" w:rsidR="006E28A5" w:rsidRPr="00F56679" w:rsidRDefault="006E28A5" w:rsidP="00644AA9">
            <w:pPr>
              <w:jc w:val="center"/>
              <w:rPr>
                <w:rFonts w:ascii="Calibri" w:hAnsi="Calibri" w:cs="Calibri"/>
                <w:b/>
              </w:rPr>
            </w:pPr>
            <w:r w:rsidRPr="00F56679">
              <w:rPr>
                <w:rFonts w:ascii="Calibri" w:hAnsi="Calibri" w:cs="Calibri"/>
                <w:b/>
              </w:rPr>
              <w:t>Cause</w:t>
            </w:r>
          </w:p>
        </w:tc>
        <w:tc>
          <w:tcPr>
            <w:tcW w:w="3691" w:type="dxa"/>
            <w:tcBorders>
              <w:bottom w:val="single" w:sz="4" w:space="0" w:color="548DD4" w:themeColor="text2" w:themeTint="99"/>
            </w:tcBorders>
          </w:tcPr>
          <w:p w14:paraId="31EF10F6" w14:textId="77777777" w:rsidR="006E28A5" w:rsidRPr="00F56679" w:rsidRDefault="006E28A5" w:rsidP="00644AA9">
            <w:pPr>
              <w:jc w:val="center"/>
              <w:rPr>
                <w:rFonts w:ascii="Calibri" w:hAnsi="Calibri" w:cs="Calibri"/>
                <w:b/>
              </w:rPr>
            </w:pPr>
            <w:r w:rsidRPr="00F56679">
              <w:rPr>
                <w:rFonts w:ascii="Calibri" w:hAnsi="Calibri" w:cs="Calibri"/>
                <w:b/>
              </w:rPr>
              <w:t>Response</w:t>
            </w:r>
          </w:p>
        </w:tc>
      </w:tr>
      <w:tr w:rsidR="00B173B7" w:rsidRPr="003A4D73" w14:paraId="0E4E9CC4" w14:textId="77777777" w:rsidTr="00DA6DA2">
        <w:trPr>
          <w:trHeight w:hRule="exact" w:val="793"/>
          <w:tblHeader/>
          <w:jc w:val="center"/>
        </w:trPr>
        <w:tc>
          <w:tcPr>
            <w:tcW w:w="958" w:type="dxa"/>
            <w:tcBorders>
              <w:top w:val="single" w:sz="4" w:space="0" w:color="548DD4" w:themeColor="text2" w:themeTint="99"/>
              <w:bottom w:val="single" w:sz="4" w:space="0" w:color="548DD4" w:themeColor="text2" w:themeTint="99"/>
            </w:tcBorders>
            <w:vAlign w:val="center"/>
          </w:tcPr>
          <w:p w14:paraId="7F537F1F" w14:textId="77777777" w:rsidR="00B173B7" w:rsidRPr="003A4D73" w:rsidRDefault="00B173B7" w:rsidP="00B173B7">
            <w:pPr>
              <w:jc w:val="center"/>
              <w:rPr>
                <w:rFonts w:ascii="Calibri" w:hAnsi="Calibri" w:cs="Calibri"/>
                <w:b/>
                <w:color w:val="F79646" w:themeColor="accent6"/>
              </w:rPr>
            </w:pPr>
          </w:p>
        </w:tc>
        <w:tc>
          <w:tcPr>
            <w:tcW w:w="2297" w:type="dxa"/>
            <w:tcBorders>
              <w:top w:val="single" w:sz="4" w:space="0" w:color="548DD4" w:themeColor="text2" w:themeTint="99"/>
              <w:bottom w:val="single" w:sz="4" w:space="0" w:color="548DD4" w:themeColor="text2" w:themeTint="99"/>
            </w:tcBorders>
            <w:vAlign w:val="center"/>
          </w:tcPr>
          <w:p w14:paraId="4140D307" w14:textId="77777777" w:rsidR="00B173B7" w:rsidRPr="006E0DDA" w:rsidRDefault="00B173B7" w:rsidP="00B173B7">
            <w:pPr>
              <w:rPr>
                <w:rFonts w:ascii="Calibri" w:hAnsi="Calibri" w:cs="Calibri"/>
                <w:b/>
                <w:iCs/>
                <w:color w:val="808080" w:themeColor="background1" w:themeShade="80"/>
                <w:sz w:val="21"/>
                <w:szCs w:val="21"/>
              </w:rPr>
            </w:pPr>
            <w:r w:rsidRPr="006E0DDA">
              <w:rPr>
                <w:rFonts w:ascii="Calibri" w:hAnsi="Calibri" w:cs="Calibri"/>
                <w:b/>
                <w:iCs/>
                <w:color w:val="808080" w:themeColor="background1" w:themeShade="80"/>
                <w:sz w:val="21"/>
                <w:szCs w:val="21"/>
              </w:rPr>
              <w:t>Reducing Deer Numbers</w:t>
            </w:r>
          </w:p>
        </w:tc>
        <w:tc>
          <w:tcPr>
            <w:tcW w:w="3117" w:type="dxa"/>
            <w:tcBorders>
              <w:top w:val="single" w:sz="4" w:space="0" w:color="548DD4" w:themeColor="text2" w:themeTint="99"/>
              <w:bottom w:val="single" w:sz="4" w:space="0" w:color="548DD4" w:themeColor="text2" w:themeTint="99"/>
            </w:tcBorders>
            <w:vAlign w:val="center"/>
          </w:tcPr>
          <w:p w14:paraId="6EEC9CAA" w14:textId="01A556B8" w:rsidR="00B173B7" w:rsidRPr="00076CA4" w:rsidRDefault="00B173B7" w:rsidP="00B173B7">
            <w:pPr>
              <w:jc w:val="center"/>
              <w:rPr>
                <w:rFonts w:ascii="Calibri" w:hAnsi="Calibri" w:cs="Calibri"/>
                <w:i/>
                <w:color w:val="808080" w:themeColor="background1" w:themeShade="80"/>
              </w:rPr>
            </w:pPr>
            <w:r w:rsidRPr="00076CA4">
              <w:rPr>
                <w:rFonts w:ascii="Calibri" w:hAnsi="Calibri" w:cs="Calibri"/>
                <w:i/>
                <w:color w:val="808080" w:themeColor="background1" w:themeShade="80"/>
              </w:rPr>
              <w:t>Annual measure</w:t>
            </w:r>
            <w:r w:rsidR="00A86FD0">
              <w:rPr>
                <w:rFonts w:ascii="Calibri" w:hAnsi="Calibri" w:cs="Calibri"/>
                <w:i/>
                <w:color w:val="808080" w:themeColor="background1" w:themeShade="80"/>
              </w:rPr>
              <w:t xml:space="preserve"> Q4</w:t>
            </w:r>
          </w:p>
        </w:tc>
        <w:tc>
          <w:tcPr>
            <w:tcW w:w="853" w:type="dxa"/>
            <w:tcBorders>
              <w:top w:val="single" w:sz="4" w:space="0" w:color="548DD4" w:themeColor="text2" w:themeTint="99"/>
              <w:bottom w:val="single" w:sz="4" w:space="0" w:color="548DD4" w:themeColor="text2" w:themeTint="99"/>
            </w:tcBorders>
            <w:vAlign w:val="center"/>
          </w:tcPr>
          <w:p w14:paraId="06431FE5" w14:textId="77777777" w:rsidR="00B173B7" w:rsidRPr="00076CA4" w:rsidRDefault="00B173B7" w:rsidP="00B173B7">
            <w:pPr>
              <w:jc w:val="center"/>
              <w:rPr>
                <w:rFonts w:ascii="Calibri" w:hAnsi="Calibri" w:cs="Calibri"/>
                <w:color w:val="808080" w:themeColor="background1" w:themeShade="80"/>
              </w:rPr>
            </w:pPr>
          </w:p>
        </w:tc>
        <w:tc>
          <w:tcPr>
            <w:tcW w:w="3685" w:type="dxa"/>
            <w:tcBorders>
              <w:top w:val="single" w:sz="4" w:space="0" w:color="548DD4" w:themeColor="text2" w:themeTint="99"/>
              <w:bottom w:val="single" w:sz="4" w:space="0" w:color="548DD4" w:themeColor="text2" w:themeTint="99"/>
            </w:tcBorders>
            <w:vAlign w:val="center"/>
          </w:tcPr>
          <w:p w14:paraId="582B4AAA" w14:textId="77777777" w:rsidR="00B173B7" w:rsidRPr="00076CA4" w:rsidRDefault="00B173B7" w:rsidP="00B173B7">
            <w:pPr>
              <w:jc w:val="both"/>
              <w:rPr>
                <w:rFonts w:ascii="Calibri" w:hAnsi="Calibri" w:cs="Calibri"/>
                <w:i/>
                <w:color w:val="808080" w:themeColor="background1" w:themeShade="80"/>
              </w:rPr>
            </w:pPr>
            <w:r w:rsidRPr="00076CA4">
              <w:rPr>
                <w:rFonts w:ascii="Calibri" w:hAnsi="Calibri" w:cs="Calibri"/>
                <w:i/>
                <w:color w:val="808080" w:themeColor="background1" w:themeShade="80"/>
              </w:rPr>
              <w:t>No report as Annual Measure</w:t>
            </w:r>
          </w:p>
        </w:tc>
        <w:tc>
          <w:tcPr>
            <w:tcW w:w="3691" w:type="dxa"/>
            <w:tcBorders>
              <w:top w:val="single" w:sz="4" w:space="0" w:color="548DD4" w:themeColor="text2" w:themeTint="99"/>
              <w:bottom w:val="single" w:sz="4" w:space="0" w:color="548DD4" w:themeColor="text2" w:themeTint="99"/>
            </w:tcBorders>
            <w:vAlign w:val="center"/>
          </w:tcPr>
          <w:p w14:paraId="0FDC37A0" w14:textId="0E798321" w:rsidR="00B173B7" w:rsidRPr="006107CC" w:rsidRDefault="00123F33" w:rsidP="00B173B7">
            <w:pPr>
              <w:rPr>
                <w:rFonts w:ascii="Calibri" w:hAnsi="Calibri" w:cs="Calibri"/>
                <w:color w:val="808080" w:themeColor="background1" w:themeShade="80"/>
              </w:rPr>
            </w:pPr>
            <w:r>
              <w:rPr>
                <w:rFonts w:ascii="Calibri" w:hAnsi="Calibri" w:cs="Calibri"/>
                <w:color w:val="808080" w:themeColor="background1" w:themeShade="80"/>
              </w:rPr>
              <w:t>Data for previous years will be presented in the Q3 report until the next data point can be collected.</w:t>
            </w:r>
          </w:p>
        </w:tc>
      </w:tr>
      <w:tr w:rsidR="00123F33" w:rsidRPr="003A4D73" w14:paraId="765FA58E" w14:textId="77777777" w:rsidTr="00DA6DA2">
        <w:trPr>
          <w:trHeight w:hRule="exact" w:val="990"/>
          <w:tblHeader/>
          <w:jc w:val="center"/>
        </w:trPr>
        <w:tc>
          <w:tcPr>
            <w:tcW w:w="958" w:type="dxa"/>
            <w:tcBorders>
              <w:top w:val="single" w:sz="4" w:space="0" w:color="548DD4" w:themeColor="text2" w:themeTint="99"/>
              <w:bottom w:val="single" w:sz="4" w:space="0" w:color="548DD4" w:themeColor="text2" w:themeTint="99"/>
            </w:tcBorders>
            <w:vAlign w:val="center"/>
          </w:tcPr>
          <w:p w14:paraId="78E0C20C" w14:textId="77777777" w:rsidR="00123F33" w:rsidRPr="003A4D73" w:rsidRDefault="00123F33" w:rsidP="00123F33">
            <w:pPr>
              <w:jc w:val="center"/>
              <w:rPr>
                <w:rFonts w:ascii="Calibri" w:hAnsi="Calibri" w:cs="Calibri"/>
                <w:b/>
                <w:color w:val="FF0000"/>
              </w:rPr>
            </w:pPr>
          </w:p>
        </w:tc>
        <w:tc>
          <w:tcPr>
            <w:tcW w:w="2297" w:type="dxa"/>
            <w:tcBorders>
              <w:top w:val="single" w:sz="4" w:space="0" w:color="548DD4" w:themeColor="text2" w:themeTint="99"/>
              <w:bottom w:val="single" w:sz="4" w:space="0" w:color="548DD4" w:themeColor="text2" w:themeTint="99"/>
            </w:tcBorders>
            <w:vAlign w:val="center"/>
          </w:tcPr>
          <w:p w14:paraId="61814510" w14:textId="77777777" w:rsidR="00123F33" w:rsidRPr="006E0DDA" w:rsidRDefault="00123F33" w:rsidP="00123F33">
            <w:pPr>
              <w:rPr>
                <w:rFonts w:ascii="Calibri" w:hAnsi="Calibri" w:cs="Calibri"/>
                <w:b/>
                <w:iCs/>
                <w:color w:val="808080" w:themeColor="background1" w:themeShade="80"/>
                <w:sz w:val="21"/>
                <w:szCs w:val="21"/>
              </w:rPr>
            </w:pPr>
            <w:r w:rsidRPr="006E0DDA">
              <w:rPr>
                <w:rFonts w:ascii="Calibri" w:hAnsi="Calibri" w:cs="Calibri"/>
                <w:b/>
                <w:iCs/>
                <w:color w:val="808080" w:themeColor="background1" w:themeShade="80"/>
                <w:sz w:val="21"/>
                <w:szCs w:val="21"/>
              </w:rPr>
              <w:t>Area (ha) of woodlands restored</w:t>
            </w:r>
          </w:p>
        </w:tc>
        <w:tc>
          <w:tcPr>
            <w:tcW w:w="3117" w:type="dxa"/>
            <w:tcBorders>
              <w:top w:val="single" w:sz="4" w:space="0" w:color="548DD4" w:themeColor="text2" w:themeTint="99"/>
              <w:bottom w:val="single" w:sz="4" w:space="0" w:color="548DD4" w:themeColor="text2" w:themeTint="99"/>
            </w:tcBorders>
            <w:vAlign w:val="center"/>
          </w:tcPr>
          <w:p w14:paraId="374356A6" w14:textId="7D17B130" w:rsidR="00123F33" w:rsidRPr="00076CA4" w:rsidRDefault="00123F33" w:rsidP="00123F33">
            <w:pPr>
              <w:jc w:val="center"/>
              <w:rPr>
                <w:rFonts w:ascii="Calibri" w:hAnsi="Calibri" w:cs="Calibri"/>
                <w:color w:val="808080" w:themeColor="background1" w:themeShade="80"/>
              </w:rPr>
            </w:pPr>
            <w:r w:rsidRPr="00076CA4">
              <w:rPr>
                <w:rFonts w:ascii="Calibri" w:hAnsi="Calibri" w:cs="Calibri"/>
                <w:i/>
                <w:color w:val="808080" w:themeColor="background1" w:themeShade="80"/>
              </w:rPr>
              <w:t>Annual measure</w:t>
            </w:r>
            <w:r>
              <w:rPr>
                <w:rFonts w:ascii="Calibri" w:hAnsi="Calibri" w:cs="Calibri"/>
                <w:i/>
                <w:color w:val="808080" w:themeColor="background1" w:themeShade="80"/>
              </w:rPr>
              <w:t xml:space="preserve"> Q4</w:t>
            </w:r>
          </w:p>
        </w:tc>
        <w:tc>
          <w:tcPr>
            <w:tcW w:w="853" w:type="dxa"/>
            <w:tcBorders>
              <w:top w:val="single" w:sz="4" w:space="0" w:color="548DD4" w:themeColor="text2" w:themeTint="99"/>
              <w:bottom w:val="single" w:sz="4" w:space="0" w:color="548DD4" w:themeColor="text2" w:themeTint="99"/>
            </w:tcBorders>
            <w:vAlign w:val="center"/>
          </w:tcPr>
          <w:p w14:paraId="2D5FDDFF" w14:textId="77777777" w:rsidR="00123F33" w:rsidRPr="00076CA4" w:rsidRDefault="00123F33" w:rsidP="00123F33">
            <w:pPr>
              <w:jc w:val="center"/>
              <w:rPr>
                <w:rFonts w:ascii="Calibri" w:hAnsi="Calibri" w:cs="Calibri"/>
                <w:color w:val="808080" w:themeColor="background1" w:themeShade="80"/>
              </w:rPr>
            </w:pPr>
          </w:p>
        </w:tc>
        <w:tc>
          <w:tcPr>
            <w:tcW w:w="3685" w:type="dxa"/>
            <w:tcBorders>
              <w:top w:val="single" w:sz="4" w:space="0" w:color="548DD4" w:themeColor="text2" w:themeTint="99"/>
              <w:bottom w:val="single" w:sz="4" w:space="0" w:color="548DD4" w:themeColor="text2" w:themeTint="99"/>
            </w:tcBorders>
            <w:vAlign w:val="center"/>
          </w:tcPr>
          <w:p w14:paraId="51D4423F" w14:textId="77777777" w:rsidR="00123F33" w:rsidRPr="00076CA4" w:rsidRDefault="00123F33" w:rsidP="00123F33">
            <w:pPr>
              <w:jc w:val="both"/>
              <w:rPr>
                <w:rFonts w:ascii="Calibri" w:hAnsi="Calibri" w:cs="Calibri"/>
                <w:color w:val="808080" w:themeColor="background1" w:themeShade="80"/>
              </w:rPr>
            </w:pPr>
            <w:r w:rsidRPr="00076CA4">
              <w:rPr>
                <w:rFonts w:ascii="Calibri" w:hAnsi="Calibri" w:cs="Calibri"/>
                <w:i/>
                <w:color w:val="808080" w:themeColor="background1" w:themeShade="80"/>
              </w:rPr>
              <w:t>No report as Annual Measure</w:t>
            </w:r>
          </w:p>
        </w:tc>
        <w:tc>
          <w:tcPr>
            <w:tcW w:w="3691" w:type="dxa"/>
            <w:tcBorders>
              <w:top w:val="single" w:sz="4" w:space="0" w:color="548DD4" w:themeColor="text2" w:themeTint="99"/>
              <w:bottom w:val="single" w:sz="4" w:space="0" w:color="548DD4" w:themeColor="text2" w:themeTint="99"/>
            </w:tcBorders>
            <w:vAlign w:val="center"/>
          </w:tcPr>
          <w:p w14:paraId="56FE5715" w14:textId="45FC662A" w:rsidR="00123F33" w:rsidRDefault="00123F33" w:rsidP="00123F33">
            <w:r>
              <w:rPr>
                <w:rFonts w:ascii="Calibri" w:hAnsi="Calibri" w:cs="Calibri"/>
                <w:color w:val="808080" w:themeColor="background1" w:themeShade="80"/>
              </w:rPr>
              <w:t>Data for previous years will be presented in the Q3 report until the next data point can be collected.</w:t>
            </w:r>
          </w:p>
        </w:tc>
      </w:tr>
      <w:tr w:rsidR="00123F33" w:rsidRPr="003A4D73" w14:paraId="7A4F5FAE" w14:textId="77777777" w:rsidTr="00123F33">
        <w:trPr>
          <w:trHeight w:hRule="exact" w:val="1134"/>
          <w:tblHeader/>
          <w:jc w:val="center"/>
        </w:trPr>
        <w:tc>
          <w:tcPr>
            <w:tcW w:w="958" w:type="dxa"/>
            <w:tcBorders>
              <w:top w:val="single" w:sz="4" w:space="0" w:color="548DD4" w:themeColor="text2" w:themeTint="99"/>
              <w:bottom w:val="single" w:sz="4" w:space="0" w:color="548DD4" w:themeColor="text2" w:themeTint="99"/>
            </w:tcBorders>
            <w:vAlign w:val="center"/>
          </w:tcPr>
          <w:p w14:paraId="4E5F2C20" w14:textId="77777777" w:rsidR="00123F33" w:rsidRPr="003A4D73" w:rsidRDefault="00123F33" w:rsidP="00123F33">
            <w:pPr>
              <w:jc w:val="center"/>
              <w:rPr>
                <w:rFonts w:ascii="Calibri" w:hAnsi="Calibri" w:cs="Calibri"/>
                <w:b/>
              </w:rPr>
            </w:pPr>
          </w:p>
        </w:tc>
        <w:tc>
          <w:tcPr>
            <w:tcW w:w="2297" w:type="dxa"/>
            <w:tcBorders>
              <w:top w:val="single" w:sz="4" w:space="0" w:color="548DD4" w:themeColor="text2" w:themeTint="99"/>
              <w:bottom w:val="single" w:sz="4" w:space="0" w:color="548DD4" w:themeColor="text2" w:themeTint="99"/>
            </w:tcBorders>
            <w:vAlign w:val="center"/>
          </w:tcPr>
          <w:p w14:paraId="342CA510" w14:textId="77777777" w:rsidR="00123F33" w:rsidRPr="006E0DDA" w:rsidRDefault="00123F33" w:rsidP="00123F33">
            <w:pPr>
              <w:rPr>
                <w:rFonts w:ascii="Calibri" w:hAnsi="Calibri" w:cs="Calibri"/>
                <w:b/>
                <w:iCs/>
                <w:color w:val="808080" w:themeColor="background1" w:themeShade="80"/>
                <w:sz w:val="21"/>
                <w:szCs w:val="21"/>
              </w:rPr>
            </w:pPr>
            <w:r w:rsidRPr="006E0DDA">
              <w:rPr>
                <w:rFonts w:ascii="Calibri" w:hAnsi="Calibri" w:cs="Calibri"/>
                <w:b/>
                <w:iCs/>
                <w:color w:val="808080" w:themeColor="background1" w:themeShade="80"/>
                <w:sz w:val="21"/>
                <w:szCs w:val="21"/>
              </w:rPr>
              <w:t>Number of MPAs that we have monitored</w:t>
            </w:r>
          </w:p>
        </w:tc>
        <w:tc>
          <w:tcPr>
            <w:tcW w:w="3117" w:type="dxa"/>
            <w:tcBorders>
              <w:top w:val="single" w:sz="4" w:space="0" w:color="548DD4" w:themeColor="text2" w:themeTint="99"/>
              <w:bottom w:val="single" w:sz="4" w:space="0" w:color="548DD4" w:themeColor="text2" w:themeTint="99"/>
            </w:tcBorders>
            <w:vAlign w:val="center"/>
          </w:tcPr>
          <w:p w14:paraId="2FC51DB2" w14:textId="77777777" w:rsidR="00123F33" w:rsidRPr="00076CA4" w:rsidRDefault="00123F33" w:rsidP="00123F33">
            <w:pPr>
              <w:jc w:val="center"/>
              <w:rPr>
                <w:rFonts w:ascii="Calibri" w:hAnsi="Calibri" w:cs="Calibri"/>
                <w:i/>
                <w:color w:val="808080" w:themeColor="background1" w:themeShade="80"/>
              </w:rPr>
            </w:pPr>
            <w:r w:rsidRPr="00076CA4">
              <w:rPr>
                <w:rFonts w:ascii="Calibri" w:hAnsi="Calibri" w:cs="Calibri"/>
                <w:i/>
                <w:color w:val="808080" w:themeColor="background1" w:themeShade="80"/>
              </w:rPr>
              <w:t>Bi Annual Measure</w:t>
            </w:r>
          </w:p>
        </w:tc>
        <w:tc>
          <w:tcPr>
            <w:tcW w:w="853" w:type="dxa"/>
            <w:tcBorders>
              <w:top w:val="single" w:sz="4" w:space="0" w:color="548DD4" w:themeColor="text2" w:themeTint="99"/>
              <w:bottom w:val="single" w:sz="4" w:space="0" w:color="548DD4" w:themeColor="text2" w:themeTint="99"/>
            </w:tcBorders>
            <w:vAlign w:val="center"/>
          </w:tcPr>
          <w:p w14:paraId="3811090F" w14:textId="77777777" w:rsidR="00123F33" w:rsidRPr="00076CA4" w:rsidRDefault="00123F33" w:rsidP="00123F33">
            <w:pPr>
              <w:jc w:val="center"/>
              <w:rPr>
                <w:rFonts w:ascii="Calibri" w:hAnsi="Calibri" w:cs="Calibri"/>
                <w:color w:val="808080" w:themeColor="background1" w:themeShade="80"/>
              </w:rPr>
            </w:pPr>
          </w:p>
        </w:tc>
        <w:tc>
          <w:tcPr>
            <w:tcW w:w="3685" w:type="dxa"/>
            <w:tcBorders>
              <w:top w:val="single" w:sz="4" w:space="0" w:color="548DD4" w:themeColor="text2" w:themeTint="99"/>
              <w:bottom w:val="single" w:sz="4" w:space="0" w:color="548DD4" w:themeColor="text2" w:themeTint="99"/>
            </w:tcBorders>
            <w:vAlign w:val="center"/>
          </w:tcPr>
          <w:p w14:paraId="009564A9" w14:textId="08372428" w:rsidR="00123F33" w:rsidRPr="00076CA4" w:rsidRDefault="00123F33" w:rsidP="00123F33">
            <w:pPr>
              <w:jc w:val="both"/>
              <w:rPr>
                <w:rFonts w:ascii="Calibri" w:hAnsi="Calibri" w:cs="Calibri"/>
                <w:color w:val="808080" w:themeColor="background1" w:themeShade="80"/>
              </w:rPr>
            </w:pPr>
            <w:r w:rsidRPr="00076CA4">
              <w:rPr>
                <w:rFonts w:ascii="Calibri" w:hAnsi="Calibri" w:cs="Calibri"/>
                <w:color w:val="808080" w:themeColor="background1" w:themeShade="80"/>
              </w:rPr>
              <w:t>Not yet in a position to have reported for Q1</w:t>
            </w:r>
            <w:r>
              <w:rPr>
                <w:rFonts w:ascii="Calibri" w:hAnsi="Calibri" w:cs="Calibri"/>
                <w:color w:val="808080" w:themeColor="background1" w:themeShade="80"/>
              </w:rPr>
              <w:t xml:space="preserve"> (this will be a quarter behind)</w:t>
            </w:r>
            <w:r w:rsidRPr="00076CA4">
              <w:rPr>
                <w:rFonts w:ascii="Calibri" w:hAnsi="Calibri" w:cs="Calibri"/>
                <w:color w:val="808080" w:themeColor="background1" w:themeShade="80"/>
              </w:rPr>
              <w:t>, we are still developing our approach and have capacity issues.</w:t>
            </w:r>
          </w:p>
        </w:tc>
        <w:tc>
          <w:tcPr>
            <w:tcW w:w="3691" w:type="dxa"/>
            <w:tcBorders>
              <w:top w:val="single" w:sz="4" w:space="0" w:color="548DD4" w:themeColor="text2" w:themeTint="99"/>
              <w:bottom w:val="single" w:sz="4" w:space="0" w:color="548DD4" w:themeColor="text2" w:themeTint="99"/>
            </w:tcBorders>
            <w:vAlign w:val="center"/>
          </w:tcPr>
          <w:p w14:paraId="7E43638F" w14:textId="338DDFE5" w:rsidR="00123F33" w:rsidRPr="001F13D5" w:rsidRDefault="00123F33" w:rsidP="00123F33">
            <w:pPr>
              <w:rPr>
                <w:rFonts w:ascii="Calibri" w:hAnsi="Calibri" w:cs="Calibri"/>
              </w:rPr>
            </w:pPr>
            <w:r w:rsidRPr="001F13D5">
              <w:rPr>
                <w:rFonts w:ascii="Calibri" w:hAnsi="Calibri" w:cs="Calibri"/>
                <w:color w:val="808080" w:themeColor="background1" w:themeShade="80"/>
              </w:rPr>
              <w:t xml:space="preserve">Ongoing internal discussions to address resourcing issues </w:t>
            </w:r>
          </w:p>
        </w:tc>
      </w:tr>
      <w:tr w:rsidR="00123F33" w:rsidRPr="003A4D73" w14:paraId="6AE68905" w14:textId="77777777" w:rsidTr="00DA6DA2">
        <w:trPr>
          <w:trHeight w:hRule="exact" w:val="990"/>
          <w:tblHeader/>
          <w:jc w:val="center"/>
        </w:trPr>
        <w:tc>
          <w:tcPr>
            <w:tcW w:w="958" w:type="dxa"/>
            <w:tcBorders>
              <w:top w:val="single" w:sz="4" w:space="0" w:color="548DD4" w:themeColor="text2" w:themeTint="99"/>
              <w:bottom w:val="single" w:sz="4" w:space="0" w:color="548DD4" w:themeColor="text2" w:themeTint="99"/>
            </w:tcBorders>
            <w:vAlign w:val="center"/>
          </w:tcPr>
          <w:p w14:paraId="52168FD2" w14:textId="77777777" w:rsidR="00123F33" w:rsidRPr="00D23BD5" w:rsidRDefault="00123F33" w:rsidP="00123F33">
            <w:pPr>
              <w:jc w:val="center"/>
              <w:rPr>
                <w:rFonts w:ascii="Calibri" w:hAnsi="Calibri" w:cs="Calibri"/>
                <w:b/>
                <w:color w:val="808080" w:themeColor="background1" w:themeShade="80"/>
              </w:rPr>
            </w:pPr>
          </w:p>
        </w:tc>
        <w:tc>
          <w:tcPr>
            <w:tcW w:w="2297" w:type="dxa"/>
            <w:tcBorders>
              <w:top w:val="single" w:sz="4" w:space="0" w:color="548DD4" w:themeColor="text2" w:themeTint="99"/>
              <w:bottom w:val="single" w:sz="4" w:space="0" w:color="548DD4" w:themeColor="text2" w:themeTint="99"/>
            </w:tcBorders>
            <w:vAlign w:val="center"/>
          </w:tcPr>
          <w:p w14:paraId="46983DA3" w14:textId="77777777" w:rsidR="00123F33" w:rsidRPr="00390F7A" w:rsidRDefault="00123F33" w:rsidP="00123F33">
            <w:pPr>
              <w:rPr>
                <w:rFonts w:ascii="Calibri" w:hAnsi="Calibri" w:cs="Calibri"/>
                <w:b/>
                <w:color w:val="808080" w:themeColor="background1" w:themeShade="80"/>
                <w:sz w:val="21"/>
                <w:szCs w:val="21"/>
              </w:rPr>
            </w:pPr>
            <w:r w:rsidRPr="00390F7A">
              <w:rPr>
                <w:rFonts w:ascii="Calibri" w:hAnsi="Calibri" w:cs="Calibri"/>
                <w:b/>
                <w:color w:val="808080" w:themeColor="background1" w:themeShade="80"/>
                <w:sz w:val="21"/>
                <w:szCs w:val="21"/>
              </w:rPr>
              <w:t>% of licenses issued that comply with the conditions required of them</w:t>
            </w:r>
          </w:p>
          <w:p w14:paraId="59816197" w14:textId="77777777" w:rsidR="00123F33" w:rsidRPr="006E0DDA" w:rsidRDefault="00123F33" w:rsidP="00123F33">
            <w:pPr>
              <w:rPr>
                <w:rFonts w:ascii="Calibri" w:hAnsi="Calibri" w:cs="Calibri"/>
                <w:b/>
                <w:iCs/>
                <w:color w:val="808080" w:themeColor="background1" w:themeShade="80"/>
                <w:sz w:val="21"/>
                <w:szCs w:val="21"/>
              </w:rPr>
            </w:pPr>
          </w:p>
        </w:tc>
        <w:tc>
          <w:tcPr>
            <w:tcW w:w="3117" w:type="dxa"/>
            <w:tcBorders>
              <w:top w:val="single" w:sz="4" w:space="0" w:color="548DD4" w:themeColor="text2" w:themeTint="99"/>
              <w:bottom w:val="single" w:sz="4" w:space="0" w:color="548DD4" w:themeColor="text2" w:themeTint="99"/>
            </w:tcBorders>
            <w:vAlign w:val="center"/>
          </w:tcPr>
          <w:p w14:paraId="5389D3B8" w14:textId="77777777" w:rsidR="00123F33" w:rsidRPr="00076CA4" w:rsidRDefault="00123F33" w:rsidP="00123F33">
            <w:pPr>
              <w:jc w:val="center"/>
              <w:rPr>
                <w:rFonts w:ascii="Calibri" w:hAnsi="Calibri" w:cs="Calibri"/>
                <w:i/>
                <w:color w:val="808080" w:themeColor="background1" w:themeShade="80"/>
              </w:rPr>
            </w:pPr>
            <w:r w:rsidRPr="00076CA4">
              <w:rPr>
                <w:rFonts w:ascii="Calibri" w:hAnsi="Calibri" w:cs="Calibri"/>
                <w:i/>
                <w:color w:val="808080" w:themeColor="background1" w:themeShade="80"/>
              </w:rPr>
              <w:t>No data</w:t>
            </w:r>
          </w:p>
        </w:tc>
        <w:tc>
          <w:tcPr>
            <w:tcW w:w="853" w:type="dxa"/>
            <w:tcBorders>
              <w:top w:val="single" w:sz="4" w:space="0" w:color="548DD4" w:themeColor="text2" w:themeTint="99"/>
              <w:bottom w:val="single" w:sz="4" w:space="0" w:color="548DD4" w:themeColor="text2" w:themeTint="99"/>
            </w:tcBorders>
            <w:vAlign w:val="center"/>
          </w:tcPr>
          <w:p w14:paraId="698C08F7" w14:textId="77777777" w:rsidR="00123F33" w:rsidRPr="00076CA4" w:rsidRDefault="00123F33" w:rsidP="00123F33">
            <w:pPr>
              <w:jc w:val="center"/>
              <w:rPr>
                <w:rFonts w:ascii="Calibri" w:hAnsi="Calibri" w:cs="Calibri"/>
                <w:color w:val="808080" w:themeColor="background1" w:themeShade="80"/>
              </w:rPr>
            </w:pPr>
          </w:p>
        </w:tc>
        <w:tc>
          <w:tcPr>
            <w:tcW w:w="3685" w:type="dxa"/>
            <w:tcBorders>
              <w:top w:val="single" w:sz="4" w:space="0" w:color="548DD4" w:themeColor="text2" w:themeTint="99"/>
              <w:bottom w:val="single" w:sz="4" w:space="0" w:color="548DD4" w:themeColor="text2" w:themeTint="99"/>
            </w:tcBorders>
            <w:vAlign w:val="center"/>
          </w:tcPr>
          <w:p w14:paraId="3C40E4BD" w14:textId="584ADD23" w:rsidR="00123F33" w:rsidRPr="00123F33" w:rsidRDefault="00123F33" w:rsidP="00123F33">
            <w:pPr>
              <w:jc w:val="both"/>
              <w:rPr>
                <w:rFonts w:ascii="Calibri" w:hAnsi="Calibri" w:cs="Calibri"/>
                <w:color w:val="808080" w:themeColor="background1" w:themeShade="80"/>
              </w:rPr>
            </w:pPr>
            <w:r w:rsidRPr="00123F33">
              <w:rPr>
                <w:rFonts w:ascii="Calibri" w:hAnsi="Calibri" w:cs="Calibri"/>
                <w:color w:val="808080" w:themeColor="background1" w:themeShade="80"/>
              </w:rPr>
              <w:t>Lack of resource to carry out compliance checks</w:t>
            </w:r>
          </w:p>
        </w:tc>
        <w:tc>
          <w:tcPr>
            <w:tcW w:w="3691" w:type="dxa"/>
            <w:tcBorders>
              <w:top w:val="single" w:sz="4" w:space="0" w:color="548DD4" w:themeColor="text2" w:themeTint="99"/>
              <w:bottom w:val="single" w:sz="4" w:space="0" w:color="548DD4" w:themeColor="text2" w:themeTint="99"/>
            </w:tcBorders>
            <w:vAlign w:val="center"/>
          </w:tcPr>
          <w:p w14:paraId="20940DEA" w14:textId="4A09FF45" w:rsidR="00123F33" w:rsidRPr="00390F7A" w:rsidRDefault="00123F33" w:rsidP="00123F33">
            <w:pPr>
              <w:rPr>
                <w:rFonts w:ascii="Calibri" w:hAnsi="Calibri" w:cs="Calibri"/>
              </w:rPr>
            </w:pPr>
            <w:r w:rsidRPr="00A86FD0">
              <w:rPr>
                <w:rFonts w:ascii="Calibri" w:hAnsi="Calibri" w:cs="Calibri"/>
                <w:color w:val="808080" w:themeColor="background1" w:themeShade="80"/>
              </w:rPr>
              <w:t>Ongoing internal discussions to address resourcing issues</w:t>
            </w:r>
          </w:p>
        </w:tc>
      </w:tr>
      <w:tr w:rsidR="00123F33" w:rsidRPr="003A4D73" w14:paraId="00FFC2D1" w14:textId="77777777" w:rsidTr="00DA6DA2">
        <w:trPr>
          <w:trHeight w:hRule="exact" w:val="849"/>
          <w:tblHeader/>
          <w:jc w:val="center"/>
        </w:trPr>
        <w:tc>
          <w:tcPr>
            <w:tcW w:w="958" w:type="dxa"/>
            <w:tcBorders>
              <w:top w:val="single" w:sz="4" w:space="0" w:color="548DD4" w:themeColor="text2" w:themeTint="99"/>
              <w:bottom w:val="single" w:sz="4" w:space="0" w:color="548DD4" w:themeColor="text2" w:themeTint="99"/>
            </w:tcBorders>
            <w:vAlign w:val="center"/>
          </w:tcPr>
          <w:p w14:paraId="29237BCE" w14:textId="77777777" w:rsidR="00123F33" w:rsidRPr="00D23BD5" w:rsidRDefault="00123F33" w:rsidP="00123F33">
            <w:pPr>
              <w:jc w:val="center"/>
              <w:rPr>
                <w:rFonts w:ascii="Calibri" w:hAnsi="Calibri" w:cs="Calibri"/>
                <w:b/>
                <w:color w:val="808080" w:themeColor="background1" w:themeShade="80"/>
              </w:rPr>
            </w:pPr>
          </w:p>
        </w:tc>
        <w:tc>
          <w:tcPr>
            <w:tcW w:w="2297" w:type="dxa"/>
            <w:tcBorders>
              <w:top w:val="single" w:sz="4" w:space="0" w:color="548DD4" w:themeColor="text2" w:themeTint="99"/>
              <w:bottom w:val="single" w:sz="4" w:space="0" w:color="548DD4" w:themeColor="text2" w:themeTint="99"/>
            </w:tcBorders>
            <w:vAlign w:val="center"/>
          </w:tcPr>
          <w:p w14:paraId="51515265" w14:textId="77777777" w:rsidR="00123F33" w:rsidRPr="006E0DDA" w:rsidRDefault="00123F33" w:rsidP="00123F33">
            <w:pPr>
              <w:rPr>
                <w:rFonts w:ascii="Calibri" w:hAnsi="Calibri" w:cs="Calibri"/>
                <w:b/>
                <w:iCs/>
                <w:color w:val="808080" w:themeColor="background1" w:themeShade="80"/>
                <w:sz w:val="21"/>
                <w:szCs w:val="21"/>
              </w:rPr>
            </w:pPr>
            <w:r w:rsidRPr="006E0DDA">
              <w:rPr>
                <w:rFonts w:ascii="Calibri" w:hAnsi="Calibri" w:cs="Calibri"/>
                <w:b/>
                <w:iCs/>
                <w:color w:val="808080" w:themeColor="background1" w:themeShade="80"/>
                <w:sz w:val="21"/>
                <w:szCs w:val="21"/>
              </w:rPr>
              <w:t>Are we seeing raptors where we should be?</w:t>
            </w:r>
          </w:p>
        </w:tc>
        <w:tc>
          <w:tcPr>
            <w:tcW w:w="3117" w:type="dxa"/>
            <w:tcBorders>
              <w:top w:val="single" w:sz="4" w:space="0" w:color="548DD4" w:themeColor="text2" w:themeTint="99"/>
              <w:bottom w:val="single" w:sz="4" w:space="0" w:color="548DD4" w:themeColor="text2" w:themeTint="99"/>
            </w:tcBorders>
            <w:vAlign w:val="center"/>
          </w:tcPr>
          <w:p w14:paraId="37D2CE40" w14:textId="6EB9C53E" w:rsidR="00123F33" w:rsidRPr="00076CA4" w:rsidRDefault="00123F33" w:rsidP="00123F33">
            <w:pPr>
              <w:jc w:val="center"/>
              <w:rPr>
                <w:rFonts w:ascii="Calibri" w:hAnsi="Calibri" w:cs="Calibri"/>
                <w:noProof/>
                <w:color w:val="808080" w:themeColor="background1" w:themeShade="80"/>
                <w:lang w:eastAsia="en-GB"/>
              </w:rPr>
            </w:pPr>
            <w:r w:rsidRPr="00076CA4">
              <w:rPr>
                <w:rFonts w:ascii="Calibri" w:hAnsi="Calibri" w:cs="Calibri"/>
                <w:i/>
                <w:color w:val="808080" w:themeColor="background1" w:themeShade="80"/>
              </w:rPr>
              <w:t>Annual measure</w:t>
            </w:r>
            <w:r>
              <w:rPr>
                <w:rFonts w:ascii="Calibri" w:hAnsi="Calibri" w:cs="Calibri"/>
                <w:i/>
                <w:color w:val="808080" w:themeColor="background1" w:themeShade="80"/>
              </w:rPr>
              <w:t xml:space="preserve"> Q4</w:t>
            </w:r>
          </w:p>
        </w:tc>
        <w:tc>
          <w:tcPr>
            <w:tcW w:w="853" w:type="dxa"/>
            <w:tcBorders>
              <w:top w:val="single" w:sz="4" w:space="0" w:color="548DD4" w:themeColor="text2" w:themeTint="99"/>
              <w:bottom w:val="single" w:sz="4" w:space="0" w:color="548DD4" w:themeColor="text2" w:themeTint="99"/>
            </w:tcBorders>
            <w:vAlign w:val="center"/>
          </w:tcPr>
          <w:p w14:paraId="2D3F33C2" w14:textId="77777777" w:rsidR="00123F33" w:rsidRPr="00076CA4" w:rsidRDefault="00123F33" w:rsidP="00123F33">
            <w:pPr>
              <w:jc w:val="center"/>
              <w:rPr>
                <w:rFonts w:ascii="Calibri" w:hAnsi="Calibri" w:cs="Calibri"/>
                <w:color w:val="808080" w:themeColor="background1" w:themeShade="80"/>
              </w:rPr>
            </w:pPr>
          </w:p>
        </w:tc>
        <w:tc>
          <w:tcPr>
            <w:tcW w:w="3685" w:type="dxa"/>
            <w:tcBorders>
              <w:top w:val="single" w:sz="4" w:space="0" w:color="548DD4" w:themeColor="text2" w:themeTint="99"/>
              <w:bottom w:val="single" w:sz="4" w:space="0" w:color="548DD4" w:themeColor="text2" w:themeTint="99"/>
            </w:tcBorders>
            <w:vAlign w:val="center"/>
          </w:tcPr>
          <w:p w14:paraId="6CB17064" w14:textId="77777777" w:rsidR="00123F33" w:rsidRPr="00076CA4" w:rsidRDefault="00123F33" w:rsidP="00123F33">
            <w:pPr>
              <w:jc w:val="both"/>
              <w:rPr>
                <w:rFonts w:ascii="Calibri" w:hAnsi="Calibri" w:cs="Calibri"/>
                <w:color w:val="808080" w:themeColor="background1" w:themeShade="80"/>
              </w:rPr>
            </w:pPr>
            <w:r w:rsidRPr="00076CA4">
              <w:rPr>
                <w:rFonts w:ascii="Calibri" w:hAnsi="Calibri" w:cs="Calibri"/>
                <w:i/>
                <w:color w:val="808080" w:themeColor="background1" w:themeShade="80"/>
              </w:rPr>
              <w:t>No report as Annual Measure</w:t>
            </w:r>
          </w:p>
        </w:tc>
        <w:tc>
          <w:tcPr>
            <w:tcW w:w="3691" w:type="dxa"/>
            <w:tcBorders>
              <w:top w:val="single" w:sz="4" w:space="0" w:color="548DD4" w:themeColor="text2" w:themeTint="99"/>
              <w:bottom w:val="single" w:sz="4" w:space="0" w:color="548DD4" w:themeColor="text2" w:themeTint="99"/>
            </w:tcBorders>
            <w:vAlign w:val="center"/>
          </w:tcPr>
          <w:p w14:paraId="6E31A124" w14:textId="1F9663D3" w:rsidR="00123F33" w:rsidRDefault="00123F33" w:rsidP="00123F33">
            <w:r>
              <w:rPr>
                <w:rFonts w:ascii="Calibri" w:hAnsi="Calibri" w:cs="Calibri"/>
                <w:color w:val="808080" w:themeColor="background1" w:themeShade="80"/>
              </w:rPr>
              <w:t>Data for previous years will be presented in the Q3 report until the next data point can be collected.</w:t>
            </w:r>
          </w:p>
        </w:tc>
      </w:tr>
    </w:tbl>
    <w:p w14:paraId="6EE16C38" w14:textId="77777777" w:rsidR="006E0DDA" w:rsidRPr="00FB3B80" w:rsidRDefault="00675DB4" w:rsidP="009A7A96">
      <w:pPr>
        <w:pStyle w:val="Heading2"/>
        <w:shd w:val="clear" w:color="auto" w:fill="007DC3"/>
        <w:spacing w:after="0"/>
        <w:jc w:val="center"/>
        <w:rPr>
          <w:rFonts w:ascii="Calibri" w:hAnsi="Calibri" w:cs="Calibri"/>
        </w:rPr>
      </w:pPr>
      <w:r w:rsidRPr="00FB3B80">
        <w:rPr>
          <w:rFonts w:ascii="Calibri" w:hAnsi="Calibri" w:cs="Calibri"/>
        </w:rPr>
        <w:t>WE HAVE RESTORED NATURE</w:t>
      </w:r>
    </w:p>
    <w:tbl>
      <w:tblPr>
        <w:tblStyle w:val="TableGrid"/>
        <w:tblW w:w="14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transformed how we work measures"/>
        <w:tblDescription w:val="An update at the end of this quarter for all of the measures that sit under 'we have transformed how we work'"/>
      </w:tblPr>
      <w:tblGrid>
        <w:gridCol w:w="959"/>
        <w:gridCol w:w="2298"/>
        <w:gridCol w:w="3118"/>
        <w:gridCol w:w="996"/>
        <w:gridCol w:w="3544"/>
        <w:gridCol w:w="3691"/>
      </w:tblGrid>
      <w:tr w:rsidR="006E28A5" w:rsidRPr="00F56679" w14:paraId="3917BD35" w14:textId="77777777" w:rsidTr="00A86FD0">
        <w:trPr>
          <w:tblHeader/>
          <w:jc w:val="center"/>
        </w:trPr>
        <w:tc>
          <w:tcPr>
            <w:tcW w:w="959" w:type="dxa"/>
            <w:tcBorders>
              <w:bottom w:val="single" w:sz="4" w:space="0" w:color="548DD4" w:themeColor="text2" w:themeTint="99"/>
            </w:tcBorders>
          </w:tcPr>
          <w:p w14:paraId="59018532" w14:textId="77777777" w:rsidR="006E28A5" w:rsidRPr="00F56679" w:rsidRDefault="006E28A5" w:rsidP="00644AA9">
            <w:pPr>
              <w:jc w:val="center"/>
              <w:rPr>
                <w:rFonts w:ascii="Calibri" w:hAnsi="Calibri" w:cs="Calibri"/>
                <w:b/>
              </w:rPr>
            </w:pPr>
            <w:r>
              <w:rPr>
                <w:rFonts w:ascii="Calibri" w:hAnsi="Calibri" w:cs="Calibri"/>
                <w:b/>
              </w:rPr>
              <w:t>Score</w:t>
            </w:r>
          </w:p>
        </w:tc>
        <w:tc>
          <w:tcPr>
            <w:tcW w:w="2298" w:type="dxa"/>
            <w:tcBorders>
              <w:bottom w:val="single" w:sz="4" w:space="0" w:color="548DD4" w:themeColor="text2" w:themeTint="99"/>
            </w:tcBorders>
          </w:tcPr>
          <w:p w14:paraId="2A5FC747" w14:textId="77777777" w:rsidR="006E28A5" w:rsidRPr="00F56679" w:rsidRDefault="006E28A5" w:rsidP="00644AA9">
            <w:pPr>
              <w:jc w:val="center"/>
              <w:rPr>
                <w:rFonts w:ascii="Calibri" w:hAnsi="Calibri" w:cs="Calibri"/>
                <w:b/>
              </w:rPr>
            </w:pPr>
            <w:r w:rsidRPr="00F56679">
              <w:rPr>
                <w:rFonts w:ascii="Calibri" w:hAnsi="Calibri" w:cs="Calibri"/>
                <w:b/>
              </w:rPr>
              <w:t>Measure</w:t>
            </w:r>
          </w:p>
        </w:tc>
        <w:tc>
          <w:tcPr>
            <w:tcW w:w="3118" w:type="dxa"/>
            <w:tcBorders>
              <w:bottom w:val="single" w:sz="4" w:space="0" w:color="548DD4" w:themeColor="text2" w:themeTint="99"/>
            </w:tcBorders>
          </w:tcPr>
          <w:p w14:paraId="376CA8CA" w14:textId="77777777" w:rsidR="006E28A5" w:rsidRPr="00F56679" w:rsidRDefault="006E28A5" w:rsidP="00644AA9">
            <w:pPr>
              <w:jc w:val="center"/>
              <w:rPr>
                <w:rFonts w:ascii="Calibri" w:hAnsi="Calibri" w:cs="Calibri"/>
                <w:b/>
              </w:rPr>
            </w:pPr>
            <w:r>
              <w:rPr>
                <w:rFonts w:ascii="Calibri" w:hAnsi="Calibri" w:cs="Calibri"/>
                <w:b/>
              </w:rPr>
              <w:t>Performance Overview</w:t>
            </w:r>
          </w:p>
        </w:tc>
        <w:tc>
          <w:tcPr>
            <w:tcW w:w="996" w:type="dxa"/>
            <w:tcBorders>
              <w:bottom w:val="single" w:sz="4" w:space="0" w:color="548DD4" w:themeColor="text2" w:themeTint="99"/>
            </w:tcBorders>
          </w:tcPr>
          <w:p w14:paraId="5E94177C" w14:textId="77777777" w:rsidR="006E28A5" w:rsidRPr="00F56679" w:rsidRDefault="006E28A5" w:rsidP="00644AA9">
            <w:pPr>
              <w:jc w:val="center"/>
              <w:rPr>
                <w:rFonts w:ascii="Calibri" w:hAnsi="Calibri" w:cs="Calibri"/>
                <w:b/>
              </w:rPr>
            </w:pPr>
            <w:r w:rsidRPr="00F56679">
              <w:rPr>
                <w:rFonts w:ascii="Calibri" w:hAnsi="Calibri" w:cs="Calibri"/>
                <w:b/>
              </w:rPr>
              <w:t>Actual</w:t>
            </w:r>
          </w:p>
        </w:tc>
        <w:tc>
          <w:tcPr>
            <w:tcW w:w="3544" w:type="dxa"/>
            <w:tcBorders>
              <w:bottom w:val="single" w:sz="4" w:space="0" w:color="548DD4" w:themeColor="text2" w:themeTint="99"/>
            </w:tcBorders>
          </w:tcPr>
          <w:p w14:paraId="7255E289" w14:textId="77777777" w:rsidR="006E28A5" w:rsidRPr="00F56679" w:rsidRDefault="006E28A5" w:rsidP="00644AA9">
            <w:pPr>
              <w:jc w:val="center"/>
              <w:rPr>
                <w:rFonts w:ascii="Calibri" w:hAnsi="Calibri" w:cs="Calibri"/>
                <w:b/>
              </w:rPr>
            </w:pPr>
            <w:r w:rsidRPr="00F56679">
              <w:rPr>
                <w:rFonts w:ascii="Calibri" w:hAnsi="Calibri" w:cs="Calibri"/>
                <w:b/>
              </w:rPr>
              <w:t>Cause</w:t>
            </w:r>
          </w:p>
        </w:tc>
        <w:tc>
          <w:tcPr>
            <w:tcW w:w="3691" w:type="dxa"/>
            <w:tcBorders>
              <w:bottom w:val="single" w:sz="4" w:space="0" w:color="548DD4" w:themeColor="text2" w:themeTint="99"/>
            </w:tcBorders>
          </w:tcPr>
          <w:p w14:paraId="63E09096" w14:textId="77777777" w:rsidR="006E28A5" w:rsidRPr="00F56679" w:rsidRDefault="006E28A5" w:rsidP="00644AA9">
            <w:pPr>
              <w:jc w:val="center"/>
              <w:rPr>
                <w:rFonts w:ascii="Calibri" w:hAnsi="Calibri" w:cs="Calibri"/>
                <w:b/>
              </w:rPr>
            </w:pPr>
            <w:r w:rsidRPr="00F56679">
              <w:rPr>
                <w:rFonts w:ascii="Calibri" w:hAnsi="Calibri" w:cs="Calibri"/>
                <w:b/>
              </w:rPr>
              <w:t>Response</w:t>
            </w:r>
          </w:p>
        </w:tc>
      </w:tr>
      <w:tr w:rsidR="006E28A5" w:rsidRPr="003A4D73" w14:paraId="746B25D9" w14:textId="77777777" w:rsidTr="00DA6DA2">
        <w:trPr>
          <w:trHeight w:hRule="exact" w:val="798"/>
          <w:jc w:val="center"/>
        </w:trPr>
        <w:tc>
          <w:tcPr>
            <w:tcW w:w="959" w:type="dxa"/>
            <w:tcBorders>
              <w:top w:val="single" w:sz="4" w:space="0" w:color="548DD4" w:themeColor="text2" w:themeTint="99"/>
              <w:bottom w:val="single" w:sz="4" w:space="0" w:color="548DD4" w:themeColor="text2" w:themeTint="99"/>
            </w:tcBorders>
            <w:vAlign w:val="center"/>
          </w:tcPr>
          <w:p w14:paraId="5EC2779D" w14:textId="77777777" w:rsidR="006E28A5" w:rsidRPr="003A4D73" w:rsidRDefault="006E28A5" w:rsidP="00644AA9">
            <w:pPr>
              <w:jc w:val="center"/>
              <w:rPr>
                <w:rFonts w:ascii="Calibri" w:hAnsi="Calibri" w:cs="Calibri"/>
                <w:b/>
              </w:rPr>
            </w:pPr>
          </w:p>
        </w:tc>
        <w:tc>
          <w:tcPr>
            <w:tcW w:w="2298" w:type="dxa"/>
            <w:tcBorders>
              <w:top w:val="single" w:sz="4" w:space="0" w:color="548DD4" w:themeColor="text2" w:themeTint="99"/>
              <w:bottom w:val="single" w:sz="4" w:space="0" w:color="548DD4" w:themeColor="text2" w:themeTint="99"/>
            </w:tcBorders>
            <w:vAlign w:val="center"/>
          </w:tcPr>
          <w:p w14:paraId="6573A84F" w14:textId="77777777" w:rsidR="006E28A5" w:rsidRPr="006E0DDA" w:rsidRDefault="006E28A5" w:rsidP="007C3D2E">
            <w:pPr>
              <w:rPr>
                <w:rFonts w:ascii="Calibri" w:hAnsi="Calibri" w:cs="Calibri"/>
                <w:b/>
                <w:iCs/>
                <w:color w:val="808080" w:themeColor="background1" w:themeShade="80"/>
                <w:sz w:val="21"/>
                <w:szCs w:val="21"/>
              </w:rPr>
            </w:pPr>
            <w:r w:rsidRPr="006E0DDA">
              <w:rPr>
                <w:rFonts w:ascii="Calibri" w:hAnsi="Calibri" w:cs="Calibri"/>
                <w:b/>
                <w:iCs/>
                <w:color w:val="808080" w:themeColor="background1" w:themeShade="80"/>
                <w:sz w:val="21"/>
                <w:szCs w:val="21"/>
              </w:rPr>
              <w:t>Area (ha) of enhancements through SMEEF</w:t>
            </w:r>
          </w:p>
        </w:tc>
        <w:tc>
          <w:tcPr>
            <w:tcW w:w="3118" w:type="dxa"/>
            <w:tcBorders>
              <w:top w:val="single" w:sz="4" w:space="0" w:color="548DD4" w:themeColor="text2" w:themeTint="99"/>
              <w:bottom w:val="single" w:sz="4" w:space="0" w:color="548DD4" w:themeColor="text2" w:themeTint="99"/>
            </w:tcBorders>
            <w:vAlign w:val="center"/>
          </w:tcPr>
          <w:p w14:paraId="210CDC95" w14:textId="20DE7AAD" w:rsidR="006E28A5" w:rsidRPr="003A4D73" w:rsidRDefault="001F13D5" w:rsidP="00644AA9">
            <w:pPr>
              <w:jc w:val="center"/>
              <w:rPr>
                <w:rFonts w:ascii="Calibri" w:hAnsi="Calibri" w:cs="Calibri"/>
              </w:rPr>
            </w:pPr>
            <w:r>
              <w:rPr>
                <w:rFonts w:ascii="Calibri" w:hAnsi="Calibri" w:cs="Calibri"/>
                <w:i/>
                <w:color w:val="808080" w:themeColor="background1" w:themeShade="80"/>
              </w:rPr>
              <w:t>Data to be provided in Q3</w:t>
            </w:r>
          </w:p>
        </w:tc>
        <w:tc>
          <w:tcPr>
            <w:tcW w:w="996" w:type="dxa"/>
            <w:tcBorders>
              <w:top w:val="single" w:sz="4" w:space="0" w:color="548DD4" w:themeColor="text2" w:themeTint="99"/>
              <w:bottom w:val="single" w:sz="4" w:space="0" w:color="548DD4" w:themeColor="text2" w:themeTint="99"/>
            </w:tcBorders>
            <w:vAlign w:val="center"/>
          </w:tcPr>
          <w:p w14:paraId="0576F99A" w14:textId="77777777" w:rsidR="006E28A5" w:rsidRPr="003D306D" w:rsidRDefault="006E28A5" w:rsidP="00644AA9">
            <w:pPr>
              <w:jc w:val="center"/>
              <w:rPr>
                <w:rFonts w:ascii="Calibri" w:hAnsi="Calibri" w:cs="Calibri"/>
                <w:color w:val="808080" w:themeColor="background1" w:themeShade="80"/>
                <w:sz w:val="19"/>
                <w:szCs w:val="19"/>
              </w:rPr>
            </w:pPr>
          </w:p>
        </w:tc>
        <w:tc>
          <w:tcPr>
            <w:tcW w:w="3544" w:type="dxa"/>
            <w:tcBorders>
              <w:top w:val="single" w:sz="4" w:space="0" w:color="548DD4" w:themeColor="text2" w:themeTint="99"/>
              <w:bottom w:val="single" w:sz="4" w:space="0" w:color="548DD4" w:themeColor="text2" w:themeTint="99"/>
            </w:tcBorders>
            <w:vAlign w:val="center"/>
          </w:tcPr>
          <w:p w14:paraId="405248A2" w14:textId="77777777" w:rsidR="006E28A5" w:rsidRPr="006107CC" w:rsidRDefault="00B173B7" w:rsidP="00644AA9">
            <w:pPr>
              <w:jc w:val="both"/>
              <w:rPr>
                <w:rFonts w:ascii="Calibri" w:hAnsi="Calibri" w:cs="Calibri"/>
                <w:color w:val="808080" w:themeColor="background1" w:themeShade="80"/>
              </w:rPr>
            </w:pPr>
            <w:r>
              <w:rPr>
                <w:rFonts w:ascii="Calibri" w:hAnsi="Calibri" w:cs="Calibri"/>
                <w:color w:val="808080" w:themeColor="background1" w:themeShade="80"/>
              </w:rPr>
              <w:t>N/A</w:t>
            </w:r>
          </w:p>
        </w:tc>
        <w:tc>
          <w:tcPr>
            <w:tcW w:w="3691" w:type="dxa"/>
            <w:tcBorders>
              <w:top w:val="single" w:sz="4" w:space="0" w:color="548DD4" w:themeColor="text2" w:themeTint="99"/>
              <w:bottom w:val="single" w:sz="4" w:space="0" w:color="548DD4" w:themeColor="text2" w:themeTint="99"/>
            </w:tcBorders>
            <w:vAlign w:val="center"/>
          </w:tcPr>
          <w:p w14:paraId="2FB957D4" w14:textId="2CA4E80F" w:rsidR="006E28A5" w:rsidRDefault="001F13D5" w:rsidP="00644AA9">
            <w:r>
              <w:rPr>
                <w:rFonts w:ascii="Calibri" w:hAnsi="Calibri" w:cs="Calibri"/>
                <w:color w:val="808080" w:themeColor="background1" w:themeShade="80"/>
              </w:rPr>
              <w:t>SMEEF measures are in development and are now expected in Q3.</w:t>
            </w:r>
          </w:p>
        </w:tc>
      </w:tr>
      <w:tr w:rsidR="00B173B7" w:rsidRPr="003A4D73" w14:paraId="7D2369CE" w14:textId="77777777" w:rsidTr="00A86FD0">
        <w:trPr>
          <w:trHeight w:hRule="exact" w:val="1361"/>
          <w:jc w:val="center"/>
        </w:trPr>
        <w:tc>
          <w:tcPr>
            <w:tcW w:w="959" w:type="dxa"/>
            <w:tcBorders>
              <w:top w:val="single" w:sz="4" w:space="0" w:color="548DD4" w:themeColor="text2" w:themeTint="99"/>
              <w:bottom w:val="single" w:sz="4" w:space="0" w:color="548DD4" w:themeColor="text2" w:themeTint="99"/>
            </w:tcBorders>
            <w:vAlign w:val="center"/>
          </w:tcPr>
          <w:p w14:paraId="4D97DAC3" w14:textId="77777777" w:rsidR="00B173B7" w:rsidRPr="003A4D73" w:rsidRDefault="00B173B7" w:rsidP="00B173B7">
            <w:pPr>
              <w:jc w:val="center"/>
              <w:rPr>
                <w:rFonts w:ascii="Calibri" w:hAnsi="Calibri" w:cs="Calibri"/>
                <w:b/>
              </w:rPr>
            </w:pPr>
          </w:p>
        </w:tc>
        <w:tc>
          <w:tcPr>
            <w:tcW w:w="2298" w:type="dxa"/>
            <w:tcBorders>
              <w:top w:val="single" w:sz="4" w:space="0" w:color="548DD4" w:themeColor="text2" w:themeTint="99"/>
              <w:bottom w:val="single" w:sz="4" w:space="0" w:color="548DD4" w:themeColor="text2" w:themeTint="99"/>
            </w:tcBorders>
            <w:vAlign w:val="center"/>
          </w:tcPr>
          <w:p w14:paraId="55B03817" w14:textId="77777777" w:rsidR="00B173B7" w:rsidRPr="006E0DDA" w:rsidRDefault="00F94343" w:rsidP="00B173B7">
            <w:pPr>
              <w:rPr>
                <w:rFonts w:ascii="Calibri" w:hAnsi="Calibri" w:cs="Calibri"/>
                <w:b/>
                <w:iCs/>
                <w:color w:val="808080" w:themeColor="background1" w:themeShade="80"/>
                <w:sz w:val="21"/>
                <w:szCs w:val="21"/>
              </w:rPr>
            </w:pPr>
            <w:hyperlink r:id="rId14" w:history="1">
              <w:r w:rsidR="00B173B7" w:rsidRPr="00A0017B">
                <w:rPr>
                  <w:rStyle w:val="Hyperlink"/>
                  <w:rFonts w:ascii="Calibri" w:hAnsi="Calibri" w:cs="Calibri"/>
                  <w:b/>
                  <w:iCs/>
                  <w:color w:val="808080" w:themeColor="background1" w:themeShade="80"/>
                  <w:sz w:val="21"/>
                  <w:szCs w:val="21"/>
                </w:rPr>
                <w:t>Ha of land managed under plans supported through agricultural support schemes</w:t>
              </w:r>
            </w:hyperlink>
          </w:p>
        </w:tc>
        <w:tc>
          <w:tcPr>
            <w:tcW w:w="3118" w:type="dxa"/>
            <w:tcBorders>
              <w:top w:val="single" w:sz="4" w:space="0" w:color="548DD4" w:themeColor="text2" w:themeTint="99"/>
              <w:bottom w:val="single" w:sz="4" w:space="0" w:color="548DD4" w:themeColor="text2" w:themeTint="99"/>
            </w:tcBorders>
            <w:vAlign w:val="center"/>
          </w:tcPr>
          <w:p w14:paraId="6464AE9C" w14:textId="138054AF" w:rsidR="00B173B7" w:rsidRPr="00FB3B80" w:rsidRDefault="00076CA4" w:rsidP="00B173B7">
            <w:pPr>
              <w:jc w:val="center"/>
              <w:rPr>
                <w:rFonts w:ascii="Calibri" w:hAnsi="Calibri" w:cs="Calibri"/>
                <w:color w:val="808080" w:themeColor="background1" w:themeShade="80"/>
              </w:rPr>
            </w:pPr>
            <w:r>
              <w:rPr>
                <w:noProof/>
                <w:lang w:eastAsia="en-GB"/>
              </w:rPr>
              <w:drawing>
                <wp:inline distT="0" distB="0" distL="0" distR="0" wp14:anchorId="3D3D6C7B" wp14:editId="597F27F4">
                  <wp:extent cx="1945532" cy="778510"/>
                  <wp:effectExtent l="0" t="0" r="0" b="2540"/>
                  <wp:docPr id="8" name="Picture 8" title="HA of land managed"/>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5924" cy="778667"/>
                          </a:xfrm>
                          <a:prstGeom prst="rect">
                            <a:avLst/>
                          </a:prstGeom>
                          <a:noFill/>
                        </pic:spPr>
                      </pic:pic>
                    </a:graphicData>
                  </a:graphic>
                </wp:inline>
              </w:drawing>
            </w:r>
          </w:p>
        </w:tc>
        <w:tc>
          <w:tcPr>
            <w:tcW w:w="996" w:type="dxa"/>
            <w:tcBorders>
              <w:top w:val="single" w:sz="4" w:space="0" w:color="548DD4" w:themeColor="text2" w:themeTint="99"/>
              <w:bottom w:val="single" w:sz="4" w:space="0" w:color="548DD4" w:themeColor="text2" w:themeTint="99"/>
            </w:tcBorders>
            <w:vAlign w:val="center"/>
          </w:tcPr>
          <w:p w14:paraId="058B71DD" w14:textId="7B5474AC" w:rsidR="00B173B7" w:rsidRPr="003D306D" w:rsidRDefault="00A86FD0" w:rsidP="00B173B7">
            <w:pPr>
              <w:jc w:val="center"/>
              <w:rPr>
                <w:rFonts w:ascii="Calibri" w:hAnsi="Calibri" w:cs="Calibri"/>
                <w:color w:val="808080" w:themeColor="background1" w:themeShade="80"/>
                <w:sz w:val="19"/>
                <w:szCs w:val="19"/>
              </w:rPr>
            </w:pPr>
            <w:r>
              <w:rPr>
                <w:rFonts w:ascii="Calibri" w:hAnsi="Calibri" w:cs="Calibri"/>
                <w:color w:val="808080" w:themeColor="background1" w:themeShade="80"/>
              </w:rPr>
              <w:t>1.2m</w:t>
            </w:r>
            <w:r w:rsidR="00B173B7">
              <w:rPr>
                <w:rFonts w:ascii="Calibri" w:hAnsi="Calibri" w:cs="Calibri"/>
                <w:color w:val="808080" w:themeColor="background1" w:themeShade="80"/>
              </w:rPr>
              <w:t>ha</w:t>
            </w:r>
          </w:p>
        </w:tc>
        <w:tc>
          <w:tcPr>
            <w:tcW w:w="3544" w:type="dxa"/>
            <w:tcBorders>
              <w:top w:val="single" w:sz="4" w:space="0" w:color="548DD4" w:themeColor="text2" w:themeTint="99"/>
              <w:bottom w:val="single" w:sz="4" w:space="0" w:color="548DD4" w:themeColor="text2" w:themeTint="99"/>
            </w:tcBorders>
            <w:vAlign w:val="center"/>
          </w:tcPr>
          <w:p w14:paraId="519BE0EF" w14:textId="5FABDC71" w:rsidR="00B173B7" w:rsidRPr="00076CA4" w:rsidRDefault="00B173B7" w:rsidP="00123F33">
            <w:pPr>
              <w:rPr>
                <w:rFonts w:ascii="Calibri" w:hAnsi="Calibri" w:cs="Calibri"/>
                <w:color w:val="808080" w:themeColor="background1" w:themeShade="80"/>
              </w:rPr>
            </w:pPr>
            <w:r w:rsidRPr="00076CA4">
              <w:rPr>
                <w:rFonts w:ascii="Calibri" w:hAnsi="Calibri" w:cs="Calibri"/>
                <w:color w:val="808080" w:themeColor="background1" w:themeShade="80"/>
              </w:rPr>
              <w:t xml:space="preserve">This is only a small change in comparison to the overall amount and is </w:t>
            </w:r>
            <w:r w:rsidR="00123F33">
              <w:rPr>
                <w:rFonts w:ascii="Calibri" w:hAnsi="Calibri" w:cs="Calibri"/>
                <w:color w:val="808080" w:themeColor="background1" w:themeShade="80"/>
              </w:rPr>
              <w:t>in line with expectations at this point in the year</w:t>
            </w:r>
            <w:r w:rsidRPr="00076CA4">
              <w:rPr>
                <w:rFonts w:ascii="Calibri" w:hAnsi="Calibri" w:cs="Calibri"/>
                <w:color w:val="808080" w:themeColor="background1" w:themeShade="80"/>
              </w:rPr>
              <w:t xml:space="preserve">.  </w:t>
            </w:r>
          </w:p>
        </w:tc>
        <w:tc>
          <w:tcPr>
            <w:tcW w:w="3691" w:type="dxa"/>
            <w:tcBorders>
              <w:top w:val="single" w:sz="4" w:space="0" w:color="548DD4" w:themeColor="text2" w:themeTint="99"/>
              <w:bottom w:val="single" w:sz="4" w:space="0" w:color="548DD4" w:themeColor="text2" w:themeTint="99"/>
            </w:tcBorders>
            <w:vAlign w:val="center"/>
          </w:tcPr>
          <w:p w14:paraId="64110CC2" w14:textId="77777777" w:rsidR="00B173B7" w:rsidRPr="00076CA4" w:rsidRDefault="00B173B7" w:rsidP="00B173B7">
            <w:pPr>
              <w:jc w:val="both"/>
              <w:rPr>
                <w:rFonts w:ascii="Calibri" w:hAnsi="Calibri" w:cs="Calibri"/>
                <w:color w:val="808080" w:themeColor="background1" w:themeShade="80"/>
              </w:rPr>
            </w:pPr>
            <w:r w:rsidRPr="00076CA4">
              <w:rPr>
                <w:rFonts w:ascii="Calibri" w:hAnsi="Calibri" w:cs="Calibri"/>
                <w:color w:val="808080" w:themeColor="background1" w:themeShade="80"/>
              </w:rPr>
              <w:t>As the nature of the schemes is annual, this is an annual measure as there is no significant movement between quarters. We are continuing to monitor.</w:t>
            </w:r>
          </w:p>
        </w:tc>
      </w:tr>
      <w:tr w:rsidR="002C01B8" w:rsidRPr="003A4D73" w14:paraId="7D231ACB" w14:textId="77777777" w:rsidTr="00DA6DA2">
        <w:trPr>
          <w:trHeight w:hRule="exact" w:val="1188"/>
          <w:jc w:val="center"/>
        </w:trPr>
        <w:tc>
          <w:tcPr>
            <w:tcW w:w="959" w:type="dxa"/>
            <w:tcBorders>
              <w:top w:val="single" w:sz="4" w:space="0" w:color="548DD4" w:themeColor="text2" w:themeTint="99"/>
              <w:bottom w:val="single" w:sz="4" w:space="0" w:color="548DD4" w:themeColor="text2" w:themeTint="99"/>
            </w:tcBorders>
            <w:vAlign w:val="center"/>
          </w:tcPr>
          <w:p w14:paraId="529F034A" w14:textId="77777777" w:rsidR="002C01B8" w:rsidRPr="003A4D73" w:rsidRDefault="002C01B8" w:rsidP="002C01B8">
            <w:pPr>
              <w:jc w:val="center"/>
              <w:rPr>
                <w:rFonts w:ascii="Calibri" w:hAnsi="Calibri" w:cs="Calibri"/>
                <w:b/>
              </w:rPr>
            </w:pPr>
          </w:p>
        </w:tc>
        <w:tc>
          <w:tcPr>
            <w:tcW w:w="2298" w:type="dxa"/>
            <w:tcBorders>
              <w:top w:val="single" w:sz="4" w:space="0" w:color="548DD4" w:themeColor="text2" w:themeTint="99"/>
              <w:bottom w:val="single" w:sz="4" w:space="0" w:color="548DD4" w:themeColor="text2" w:themeTint="99"/>
            </w:tcBorders>
            <w:vAlign w:val="center"/>
          </w:tcPr>
          <w:p w14:paraId="394E06AC" w14:textId="77777777" w:rsidR="002C01B8" w:rsidRPr="006E0DDA" w:rsidRDefault="00F94343" w:rsidP="002C01B8">
            <w:pPr>
              <w:rPr>
                <w:rFonts w:ascii="Calibri" w:hAnsi="Calibri" w:cs="Calibri"/>
                <w:b/>
                <w:iCs/>
                <w:color w:val="808080" w:themeColor="background1" w:themeShade="80"/>
                <w:sz w:val="21"/>
                <w:szCs w:val="21"/>
              </w:rPr>
            </w:pPr>
            <w:hyperlink r:id="rId16" w:history="1">
              <w:r w:rsidR="002C01B8" w:rsidRPr="00B87C56">
                <w:rPr>
                  <w:rStyle w:val="Hyperlink"/>
                  <w:rFonts w:ascii="Calibri" w:hAnsi="Calibri" w:cs="Calibri"/>
                  <w:b/>
                  <w:iCs/>
                  <w:color w:val="808080" w:themeColor="background1" w:themeShade="80"/>
                  <w:sz w:val="21"/>
                  <w:szCs w:val="21"/>
                </w:rPr>
                <w:t xml:space="preserve">Area (ha) improved for </w:t>
              </w:r>
              <w:r w:rsidR="002C01B8" w:rsidRPr="00123F33">
                <w:rPr>
                  <w:rStyle w:val="Hyperlink"/>
                  <w:rFonts w:ascii="Calibri" w:hAnsi="Calibri" w:cs="Calibri"/>
                  <w:b/>
                  <w:iCs/>
                  <w:color w:val="808080" w:themeColor="background1" w:themeShade="80"/>
                  <w:sz w:val="21"/>
                  <w:szCs w:val="21"/>
                </w:rPr>
                <w:t>habitats</w:t>
              </w:r>
              <w:r w:rsidR="002C01B8" w:rsidRPr="00B87C56">
                <w:rPr>
                  <w:rStyle w:val="Hyperlink"/>
                  <w:rFonts w:ascii="Calibri" w:hAnsi="Calibri" w:cs="Calibri"/>
                  <w:b/>
                  <w:iCs/>
                  <w:color w:val="808080" w:themeColor="background1" w:themeShade="80"/>
                  <w:sz w:val="21"/>
                  <w:szCs w:val="21"/>
                </w:rPr>
                <w:t xml:space="preserve"> and species through the nature restoration fund</w:t>
              </w:r>
            </w:hyperlink>
          </w:p>
        </w:tc>
        <w:tc>
          <w:tcPr>
            <w:tcW w:w="3118" w:type="dxa"/>
            <w:tcBorders>
              <w:top w:val="single" w:sz="4" w:space="0" w:color="548DD4" w:themeColor="text2" w:themeTint="99"/>
              <w:bottom w:val="single" w:sz="4" w:space="0" w:color="548DD4" w:themeColor="text2" w:themeTint="99"/>
            </w:tcBorders>
            <w:vAlign w:val="center"/>
          </w:tcPr>
          <w:p w14:paraId="0162D7B2" w14:textId="77777777" w:rsidR="002C01B8" w:rsidRPr="00076CA4" w:rsidRDefault="00B173B7" w:rsidP="002C01B8">
            <w:pPr>
              <w:jc w:val="center"/>
              <w:rPr>
                <w:rFonts w:ascii="Calibri" w:hAnsi="Calibri" w:cs="Calibri"/>
                <w:color w:val="808080" w:themeColor="background1" w:themeShade="80"/>
              </w:rPr>
            </w:pPr>
            <w:r w:rsidRPr="00076CA4">
              <w:rPr>
                <w:rFonts w:ascii="Calibri" w:hAnsi="Calibri" w:cs="Calibri"/>
                <w:color w:val="808080" w:themeColor="background1" w:themeShade="80"/>
              </w:rPr>
              <w:t>None Reported this quarter</w:t>
            </w:r>
          </w:p>
        </w:tc>
        <w:tc>
          <w:tcPr>
            <w:tcW w:w="996" w:type="dxa"/>
            <w:tcBorders>
              <w:top w:val="single" w:sz="4" w:space="0" w:color="548DD4" w:themeColor="text2" w:themeTint="99"/>
              <w:bottom w:val="single" w:sz="4" w:space="0" w:color="548DD4" w:themeColor="text2" w:themeTint="99"/>
            </w:tcBorders>
            <w:vAlign w:val="center"/>
          </w:tcPr>
          <w:p w14:paraId="47F967A9" w14:textId="77777777" w:rsidR="002C01B8" w:rsidRPr="00076CA4" w:rsidRDefault="002C01B8" w:rsidP="002C01B8">
            <w:pPr>
              <w:jc w:val="center"/>
              <w:rPr>
                <w:rFonts w:ascii="Calibri" w:hAnsi="Calibri" w:cs="Calibri"/>
                <w:color w:val="808080" w:themeColor="background1" w:themeShade="80"/>
                <w:sz w:val="19"/>
                <w:szCs w:val="19"/>
              </w:rPr>
            </w:pPr>
          </w:p>
        </w:tc>
        <w:tc>
          <w:tcPr>
            <w:tcW w:w="3544" w:type="dxa"/>
            <w:tcBorders>
              <w:top w:val="single" w:sz="4" w:space="0" w:color="548DD4" w:themeColor="text2" w:themeTint="99"/>
              <w:bottom w:val="single" w:sz="4" w:space="0" w:color="548DD4" w:themeColor="text2" w:themeTint="99"/>
            </w:tcBorders>
            <w:vAlign w:val="center"/>
          </w:tcPr>
          <w:p w14:paraId="460A8760" w14:textId="08EBC6F2" w:rsidR="002C01B8" w:rsidRPr="001F13D5" w:rsidRDefault="001F13D5" w:rsidP="002C01B8">
            <w:pPr>
              <w:jc w:val="both"/>
              <w:rPr>
                <w:rFonts w:ascii="Calibri" w:hAnsi="Calibri" w:cs="Calibri"/>
                <w:color w:val="808080" w:themeColor="background1" w:themeShade="80"/>
              </w:rPr>
            </w:pPr>
            <w:r w:rsidRPr="001F13D5">
              <w:rPr>
                <w:rFonts w:ascii="Calibri" w:hAnsi="Calibri" w:cs="Calibri"/>
                <w:color w:val="808080" w:themeColor="background1" w:themeShade="80"/>
              </w:rPr>
              <w:t>The claims received haven’t confirmed any ha improved.</w:t>
            </w:r>
          </w:p>
        </w:tc>
        <w:tc>
          <w:tcPr>
            <w:tcW w:w="3691" w:type="dxa"/>
            <w:tcBorders>
              <w:top w:val="single" w:sz="4" w:space="0" w:color="548DD4" w:themeColor="text2" w:themeTint="99"/>
              <w:bottom w:val="single" w:sz="4" w:space="0" w:color="548DD4" w:themeColor="text2" w:themeTint="99"/>
            </w:tcBorders>
            <w:vAlign w:val="center"/>
          </w:tcPr>
          <w:p w14:paraId="1CF85009" w14:textId="4C550865" w:rsidR="002C01B8" w:rsidRPr="001F13D5" w:rsidRDefault="001F13D5" w:rsidP="00FF0FA0">
            <w:pPr>
              <w:rPr>
                <w:rFonts w:ascii="Calibri" w:hAnsi="Calibri" w:cs="Calibri"/>
                <w:color w:val="808080" w:themeColor="background1" w:themeShade="80"/>
              </w:rPr>
            </w:pPr>
            <w:r w:rsidRPr="001F13D5">
              <w:rPr>
                <w:rFonts w:ascii="Calibri" w:hAnsi="Calibri" w:cs="Calibri"/>
                <w:color w:val="808080" w:themeColor="background1" w:themeShade="80"/>
              </w:rPr>
              <w:t xml:space="preserve">Most projects deliver during Q3 and Q4.  We are anticipating </w:t>
            </w:r>
            <w:r w:rsidR="00FF0FA0">
              <w:rPr>
                <w:rFonts w:ascii="Calibri" w:hAnsi="Calibri" w:cs="Calibri"/>
                <w:color w:val="808080" w:themeColor="background1" w:themeShade="80"/>
              </w:rPr>
              <w:t>h</w:t>
            </w:r>
            <w:r>
              <w:rPr>
                <w:rFonts w:ascii="Calibri" w:hAnsi="Calibri" w:cs="Calibri"/>
                <w:color w:val="808080" w:themeColor="background1" w:themeShade="80"/>
              </w:rPr>
              <w:t>a</w:t>
            </w:r>
            <w:r w:rsidR="00FF0FA0">
              <w:rPr>
                <w:rFonts w:ascii="Calibri" w:hAnsi="Calibri" w:cs="Calibri"/>
                <w:color w:val="808080" w:themeColor="background1" w:themeShade="80"/>
              </w:rPr>
              <w:t>.</w:t>
            </w:r>
            <w:r>
              <w:rPr>
                <w:rFonts w:ascii="Calibri" w:hAnsi="Calibri" w:cs="Calibri"/>
                <w:color w:val="808080" w:themeColor="background1" w:themeShade="80"/>
              </w:rPr>
              <w:t xml:space="preserve"> </w:t>
            </w:r>
            <w:proofErr w:type="gramStart"/>
            <w:r>
              <w:rPr>
                <w:rFonts w:ascii="Calibri" w:hAnsi="Calibri" w:cs="Calibri"/>
                <w:color w:val="808080" w:themeColor="background1" w:themeShade="80"/>
              </w:rPr>
              <w:t>recovered</w:t>
            </w:r>
            <w:proofErr w:type="gramEnd"/>
            <w:r>
              <w:rPr>
                <w:rFonts w:ascii="Calibri" w:hAnsi="Calibri" w:cs="Calibri"/>
                <w:color w:val="808080" w:themeColor="background1" w:themeShade="80"/>
              </w:rPr>
              <w:t xml:space="preserve"> to start being visible</w:t>
            </w:r>
            <w:r w:rsidRPr="001F13D5">
              <w:rPr>
                <w:rFonts w:ascii="Calibri" w:hAnsi="Calibri" w:cs="Calibri"/>
                <w:color w:val="808080" w:themeColor="background1" w:themeShade="80"/>
              </w:rPr>
              <w:t xml:space="preserve"> from Q3.</w:t>
            </w:r>
          </w:p>
        </w:tc>
      </w:tr>
      <w:tr w:rsidR="006E28A5" w:rsidRPr="003A4D73" w14:paraId="749A5889" w14:textId="77777777" w:rsidTr="00A86FD0">
        <w:trPr>
          <w:trHeight w:hRule="exact" w:val="3628"/>
          <w:jc w:val="center"/>
        </w:trPr>
        <w:tc>
          <w:tcPr>
            <w:tcW w:w="959" w:type="dxa"/>
            <w:tcBorders>
              <w:top w:val="single" w:sz="4" w:space="0" w:color="548DD4" w:themeColor="text2" w:themeTint="99"/>
              <w:bottom w:val="single" w:sz="4" w:space="0" w:color="548DD4" w:themeColor="text2" w:themeTint="99"/>
            </w:tcBorders>
            <w:vAlign w:val="center"/>
          </w:tcPr>
          <w:p w14:paraId="46C7E06C" w14:textId="77777777" w:rsidR="006E28A5" w:rsidRPr="003A4D73" w:rsidRDefault="00B173B7" w:rsidP="00E10E4F">
            <w:pPr>
              <w:jc w:val="center"/>
              <w:rPr>
                <w:rFonts w:ascii="Calibri" w:hAnsi="Calibri" w:cs="Calibri"/>
                <w:b/>
              </w:rPr>
            </w:pPr>
            <w:r w:rsidRPr="00B173B7">
              <w:rPr>
                <w:rFonts w:ascii="Calibri" w:hAnsi="Calibri" w:cs="Calibri"/>
                <w:b/>
                <w:color w:val="F79646" w:themeColor="accent6"/>
              </w:rPr>
              <w:t>AMBER</w:t>
            </w:r>
          </w:p>
        </w:tc>
        <w:tc>
          <w:tcPr>
            <w:tcW w:w="2298" w:type="dxa"/>
            <w:tcBorders>
              <w:top w:val="single" w:sz="4" w:space="0" w:color="548DD4" w:themeColor="text2" w:themeTint="99"/>
              <w:bottom w:val="single" w:sz="4" w:space="0" w:color="548DD4" w:themeColor="text2" w:themeTint="99"/>
            </w:tcBorders>
            <w:vAlign w:val="center"/>
          </w:tcPr>
          <w:p w14:paraId="7CF960AE" w14:textId="77777777" w:rsidR="006E28A5" w:rsidRPr="006E0DDA" w:rsidRDefault="00F94343" w:rsidP="007C3D2E">
            <w:pPr>
              <w:rPr>
                <w:rFonts w:ascii="Calibri" w:hAnsi="Calibri" w:cs="Calibri"/>
                <w:b/>
                <w:iCs/>
                <w:color w:val="808080" w:themeColor="background1" w:themeShade="80"/>
                <w:sz w:val="21"/>
                <w:szCs w:val="21"/>
              </w:rPr>
            </w:pPr>
            <w:hyperlink r:id="rId17" w:history="1">
              <w:r w:rsidR="006E28A5" w:rsidRPr="00E10E4F">
                <w:rPr>
                  <w:rStyle w:val="Hyperlink"/>
                  <w:rFonts w:ascii="Calibri" w:hAnsi="Calibri" w:cs="Calibri"/>
                  <w:b/>
                  <w:iCs/>
                  <w:color w:val="808080" w:themeColor="background1" w:themeShade="80"/>
                  <w:sz w:val="21"/>
                  <w:szCs w:val="21"/>
                </w:rPr>
                <w:t>Area (ha) of peatland put on the road to recovery</w:t>
              </w:r>
            </w:hyperlink>
          </w:p>
        </w:tc>
        <w:tc>
          <w:tcPr>
            <w:tcW w:w="3118" w:type="dxa"/>
            <w:tcBorders>
              <w:top w:val="single" w:sz="4" w:space="0" w:color="548DD4" w:themeColor="text2" w:themeTint="99"/>
              <w:bottom w:val="single" w:sz="4" w:space="0" w:color="548DD4" w:themeColor="text2" w:themeTint="99"/>
            </w:tcBorders>
            <w:vAlign w:val="center"/>
          </w:tcPr>
          <w:p w14:paraId="05FEDE10" w14:textId="261461F6" w:rsidR="006E28A5" w:rsidRPr="003A4D73" w:rsidRDefault="001F13D5" w:rsidP="00E10E4F">
            <w:pPr>
              <w:jc w:val="center"/>
              <w:rPr>
                <w:rFonts w:ascii="Calibri" w:hAnsi="Calibri" w:cs="Calibri"/>
              </w:rPr>
            </w:pPr>
            <w:r>
              <w:rPr>
                <w:noProof/>
                <w:lang w:eastAsia="en-GB"/>
              </w:rPr>
              <w:drawing>
                <wp:inline distT="0" distB="0" distL="0" distR="0" wp14:anchorId="76FEE106" wp14:editId="323185CE">
                  <wp:extent cx="1945532" cy="836578"/>
                  <wp:effectExtent l="0" t="0" r="0" b="1905"/>
                  <wp:docPr id="3" name="Chart 3" title="HA of peatland restor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996" w:type="dxa"/>
            <w:tcBorders>
              <w:top w:val="single" w:sz="4" w:space="0" w:color="548DD4" w:themeColor="text2" w:themeTint="99"/>
              <w:bottom w:val="single" w:sz="4" w:space="0" w:color="548DD4" w:themeColor="text2" w:themeTint="99"/>
            </w:tcBorders>
            <w:vAlign w:val="center"/>
          </w:tcPr>
          <w:p w14:paraId="1D99C031" w14:textId="77777777" w:rsidR="006E28A5" w:rsidRPr="003D306D" w:rsidRDefault="00B173B7" w:rsidP="00E10E4F">
            <w:pPr>
              <w:jc w:val="center"/>
              <w:rPr>
                <w:rFonts w:ascii="Calibri" w:hAnsi="Calibri" w:cs="Calibri"/>
                <w:color w:val="808080" w:themeColor="background1" w:themeShade="80"/>
                <w:sz w:val="19"/>
                <w:szCs w:val="19"/>
              </w:rPr>
            </w:pPr>
            <w:r>
              <w:rPr>
                <w:rFonts w:ascii="Calibri" w:hAnsi="Calibri" w:cs="Calibri"/>
                <w:color w:val="808080" w:themeColor="background1" w:themeShade="80"/>
                <w:sz w:val="19"/>
                <w:szCs w:val="19"/>
              </w:rPr>
              <w:t>572</w:t>
            </w:r>
          </w:p>
        </w:tc>
        <w:tc>
          <w:tcPr>
            <w:tcW w:w="3544" w:type="dxa"/>
            <w:tcBorders>
              <w:top w:val="single" w:sz="4" w:space="0" w:color="548DD4" w:themeColor="text2" w:themeTint="99"/>
              <w:bottom w:val="single" w:sz="4" w:space="0" w:color="548DD4" w:themeColor="text2" w:themeTint="99"/>
            </w:tcBorders>
            <w:vAlign w:val="center"/>
          </w:tcPr>
          <w:p w14:paraId="3973A4E1" w14:textId="74005800" w:rsidR="00123F33" w:rsidRDefault="00B173B7" w:rsidP="00123F33">
            <w:pPr>
              <w:jc w:val="both"/>
              <w:rPr>
                <w:rFonts w:ascii="Calibri" w:hAnsi="Calibri" w:cs="Calibri"/>
                <w:color w:val="808080" w:themeColor="background1" w:themeShade="80"/>
              </w:rPr>
            </w:pPr>
            <w:r>
              <w:rPr>
                <w:rFonts w:ascii="Calibri" w:hAnsi="Calibri" w:cs="Calibri"/>
                <w:color w:val="808080" w:themeColor="background1" w:themeShade="80"/>
              </w:rPr>
              <w:t xml:space="preserve">The main two causes of this are: </w:t>
            </w:r>
            <w:r>
              <w:rPr>
                <w:rFonts w:ascii="Calibri" w:hAnsi="Calibri" w:cs="Calibri"/>
                <w:color w:val="808080" w:themeColor="background1" w:themeShade="80"/>
              </w:rPr>
              <w:br/>
              <w:t xml:space="preserve">1- </w:t>
            </w:r>
            <w:r w:rsidRPr="000E487D">
              <w:rPr>
                <w:rFonts w:ascii="Calibri" w:hAnsi="Calibri" w:cs="Calibri"/>
                <w:color w:val="808080" w:themeColor="background1" w:themeShade="80"/>
              </w:rPr>
              <w:t>Slow speed of Peatland Code Verification – as a res</w:t>
            </w:r>
            <w:r w:rsidR="0025390E">
              <w:rPr>
                <w:rFonts w:ascii="Calibri" w:hAnsi="Calibri" w:cs="Calibri"/>
                <w:color w:val="808080" w:themeColor="background1" w:themeShade="80"/>
              </w:rPr>
              <w:t>ult of backlog of applications.</w:t>
            </w:r>
            <w:r w:rsidRPr="000E487D">
              <w:rPr>
                <w:rFonts w:ascii="Calibri" w:hAnsi="Calibri" w:cs="Calibri"/>
                <w:color w:val="808080" w:themeColor="background1" w:themeShade="80"/>
              </w:rPr>
              <w:t xml:space="preserve"> Applications are not going ahead until IUCN have verified their project. Some applicants maintain this position even after being informed they can proceed</w:t>
            </w:r>
            <w:r w:rsidR="00123F33">
              <w:rPr>
                <w:rFonts w:ascii="Calibri" w:hAnsi="Calibri" w:cs="Calibri"/>
                <w:color w:val="808080" w:themeColor="background1" w:themeShade="80"/>
              </w:rPr>
              <w:t xml:space="preserve"> with this step.</w:t>
            </w:r>
          </w:p>
          <w:p w14:paraId="6B4856A9" w14:textId="0BE05D9A" w:rsidR="006E28A5" w:rsidRPr="006107CC" w:rsidRDefault="00B173B7" w:rsidP="00123F33">
            <w:pPr>
              <w:jc w:val="both"/>
              <w:rPr>
                <w:rFonts w:ascii="Calibri" w:hAnsi="Calibri" w:cs="Calibri"/>
                <w:color w:val="808080" w:themeColor="background1" w:themeShade="80"/>
              </w:rPr>
            </w:pPr>
            <w:r>
              <w:rPr>
                <w:rFonts w:ascii="Calibri" w:hAnsi="Calibri" w:cs="Calibri"/>
                <w:color w:val="808080" w:themeColor="background1" w:themeShade="80"/>
              </w:rPr>
              <w:t xml:space="preserve">2- </w:t>
            </w:r>
            <w:r w:rsidRPr="000E487D">
              <w:rPr>
                <w:rFonts w:ascii="Calibri" w:hAnsi="Calibri" w:cs="Calibri"/>
                <w:color w:val="808080" w:themeColor="background1" w:themeShade="80"/>
              </w:rPr>
              <w:t>Limited contractor capacity - Agent capacity does not have enough time to develop the project to application stage</w:t>
            </w:r>
          </w:p>
        </w:tc>
        <w:tc>
          <w:tcPr>
            <w:tcW w:w="3691" w:type="dxa"/>
            <w:tcBorders>
              <w:top w:val="single" w:sz="4" w:space="0" w:color="548DD4" w:themeColor="text2" w:themeTint="99"/>
              <w:bottom w:val="single" w:sz="4" w:space="0" w:color="548DD4" w:themeColor="text2" w:themeTint="99"/>
            </w:tcBorders>
            <w:vAlign w:val="center"/>
          </w:tcPr>
          <w:p w14:paraId="51318A7A" w14:textId="10222B02" w:rsidR="006E28A5" w:rsidRPr="006107CC" w:rsidRDefault="00B173B7" w:rsidP="00E10E4F">
            <w:pPr>
              <w:rPr>
                <w:rFonts w:ascii="Calibri" w:eastAsia="Times New Roman" w:hAnsi="Calibri" w:cs="Calibri"/>
                <w:color w:val="808080" w:themeColor="background1" w:themeShade="80"/>
                <w:szCs w:val="20"/>
              </w:rPr>
            </w:pPr>
            <w:r>
              <w:rPr>
                <w:rFonts w:ascii="Calibri" w:hAnsi="Calibri" w:cs="Calibri"/>
                <w:color w:val="808080" w:themeColor="background1" w:themeShade="80"/>
              </w:rPr>
              <w:t xml:space="preserve">Most projects deliver during Q3 and 4. </w:t>
            </w:r>
            <w:r w:rsidRPr="000E487D">
              <w:rPr>
                <w:rFonts w:ascii="Calibri" w:hAnsi="Calibri" w:cs="Calibri"/>
                <w:color w:val="808080" w:themeColor="background1" w:themeShade="80"/>
              </w:rPr>
              <w:t xml:space="preserve">Based on </w:t>
            </w:r>
            <w:r>
              <w:rPr>
                <w:rFonts w:ascii="Calibri" w:hAnsi="Calibri" w:cs="Calibri"/>
                <w:color w:val="808080" w:themeColor="background1" w:themeShade="80"/>
              </w:rPr>
              <w:t>our pipeline of projects and current applications,</w:t>
            </w:r>
            <w:r w:rsidRPr="000E487D">
              <w:rPr>
                <w:rFonts w:ascii="Calibri" w:hAnsi="Calibri" w:cs="Calibri"/>
                <w:color w:val="808080" w:themeColor="background1" w:themeShade="80"/>
              </w:rPr>
              <w:t xml:space="preserve"> we </w:t>
            </w:r>
            <w:r>
              <w:rPr>
                <w:rFonts w:ascii="Calibri" w:hAnsi="Calibri" w:cs="Calibri"/>
                <w:color w:val="808080" w:themeColor="background1" w:themeShade="80"/>
              </w:rPr>
              <w:t>are</w:t>
            </w:r>
            <w:r w:rsidRPr="000E487D">
              <w:rPr>
                <w:rFonts w:ascii="Calibri" w:hAnsi="Calibri" w:cs="Calibri"/>
                <w:color w:val="808080" w:themeColor="background1" w:themeShade="80"/>
              </w:rPr>
              <w:t xml:space="preserve"> projecting an ou</w:t>
            </w:r>
            <w:r w:rsidR="00076CA4">
              <w:rPr>
                <w:rFonts w:ascii="Calibri" w:hAnsi="Calibri" w:cs="Calibri"/>
                <w:color w:val="808080" w:themeColor="background1" w:themeShade="80"/>
              </w:rPr>
              <w:t xml:space="preserve">tturn of </w:t>
            </w:r>
            <w:r>
              <w:rPr>
                <w:rFonts w:ascii="Calibri" w:hAnsi="Calibri" w:cs="Calibri"/>
                <w:color w:val="808080" w:themeColor="background1" w:themeShade="80"/>
              </w:rPr>
              <w:t>5,866 ha for 2022/23 which is below the target</w:t>
            </w:r>
            <w:r w:rsidR="00A86FD0">
              <w:rPr>
                <w:rFonts w:ascii="Calibri" w:hAnsi="Calibri" w:cs="Calibri"/>
                <w:color w:val="808080" w:themeColor="background1" w:themeShade="80"/>
              </w:rPr>
              <w:t xml:space="preserve"> of 8,800ha</w:t>
            </w:r>
            <w:r>
              <w:rPr>
                <w:rFonts w:ascii="Calibri" w:hAnsi="Calibri" w:cs="Calibri"/>
                <w:color w:val="808080" w:themeColor="background1" w:themeShade="80"/>
              </w:rPr>
              <w:t>.</w:t>
            </w:r>
          </w:p>
        </w:tc>
      </w:tr>
    </w:tbl>
    <w:p w14:paraId="60438763" w14:textId="77777777" w:rsidR="006E0DDA" w:rsidRPr="00FB3B80" w:rsidRDefault="00675DB4" w:rsidP="009A7A96">
      <w:pPr>
        <w:pStyle w:val="Heading2"/>
        <w:shd w:val="clear" w:color="auto" w:fill="007DC3"/>
        <w:spacing w:after="0"/>
        <w:jc w:val="center"/>
        <w:rPr>
          <w:rFonts w:ascii="Calibri" w:hAnsi="Calibri" w:cs="Calibri"/>
        </w:rPr>
      </w:pPr>
      <w:r w:rsidRPr="00FB3B80">
        <w:rPr>
          <w:rFonts w:ascii="Calibri" w:hAnsi="Calibri" w:cs="Calibri"/>
        </w:rPr>
        <w:t xml:space="preserve">THE VALUE OF NATURE IS RECOGNISED </w:t>
      </w:r>
    </w:p>
    <w:tbl>
      <w:tblPr>
        <w:tblStyle w:val="TableGrid"/>
        <w:tblW w:w="14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transformed how we work measures"/>
        <w:tblDescription w:val="An update at the end of this quarter for all of the measures that sit under 'we have transformed how we work'"/>
      </w:tblPr>
      <w:tblGrid>
        <w:gridCol w:w="959"/>
        <w:gridCol w:w="2298"/>
        <w:gridCol w:w="3118"/>
        <w:gridCol w:w="850"/>
        <w:gridCol w:w="3690"/>
        <w:gridCol w:w="3691"/>
      </w:tblGrid>
      <w:tr w:rsidR="006E28A5" w:rsidRPr="00F56679" w14:paraId="6EB0E386" w14:textId="77777777" w:rsidTr="00F735CD">
        <w:trPr>
          <w:tblHeader/>
          <w:jc w:val="center"/>
        </w:trPr>
        <w:tc>
          <w:tcPr>
            <w:tcW w:w="959" w:type="dxa"/>
            <w:tcBorders>
              <w:bottom w:val="single" w:sz="4" w:space="0" w:color="548DD4" w:themeColor="text2" w:themeTint="99"/>
            </w:tcBorders>
          </w:tcPr>
          <w:p w14:paraId="19ADD87A" w14:textId="77777777" w:rsidR="006E28A5" w:rsidRPr="00F56679" w:rsidRDefault="006E28A5" w:rsidP="00644AA9">
            <w:pPr>
              <w:jc w:val="center"/>
              <w:rPr>
                <w:rFonts w:ascii="Calibri" w:hAnsi="Calibri" w:cs="Calibri"/>
                <w:b/>
              </w:rPr>
            </w:pPr>
            <w:r>
              <w:rPr>
                <w:rFonts w:ascii="Calibri" w:hAnsi="Calibri" w:cs="Calibri"/>
                <w:b/>
              </w:rPr>
              <w:t>Score</w:t>
            </w:r>
          </w:p>
        </w:tc>
        <w:tc>
          <w:tcPr>
            <w:tcW w:w="2298" w:type="dxa"/>
            <w:tcBorders>
              <w:bottom w:val="single" w:sz="4" w:space="0" w:color="548DD4" w:themeColor="text2" w:themeTint="99"/>
            </w:tcBorders>
          </w:tcPr>
          <w:p w14:paraId="3D568F4C" w14:textId="77777777" w:rsidR="006E28A5" w:rsidRPr="00F56679" w:rsidRDefault="006E28A5" w:rsidP="00247BF0">
            <w:pPr>
              <w:jc w:val="center"/>
              <w:rPr>
                <w:rFonts w:ascii="Calibri" w:hAnsi="Calibri" w:cs="Calibri"/>
                <w:b/>
              </w:rPr>
            </w:pPr>
            <w:r w:rsidRPr="00F56679">
              <w:rPr>
                <w:rFonts w:ascii="Calibri" w:hAnsi="Calibri" w:cs="Calibri"/>
                <w:b/>
              </w:rPr>
              <w:t>Measure</w:t>
            </w:r>
          </w:p>
        </w:tc>
        <w:tc>
          <w:tcPr>
            <w:tcW w:w="3118" w:type="dxa"/>
            <w:tcBorders>
              <w:bottom w:val="single" w:sz="4" w:space="0" w:color="548DD4" w:themeColor="text2" w:themeTint="99"/>
            </w:tcBorders>
          </w:tcPr>
          <w:p w14:paraId="3CC41B52" w14:textId="77777777" w:rsidR="006E28A5" w:rsidRPr="00F56679" w:rsidRDefault="006E28A5" w:rsidP="00644AA9">
            <w:pPr>
              <w:jc w:val="center"/>
              <w:rPr>
                <w:rFonts w:ascii="Calibri" w:hAnsi="Calibri" w:cs="Calibri"/>
                <w:b/>
              </w:rPr>
            </w:pPr>
            <w:r>
              <w:rPr>
                <w:rFonts w:ascii="Calibri" w:hAnsi="Calibri" w:cs="Calibri"/>
                <w:b/>
              </w:rPr>
              <w:t>Performance Overview</w:t>
            </w:r>
          </w:p>
        </w:tc>
        <w:tc>
          <w:tcPr>
            <w:tcW w:w="850" w:type="dxa"/>
            <w:tcBorders>
              <w:bottom w:val="single" w:sz="4" w:space="0" w:color="548DD4" w:themeColor="text2" w:themeTint="99"/>
            </w:tcBorders>
          </w:tcPr>
          <w:p w14:paraId="4A58E1EB" w14:textId="77777777" w:rsidR="006E28A5" w:rsidRPr="00F56679" w:rsidRDefault="006E28A5" w:rsidP="00644AA9">
            <w:pPr>
              <w:jc w:val="center"/>
              <w:rPr>
                <w:rFonts w:ascii="Calibri" w:hAnsi="Calibri" w:cs="Calibri"/>
                <w:b/>
              </w:rPr>
            </w:pPr>
            <w:r w:rsidRPr="00F56679">
              <w:rPr>
                <w:rFonts w:ascii="Calibri" w:hAnsi="Calibri" w:cs="Calibri"/>
                <w:b/>
              </w:rPr>
              <w:t>Actual</w:t>
            </w:r>
          </w:p>
        </w:tc>
        <w:tc>
          <w:tcPr>
            <w:tcW w:w="3690" w:type="dxa"/>
            <w:tcBorders>
              <w:bottom w:val="single" w:sz="4" w:space="0" w:color="548DD4" w:themeColor="text2" w:themeTint="99"/>
            </w:tcBorders>
          </w:tcPr>
          <w:p w14:paraId="4EDFD900" w14:textId="77777777" w:rsidR="006E28A5" w:rsidRPr="00F56679" w:rsidRDefault="006E28A5" w:rsidP="00644AA9">
            <w:pPr>
              <w:jc w:val="center"/>
              <w:rPr>
                <w:rFonts w:ascii="Calibri" w:hAnsi="Calibri" w:cs="Calibri"/>
                <w:b/>
              </w:rPr>
            </w:pPr>
            <w:r w:rsidRPr="00F56679">
              <w:rPr>
                <w:rFonts w:ascii="Calibri" w:hAnsi="Calibri" w:cs="Calibri"/>
                <w:b/>
              </w:rPr>
              <w:t>Cause</w:t>
            </w:r>
          </w:p>
        </w:tc>
        <w:tc>
          <w:tcPr>
            <w:tcW w:w="3691" w:type="dxa"/>
            <w:tcBorders>
              <w:bottom w:val="single" w:sz="4" w:space="0" w:color="548DD4" w:themeColor="text2" w:themeTint="99"/>
            </w:tcBorders>
          </w:tcPr>
          <w:p w14:paraId="7C94ACAA" w14:textId="77777777" w:rsidR="006E28A5" w:rsidRPr="00F56679" w:rsidRDefault="006E28A5" w:rsidP="00644AA9">
            <w:pPr>
              <w:jc w:val="center"/>
              <w:rPr>
                <w:rFonts w:ascii="Calibri" w:hAnsi="Calibri" w:cs="Calibri"/>
                <w:b/>
              </w:rPr>
            </w:pPr>
            <w:r w:rsidRPr="00F56679">
              <w:rPr>
                <w:rFonts w:ascii="Calibri" w:hAnsi="Calibri" w:cs="Calibri"/>
                <w:b/>
              </w:rPr>
              <w:t>Response</w:t>
            </w:r>
          </w:p>
        </w:tc>
      </w:tr>
      <w:tr w:rsidR="006E28A5" w:rsidRPr="003A4D73" w14:paraId="0DC61C91" w14:textId="77777777" w:rsidTr="00DA6DA2">
        <w:trPr>
          <w:trHeight w:hRule="exact" w:val="1064"/>
          <w:jc w:val="center"/>
        </w:trPr>
        <w:tc>
          <w:tcPr>
            <w:tcW w:w="959" w:type="dxa"/>
            <w:tcBorders>
              <w:top w:val="single" w:sz="4" w:space="0" w:color="548DD4" w:themeColor="text2" w:themeTint="99"/>
              <w:bottom w:val="single" w:sz="4" w:space="0" w:color="548DD4" w:themeColor="text2" w:themeTint="99"/>
            </w:tcBorders>
            <w:vAlign w:val="center"/>
          </w:tcPr>
          <w:p w14:paraId="13158FEE" w14:textId="77777777" w:rsidR="006E28A5" w:rsidRPr="003A4D73" w:rsidRDefault="006E28A5" w:rsidP="001A780F">
            <w:pPr>
              <w:jc w:val="center"/>
              <w:rPr>
                <w:rFonts w:ascii="Calibri" w:hAnsi="Calibri" w:cs="Calibri"/>
                <w:b/>
                <w:color w:val="FF0000"/>
              </w:rPr>
            </w:pPr>
            <w:r w:rsidRPr="00851105">
              <w:rPr>
                <w:rFonts w:ascii="Calibri" w:hAnsi="Calibri" w:cs="Calibri"/>
                <w:b/>
                <w:color w:val="00B050"/>
              </w:rPr>
              <w:t>GREEN</w:t>
            </w:r>
          </w:p>
        </w:tc>
        <w:tc>
          <w:tcPr>
            <w:tcW w:w="2298" w:type="dxa"/>
            <w:tcBorders>
              <w:top w:val="single" w:sz="4" w:space="0" w:color="548DD4" w:themeColor="text2" w:themeTint="99"/>
              <w:bottom w:val="single" w:sz="4" w:space="0" w:color="548DD4" w:themeColor="text2" w:themeTint="99"/>
            </w:tcBorders>
            <w:vAlign w:val="center"/>
          </w:tcPr>
          <w:p w14:paraId="3D3F67DD" w14:textId="77777777" w:rsidR="006E28A5" w:rsidRPr="00675DB4" w:rsidRDefault="00F94343" w:rsidP="007C3D2E">
            <w:pPr>
              <w:rPr>
                <w:rFonts w:ascii="Calibri" w:hAnsi="Calibri" w:cs="Calibri"/>
                <w:b/>
                <w:iCs/>
                <w:color w:val="808080" w:themeColor="background1" w:themeShade="80"/>
                <w:sz w:val="21"/>
                <w:szCs w:val="21"/>
              </w:rPr>
            </w:pPr>
            <w:hyperlink r:id="rId19" w:history="1">
              <w:r w:rsidR="006E28A5" w:rsidRPr="00A0017B">
                <w:rPr>
                  <w:rStyle w:val="Hyperlink"/>
                  <w:rFonts w:ascii="Calibri" w:hAnsi="Calibri" w:cs="Calibri"/>
                  <w:b/>
                  <w:iCs/>
                  <w:color w:val="808080" w:themeColor="background1" w:themeShade="80"/>
                  <w:sz w:val="21"/>
                  <w:szCs w:val="21"/>
                </w:rPr>
                <w:t>Hectares of Green infrastructure Restored</w:t>
              </w:r>
            </w:hyperlink>
          </w:p>
        </w:tc>
        <w:tc>
          <w:tcPr>
            <w:tcW w:w="3118" w:type="dxa"/>
            <w:tcBorders>
              <w:top w:val="single" w:sz="4" w:space="0" w:color="548DD4" w:themeColor="text2" w:themeTint="99"/>
              <w:bottom w:val="single" w:sz="4" w:space="0" w:color="548DD4" w:themeColor="text2" w:themeTint="99"/>
            </w:tcBorders>
            <w:vAlign w:val="center"/>
          </w:tcPr>
          <w:p w14:paraId="44807149" w14:textId="77777777" w:rsidR="006E28A5" w:rsidRPr="003A4D73" w:rsidRDefault="00B173B7" w:rsidP="001A780F">
            <w:pPr>
              <w:jc w:val="center"/>
              <w:rPr>
                <w:rFonts w:ascii="Calibri" w:hAnsi="Calibri" w:cs="Calibri"/>
              </w:rPr>
            </w:pPr>
            <w:r>
              <w:rPr>
                <w:rFonts w:ascii="Calibri" w:hAnsi="Calibri" w:cs="Calibri"/>
                <w:i/>
                <w:noProof/>
                <w:lang w:eastAsia="en-GB"/>
              </w:rPr>
              <w:drawing>
                <wp:inline distT="0" distB="0" distL="0" distR="0" wp14:anchorId="6AB07F77" wp14:editId="767DF7F7">
                  <wp:extent cx="1975485" cy="579120"/>
                  <wp:effectExtent l="0" t="0" r="5715" b="0"/>
                  <wp:docPr id="6" name="Picture 6" title="Ha of green infrastructure rest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75485" cy="579120"/>
                          </a:xfrm>
                          <a:prstGeom prst="rect">
                            <a:avLst/>
                          </a:prstGeom>
                          <a:noFill/>
                        </pic:spPr>
                      </pic:pic>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0E86DBDC" w14:textId="77777777" w:rsidR="006E28A5" w:rsidRPr="003D306D" w:rsidRDefault="00B173B7" w:rsidP="001A780F">
            <w:pPr>
              <w:jc w:val="center"/>
              <w:rPr>
                <w:rFonts w:ascii="Calibri" w:hAnsi="Calibri" w:cs="Calibri"/>
                <w:color w:val="808080" w:themeColor="background1" w:themeShade="80"/>
                <w:sz w:val="19"/>
                <w:szCs w:val="19"/>
              </w:rPr>
            </w:pPr>
            <w:r>
              <w:rPr>
                <w:rFonts w:ascii="Calibri" w:hAnsi="Calibri" w:cs="Calibri"/>
                <w:color w:val="808080" w:themeColor="background1" w:themeShade="80"/>
                <w:sz w:val="19"/>
                <w:szCs w:val="19"/>
              </w:rPr>
              <w:t>0</w:t>
            </w:r>
          </w:p>
        </w:tc>
        <w:tc>
          <w:tcPr>
            <w:tcW w:w="3690" w:type="dxa"/>
            <w:tcBorders>
              <w:top w:val="single" w:sz="4" w:space="0" w:color="548DD4" w:themeColor="text2" w:themeTint="99"/>
              <w:bottom w:val="single" w:sz="4" w:space="0" w:color="548DD4" w:themeColor="text2" w:themeTint="99"/>
            </w:tcBorders>
            <w:vAlign w:val="center"/>
          </w:tcPr>
          <w:p w14:paraId="66AD2E55" w14:textId="77777777" w:rsidR="006E28A5" w:rsidRPr="00076CA4" w:rsidRDefault="00B173B7" w:rsidP="001A780F">
            <w:pPr>
              <w:jc w:val="both"/>
              <w:rPr>
                <w:rFonts w:ascii="Calibri" w:hAnsi="Calibri" w:cs="Calibri"/>
                <w:color w:val="808080" w:themeColor="background1" w:themeShade="80"/>
              </w:rPr>
            </w:pPr>
            <w:r w:rsidRPr="00076CA4">
              <w:rPr>
                <w:rFonts w:ascii="Calibri" w:hAnsi="Calibri" w:cs="Calibri"/>
                <w:color w:val="808080" w:themeColor="background1" w:themeShade="80"/>
              </w:rPr>
              <w:t>Project delivery is proceeding as planned with all GIF projects due to complete by June 2023.</w:t>
            </w:r>
          </w:p>
        </w:tc>
        <w:tc>
          <w:tcPr>
            <w:tcW w:w="3691" w:type="dxa"/>
            <w:tcBorders>
              <w:top w:val="single" w:sz="4" w:space="0" w:color="548DD4" w:themeColor="text2" w:themeTint="99"/>
              <w:bottom w:val="single" w:sz="4" w:space="0" w:color="548DD4" w:themeColor="text2" w:themeTint="99"/>
            </w:tcBorders>
            <w:vAlign w:val="center"/>
          </w:tcPr>
          <w:p w14:paraId="1CD7618D" w14:textId="77777777" w:rsidR="006E28A5" w:rsidRPr="00076CA4" w:rsidRDefault="00B173B7" w:rsidP="000E2DC6">
            <w:pPr>
              <w:jc w:val="both"/>
              <w:rPr>
                <w:rFonts w:ascii="Calibri" w:hAnsi="Calibri" w:cs="Calibri"/>
                <w:color w:val="808080" w:themeColor="background1" w:themeShade="80"/>
              </w:rPr>
            </w:pPr>
            <w:r w:rsidRPr="00076CA4">
              <w:rPr>
                <w:rFonts w:ascii="Calibri" w:hAnsi="Calibri" w:cs="Calibri"/>
                <w:color w:val="808080" w:themeColor="background1" w:themeShade="80"/>
                <w:shd w:val="clear" w:color="auto" w:fill="FFFFFF"/>
              </w:rPr>
              <w:t>Continue focus on delivery of projects, processing of claims and collation of data from final reports as they are submitted</w:t>
            </w:r>
          </w:p>
        </w:tc>
      </w:tr>
      <w:tr w:rsidR="00123F33" w:rsidRPr="00123F33" w14:paraId="2306CFF1" w14:textId="77777777" w:rsidTr="0042261E">
        <w:trPr>
          <w:trHeight w:hRule="exact" w:val="3231"/>
          <w:jc w:val="center"/>
        </w:trPr>
        <w:tc>
          <w:tcPr>
            <w:tcW w:w="959" w:type="dxa"/>
            <w:tcBorders>
              <w:top w:val="single" w:sz="4" w:space="0" w:color="548DD4" w:themeColor="text2" w:themeTint="99"/>
              <w:bottom w:val="single" w:sz="4" w:space="0" w:color="548DD4" w:themeColor="text2" w:themeTint="99"/>
            </w:tcBorders>
            <w:vAlign w:val="center"/>
          </w:tcPr>
          <w:p w14:paraId="04429EF3" w14:textId="77777777" w:rsidR="006E28A5" w:rsidRPr="003A4D73" w:rsidRDefault="006E28A5" w:rsidP="00644AA9">
            <w:pPr>
              <w:jc w:val="center"/>
              <w:rPr>
                <w:rFonts w:ascii="Calibri" w:hAnsi="Calibri" w:cs="Calibri"/>
                <w:b/>
                <w:color w:val="FF0000"/>
              </w:rPr>
            </w:pPr>
          </w:p>
        </w:tc>
        <w:tc>
          <w:tcPr>
            <w:tcW w:w="2298" w:type="dxa"/>
            <w:tcBorders>
              <w:top w:val="single" w:sz="4" w:space="0" w:color="548DD4" w:themeColor="text2" w:themeTint="99"/>
              <w:bottom w:val="single" w:sz="4" w:space="0" w:color="548DD4" w:themeColor="text2" w:themeTint="99"/>
            </w:tcBorders>
            <w:vAlign w:val="center"/>
          </w:tcPr>
          <w:p w14:paraId="0AD89391" w14:textId="77777777" w:rsidR="006E28A5" w:rsidRPr="00675DB4" w:rsidRDefault="00F94343" w:rsidP="007C3D2E">
            <w:pPr>
              <w:rPr>
                <w:rFonts w:ascii="Calibri" w:hAnsi="Calibri" w:cs="Calibri"/>
                <w:b/>
                <w:iCs/>
                <w:color w:val="808080" w:themeColor="background1" w:themeShade="80"/>
                <w:sz w:val="21"/>
                <w:szCs w:val="21"/>
              </w:rPr>
            </w:pPr>
            <w:hyperlink r:id="rId21" w:history="1">
              <w:r w:rsidR="006E28A5" w:rsidRPr="002A1FFB">
                <w:rPr>
                  <w:rStyle w:val="Hyperlink"/>
                  <w:rFonts w:ascii="Calibri" w:hAnsi="Calibri" w:cs="Calibri"/>
                  <w:b/>
                  <w:iCs/>
                  <w:color w:val="808080" w:themeColor="background1" w:themeShade="80"/>
                  <w:sz w:val="21"/>
                  <w:szCs w:val="21"/>
                </w:rPr>
                <w:t>Nature-based jobs and skills opportunities</w:t>
              </w:r>
            </w:hyperlink>
          </w:p>
        </w:tc>
        <w:tc>
          <w:tcPr>
            <w:tcW w:w="3118" w:type="dxa"/>
            <w:tcBorders>
              <w:top w:val="single" w:sz="4" w:space="0" w:color="548DD4" w:themeColor="text2" w:themeTint="99"/>
              <w:bottom w:val="single" w:sz="4" w:space="0" w:color="548DD4" w:themeColor="text2" w:themeTint="99"/>
            </w:tcBorders>
            <w:vAlign w:val="center"/>
          </w:tcPr>
          <w:p w14:paraId="31A1D980" w14:textId="77777777" w:rsidR="006E28A5" w:rsidRPr="003A4D73" w:rsidRDefault="00B173B7" w:rsidP="00644AA9">
            <w:pPr>
              <w:jc w:val="center"/>
              <w:rPr>
                <w:rFonts w:ascii="Calibri" w:hAnsi="Calibri" w:cs="Calibri"/>
              </w:rPr>
            </w:pPr>
            <w:r>
              <w:rPr>
                <w:rFonts w:ascii="Calibri" w:hAnsi="Calibri" w:cs="Calibri"/>
                <w:noProof/>
                <w:lang w:eastAsia="en-GB"/>
              </w:rPr>
              <w:drawing>
                <wp:inline distT="0" distB="0" distL="0" distR="0" wp14:anchorId="25695777" wp14:editId="65C679F0">
                  <wp:extent cx="2005965" cy="591185"/>
                  <wp:effectExtent l="0" t="0" r="0" b="0"/>
                  <wp:docPr id="7" name="Picture 7" title="No of skills and opportun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5965" cy="591185"/>
                          </a:xfrm>
                          <a:prstGeom prst="rect">
                            <a:avLst/>
                          </a:prstGeom>
                          <a:noFill/>
                        </pic:spPr>
                      </pic:pic>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2921C357" w14:textId="77777777" w:rsidR="006E28A5" w:rsidRPr="00390F7A" w:rsidRDefault="00B173B7" w:rsidP="00644AA9">
            <w:pPr>
              <w:jc w:val="center"/>
              <w:rPr>
                <w:rFonts w:ascii="Calibri" w:hAnsi="Calibri" w:cs="Calibri"/>
                <w:b/>
                <w:color w:val="808080" w:themeColor="background1" w:themeShade="80"/>
                <w:sz w:val="19"/>
                <w:szCs w:val="19"/>
              </w:rPr>
            </w:pPr>
            <w:r>
              <w:rPr>
                <w:rFonts w:ascii="Calibri" w:hAnsi="Calibri" w:cs="Calibri"/>
                <w:b/>
                <w:color w:val="808080" w:themeColor="background1" w:themeShade="80"/>
                <w:sz w:val="19"/>
                <w:szCs w:val="19"/>
              </w:rPr>
              <w:t>175</w:t>
            </w:r>
          </w:p>
        </w:tc>
        <w:tc>
          <w:tcPr>
            <w:tcW w:w="3690" w:type="dxa"/>
            <w:tcBorders>
              <w:top w:val="single" w:sz="4" w:space="0" w:color="548DD4" w:themeColor="text2" w:themeTint="99"/>
              <w:bottom w:val="single" w:sz="4" w:space="0" w:color="548DD4" w:themeColor="text2" w:themeTint="99"/>
            </w:tcBorders>
            <w:vAlign w:val="center"/>
          </w:tcPr>
          <w:p w14:paraId="0F4FB128" w14:textId="16FADE55" w:rsidR="006E28A5" w:rsidRPr="00DA6DA2" w:rsidRDefault="00DA6DA2" w:rsidP="00DA6DA2">
            <w:pPr>
              <w:jc w:val="both"/>
              <w:rPr>
                <w:rFonts w:ascii="Calibri" w:hAnsi="Calibri" w:cs="Calibri"/>
                <w:color w:val="808080" w:themeColor="background1" w:themeShade="80"/>
              </w:rPr>
            </w:pPr>
            <w:r w:rsidRPr="00DA6DA2">
              <w:rPr>
                <w:rFonts w:ascii="Calibri" w:hAnsi="Calibri" w:cs="Calibri"/>
                <w:color w:val="808080" w:themeColor="background1" w:themeShade="80"/>
              </w:rPr>
              <w:t>Working with Rivers</w:t>
            </w:r>
            <w:r w:rsidR="0042261E">
              <w:rPr>
                <w:rFonts w:ascii="Calibri" w:hAnsi="Calibri" w:cs="Calibri"/>
                <w:color w:val="808080" w:themeColor="background1" w:themeShade="80"/>
              </w:rPr>
              <w:t xml:space="preserve"> (WWR)</w:t>
            </w:r>
            <w:r w:rsidRPr="00DA6DA2">
              <w:rPr>
                <w:rFonts w:ascii="Calibri" w:hAnsi="Calibri" w:cs="Calibri"/>
                <w:color w:val="808080" w:themeColor="background1" w:themeShade="80"/>
              </w:rPr>
              <w:t>: 3 month placement scheme ended in June. Very successful with many of the 21 placements securing jobs either with the Fisheries Trust employer or another employer. CEMVO Placements: Scheme ended in in Q1. Peatland Action Trainees - This is due to the successful delivery of Peatland Action Training course</w:t>
            </w:r>
            <w:r w:rsidR="0042261E">
              <w:rPr>
                <w:rFonts w:ascii="Calibri" w:hAnsi="Calibri" w:cs="Calibri"/>
                <w:color w:val="808080" w:themeColor="background1" w:themeShade="80"/>
              </w:rPr>
              <w:t xml:space="preserve">s at Marr lodge, </w:t>
            </w:r>
            <w:proofErr w:type="spellStart"/>
            <w:r w:rsidR="0042261E">
              <w:rPr>
                <w:rFonts w:ascii="Calibri" w:hAnsi="Calibri" w:cs="Calibri"/>
                <w:color w:val="808080" w:themeColor="background1" w:themeShade="80"/>
              </w:rPr>
              <w:t>Creag</w:t>
            </w:r>
            <w:proofErr w:type="spellEnd"/>
            <w:r w:rsidR="0042261E">
              <w:rPr>
                <w:rFonts w:ascii="Calibri" w:hAnsi="Calibri" w:cs="Calibri"/>
                <w:color w:val="808080" w:themeColor="background1" w:themeShade="80"/>
              </w:rPr>
              <w:t xml:space="preserve"> </w:t>
            </w:r>
            <w:proofErr w:type="spellStart"/>
            <w:r w:rsidR="0042261E">
              <w:rPr>
                <w:rFonts w:ascii="Calibri" w:hAnsi="Calibri" w:cs="Calibri"/>
                <w:color w:val="808080" w:themeColor="background1" w:themeShade="80"/>
              </w:rPr>
              <w:t>Meagaidh</w:t>
            </w:r>
            <w:proofErr w:type="spellEnd"/>
            <w:r w:rsidRPr="00DA6DA2">
              <w:rPr>
                <w:rFonts w:ascii="Calibri" w:hAnsi="Calibri" w:cs="Calibri"/>
                <w:color w:val="808080" w:themeColor="background1" w:themeShade="80"/>
              </w:rPr>
              <w:t xml:space="preserve"> and F</w:t>
            </w:r>
            <w:r w:rsidR="0042261E">
              <w:rPr>
                <w:rFonts w:ascii="Calibri" w:hAnsi="Calibri" w:cs="Calibri"/>
                <w:color w:val="808080" w:themeColor="background1" w:themeShade="80"/>
              </w:rPr>
              <w:t xml:space="preserve">orestry and </w:t>
            </w:r>
            <w:r w:rsidRPr="00DA6DA2">
              <w:rPr>
                <w:rFonts w:ascii="Calibri" w:hAnsi="Calibri" w:cs="Calibri"/>
                <w:color w:val="808080" w:themeColor="background1" w:themeShade="80"/>
              </w:rPr>
              <w:t>L</w:t>
            </w:r>
            <w:r w:rsidR="0042261E">
              <w:rPr>
                <w:rFonts w:ascii="Calibri" w:hAnsi="Calibri" w:cs="Calibri"/>
                <w:color w:val="808080" w:themeColor="background1" w:themeShade="80"/>
              </w:rPr>
              <w:t xml:space="preserve">and </w:t>
            </w:r>
            <w:r w:rsidRPr="00DA6DA2">
              <w:rPr>
                <w:rFonts w:ascii="Calibri" w:hAnsi="Calibri" w:cs="Calibri"/>
                <w:color w:val="808080" w:themeColor="background1" w:themeShade="80"/>
              </w:rPr>
              <w:t>S</w:t>
            </w:r>
            <w:r w:rsidR="0042261E">
              <w:rPr>
                <w:rFonts w:ascii="Calibri" w:hAnsi="Calibri" w:cs="Calibri"/>
                <w:color w:val="808080" w:themeColor="background1" w:themeShade="80"/>
              </w:rPr>
              <w:t>cotland</w:t>
            </w:r>
            <w:r w:rsidRPr="00DA6DA2">
              <w:rPr>
                <w:rFonts w:ascii="Calibri" w:hAnsi="Calibri" w:cs="Calibri"/>
                <w:color w:val="808080" w:themeColor="background1" w:themeShade="80"/>
              </w:rPr>
              <w:t xml:space="preserve"> courses.</w:t>
            </w:r>
          </w:p>
        </w:tc>
        <w:tc>
          <w:tcPr>
            <w:tcW w:w="3691" w:type="dxa"/>
            <w:tcBorders>
              <w:top w:val="single" w:sz="4" w:space="0" w:color="548DD4" w:themeColor="text2" w:themeTint="99"/>
              <w:bottom w:val="single" w:sz="4" w:space="0" w:color="548DD4" w:themeColor="text2" w:themeTint="99"/>
            </w:tcBorders>
            <w:vAlign w:val="center"/>
          </w:tcPr>
          <w:p w14:paraId="7F4C091E" w14:textId="4EC55FAA" w:rsidR="006E28A5" w:rsidRPr="00123F33" w:rsidRDefault="0042261E" w:rsidP="0042261E">
            <w:pPr>
              <w:rPr>
                <w:rFonts w:ascii="Calibri" w:hAnsi="Calibri" w:cs="Calibri"/>
                <w:color w:val="808080" w:themeColor="background1" w:themeShade="80"/>
              </w:rPr>
            </w:pPr>
            <w:r w:rsidRPr="0042261E">
              <w:rPr>
                <w:rFonts w:ascii="Calibri" w:hAnsi="Calibri" w:cs="Calibri"/>
                <w:color w:val="808080" w:themeColor="background1" w:themeShade="80"/>
              </w:rPr>
              <w:t xml:space="preserve">WWR - We are setting up a similar scheme next year for 10 placements, but for 6 months in partnership with </w:t>
            </w:r>
            <w:r>
              <w:rPr>
                <w:rFonts w:ascii="Calibri" w:hAnsi="Calibri" w:cs="Calibri"/>
                <w:color w:val="808080" w:themeColor="background1" w:themeShade="80"/>
              </w:rPr>
              <w:t>Graduate Career Advantage Scotland (GCAS)</w:t>
            </w:r>
            <w:r w:rsidRPr="0042261E">
              <w:rPr>
                <w:rFonts w:ascii="Calibri" w:hAnsi="Calibri" w:cs="Calibri"/>
                <w:color w:val="808080" w:themeColor="background1" w:themeShade="80"/>
              </w:rPr>
              <w:t>. P</w:t>
            </w:r>
            <w:r>
              <w:rPr>
                <w:rFonts w:ascii="Calibri" w:hAnsi="Calibri" w:cs="Calibri"/>
                <w:color w:val="808080" w:themeColor="background1" w:themeShade="80"/>
              </w:rPr>
              <w:t xml:space="preserve">lacements will start next April.  </w:t>
            </w:r>
            <w:r w:rsidRPr="0042261E">
              <w:rPr>
                <w:rFonts w:ascii="Calibri" w:hAnsi="Calibri" w:cs="Calibri"/>
                <w:color w:val="808080" w:themeColor="background1" w:themeShade="80"/>
              </w:rPr>
              <w:t>CEMVO - We are setting up a similar scheme next year for 10 placements, but for 6 months in partnership with GCAS. P</w:t>
            </w:r>
            <w:r>
              <w:rPr>
                <w:rFonts w:ascii="Calibri" w:hAnsi="Calibri" w:cs="Calibri"/>
                <w:color w:val="808080" w:themeColor="background1" w:themeShade="80"/>
              </w:rPr>
              <w:t xml:space="preserve">lacements will start next April. </w:t>
            </w:r>
            <w:r w:rsidRPr="0042261E">
              <w:rPr>
                <w:rFonts w:ascii="Calibri" w:hAnsi="Calibri" w:cs="Calibri"/>
                <w:color w:val="808080" w:themeColor="background1" w:themeShade="80"/>
              </w:rPr>
              <w:t xml:space="preserve">Peatland </w:t>
            </w:r>
            <w:r>
              <w:rPr>
                <w:rFonts w:ascii="Calibri" w:hAnsi="Calibri" w:cs="Calibri"/>
                <w:color w:val="808080" w:themeColor="background1" w:themeShade="80"/>
              </w:rPr>
              <w:t xml:space="preserve">- Further courses are due to be </w:t>
            </w:r>
            <w:r w:rsidRPr="0042261E">
              <w:rPr>
                <w:rFonts w:ascii="Calibri" w:hAnsi="Calibri" w:cs="Calibri"/>
                <w:color w:val="808080" w:themeColor="background1" w:themeShade="80"/>
              </w:rPr>
              <w:t>delivered in subsequent quarters</w:t>
            </w:r>
            <w:r>
              <w:rPr>
                <w:rFonts w:ascii="Calibri" w:hAnsi="Calibri" w:cs="Calibri"/>
                <w:color w:val="808080" w:themeColor="background1" w:themeShade="80"/>
              </w:rPr>
              <w:t>.</w:t>
            </w:r>
          </w:p>
        </w:tc>
      </w:tr>
      <w:tr w:rsidR="002C01B8" w:rsidRPr="003A4D73" w14:paraId="55C3C38B" w14:textId="77777777" w:rsidTr="00210304">
        <w:trPr>
          <w:trHeight w:hRule="exact" w:val="1417"/>
          <w:jc w:val="center"/>
        </w:trPr>
        <w:tc>
          <w:tcPr>
            <w:tcW w:w="959" w:type="dxa"/>
            <w:tcBorders>
              <w:top w:val="single" w:sz="4" w:space="0" w:color="548DD4" w:themeColor="text2" w:themeTint="99"/>
              <w:bottom w:val="single" w:sz="4" w:space="0" w:color="548DD4" w:themeColor="text2" w:themeTint="99"/>
            </w:tcBorders>
            <w:vAlign w:val="center"/>
          </w:tcPr>
          <w:p w14:paraId="576416C2" w14:textId="77777777" w:rsidR="002C01B8" w:rsidRPr="003A4D73" w:rsidRDefault="002C01B8" w:rsidP="002C01B8">
            <w:pPr>
              <w:jc w:val="center"/>
              <w:rPr>
                <w:rFonts w:ascii="Calibri" w:hAnsi="Calibri" w:cs="Calibri"/>
                <w:b/>
                <w:color w:val="FF0000"/>
              </w:rPr>
            </w:pPr>
          </w:p>
        </w:tc>
        <w:tc>
          <w:tcPr>
            <w:tcW w:w="2298" w:type="dxa"/>
            <w:tcBorders>
              <w:top w:val="single" w:sz="4" w:space="0" w:color="548DD4" w:themeColor="text2" w:themeTint="99"/>
              <w:bottom w:val="single" w:sz="4" w:space="0" w:color="548DD4" w:themeColor="text2" w:themeTint="99"/>
            </w:tcBorders>
            <w:vAlign w:val="center"/>
          </w:tcPr>
          <w:p w14:paraId="35C9F1E2" w14:textId="77777777" w:rsidR="002C01B8" w:rsidRPr="002A1FFB" w:rsidRDefault="00F94343" w:rsidP="002C01B8">
            <w:pPr>
              <w:rPr>
                <w:rFonts w:ascii="Calibri" w:hAnsi="Calibri" w:cs="Calibri"/>
                <w:b/>
                <w:iCs/>
                <w:color w:val="808080" w:themeColor="background1" w:themeShade="80"/>
                <w:sz w:val="21"/>
                <w:szCs w:val="21"/>
              </w:rPr>
            </w:pPr>
            <w:hyperlink r:id="rId23" w:history="1">
              <w:r w:rsidR="002C01B8" w:rsidRPr="002A1FFB">
                <w:rPr>
                  <w:rStyle w:val="Hyperlink"/>
                  <w:rFonts w:ascii="Calibri" w:hAnsi="Calibri" w:cs="Calibri"/>
                  <w:b/>
                  <w:iCs/>
                  <w:color w:val="808080" w:themeColor="background1" w:themeShade="80"/>
                  <w:sz w:val="21"/>
                  <w:szCs w:val="21"/>
                </w:rPr>
                <w:t>% of landholdings undertaking a publicly supported Natural Capital approach</w:t>
              </w:r>
            </w:hyperlink>
          </w:p>
        </w:tc>
        <w:tc>
          <w:tcPr>
            <w:tcW w:w="3118" w:type="dxa"/>
            <w:tcBorders>
              <w:top w:val="single" w:sz="4" w:space="0" w:color="548DD4" w:themeColor="text2" w:themeTint="99"/>
              <w:bottom w:val="single" w:sz="4" w:space="0" w:color="548DD4" w:themeColor="text2" w:themeTint="99"/>
            </w:tcBorders>
            <w:vAlign w:val="center"/>
          </w:tcPr>
          <w:p w14:paraId="1F514A0A" w14:textId="18E2CF63" w:rsidR="002C01B8" w:rsidRPr="003A4D73" w:rsidRDefault="00076CA4" w:rsidP="002C01B8">
            <w:pPr>
              <w:jc w:val="center"/>
              <w:rPr>
                <w:rFonts w:ascii="Calibri" w:hAnsi="Calibri" w:cs="Calibri"/>
              </w:rPr>
            </w:pPr>
            <w:r w:rsidRPr="00076CA4">
              <w:rPr>
                <w:rFonts w:ascii="Calibri" w:hAnsi="Calibri" w:cs="Calibri"/>
                <w:color w:val="808080" w:themeColor="background1" w:themeShade="80"/>
              </w:rPr>
              <w:t>No audits undertaken during Q2</w:t>
            </w:r>
          </w:p>
        </w:tc>
        <w:tc>
          <w:tcPr>
            <w:tcW w:w="850" w:type="dxa"/>
            <w:tcBorders>
              <w:top w:val="single" w:sz="4" w:space="0" w:color="548DD4" w:themeColor="text2" w:themeTint="99"/>
              <w:bottom w:val="single" w:sz="4" w:space="0" w:color="548DD4" w:themeColor="text2" w:themeTint="99"/>
            </w:tcBorders>
            <w:vAlign w:val="center"/>
          </w:tcPr>
          <w:p w14:paraId="0C921A6F" w14:textId="77777777" w:rsidR="002C01B8" w:rsidRPr="00390F7A" w:rsidRDefault="002C01B8" w:rsidP="002C01B8">
            <w:pPr>
              <w:jc w:val="center"/>
              <w:rPr>
                <w:rFonts w:ascii="Calibri" w:hAnsi="Calibri" w:cs="Calibri"/>
                <w:b/>
                <w:color w:val="808080" w:themeColor="background1" w:themeShade="80"/>
                <w:sz w:val="19"/>
                <w:szCs w:val="19"/>
              </w:rPr>
            </w:pPr>
          </w:p>
        </w:tc>
        <w:tc>
          <w:tcPr>
            <w:tcW w:w="3690" w:type="dxa"/>
            <w:tcBorders>
              <w:top w:val="single" w:sz="4" w:space="0" w:color="548DD4" w:themeColor="text2" w:themeTint="99"/>
              <w:bottom w:val="single" w:sz="4" w:space="0" w:color="548DD4" w:themeColor="text2" w:themeTint="99"/>
            </w:tcBorders>
            <w:vAlign w:val="center"/>
          </w:tcPr>
          <w:p w14:paraId="5C0CBBA9" w14:textId="324B7F21" w:rsidR="002C01B8" w:rsidRPr="002C01B8" w:rsidRDefault="00076CA4" w:rsidP="002C01B8">
            <w:pPr>
              <w:jc w:val="both"/>
              <w:rPr>
                <w:rFonts w:ascii="Calibri" w:hAnsi="Calibri" w:cs="Calibri"/>
                <w:color w:val="808080" w:themeColor="background1" w:themeShade="80"/>
                <w:sz w:val="21"/>
                <w:szCs w:val="21"/>
              </w:rPr>
            </w:pPr>
            <w:r>
              <w:rPr>
                <w:rFonts w:ascii="Calibri" w:hAnsi="Calibri" w:cs="Calibri"/>
                <w:color w:val="808080" w:themeColor="background1" w:themeShade="80"/>
                <w:sz w:val="21"/>
                <w:szCs w:val="21"/>
              </w:rPr>
              <w:t>No additional farms undertaking NC Assessments through NatureScot Project 117814.</w:t>
            </w:r>
          </w:p>
        </w:tc>
        <w:tc>
          <w:tcPr>
            <w:tcW w:w="3691" w:type="dxa"/>
            <w:tcBorders>
              <w:top w:val="single" w:sz="4" w:space="0" w:color="548DD4" w:themeColor="text2" w:themeTint="99"/>
              <w:bottom w:val="single" w:sz="4" w:space="0" w:color="548DD4" w:themeColor="text2" w:themeTint="99"/>
            </w:tcBorders>
            <w:vAlign w:val="center"/>
          </w:tcPr>
          <w:p w14:paraId="6F882A18" w14:textId="36008017" w:rsidR="002C01B8" w:rsidRPr="002C01B8" w:rsidRDefault="00210304" w:rsidP="00210304">
            <w:pPr>
              <w:rPr>
                <w:rFonts w:ascii="Calibri" w:hAnsi="Calibri" w:cs="Calibri"/>
                <w:color w:val="808080" w:themeColor="background1" w:themeShade="80"/>
                <w:sz w:val="21"/>
                <w:szCs w:val="21"/>
              </w:rPr>
            </w:pPr>
            <w:r>
              <w:rPr>
                <w:rFonts w:ascii="Calibri" w:hAnsi="Calibri" w:cs="Calibri"/>
                <w:color w:val="808080" w:themeColor="background1" w:themeShade="80"/>
                <w:sz w:val="21"/>
                <w:szCs w:val="21"/>
              </w:rPr>
              <w:t>The natural capital assessments are on pause until 2023/24.  Habitat condition assessment scorecards related to the biodiversity audit will be tested on farms from November to March.</w:t>
            </w:r>
          </w:p>
        </w:tc>
      </w:tr>
      <w:tr w:rsidR="00B173B7" w:rsidRPr="003A4D73" w14:paraId="68D22ED8" w14:textId="77777777" w:rsidTr="001871FE">
        <w:trPr>
          <w:trHeight w:hRule="exact" w:val="1417"/>
          <w:jc w:val="center"/>
        </w:trPr>
        <w:tc>
          <w:tcPr>
            <w:tcW w:w="959" w:type="dxa"/>
            <w:tcBorders>
              <w:top w:val="single" w:sz="4" w:space="0" w:color="548DD4" w:themeColor="text2" w:themeTint="99"/>
              <w:bottom w:val="single" w:sz="4" w:space="0" w:color="548DD4" w:themeColor="text2" w:themeTint="99"/>
            </w:tcBorders>
            <w:vAlign w:val="center"/>
          </w:tcPr>
          <w:p w14:paraId="523189D4" w14:textId="77777777" w:rsidR="00B173B7" w:rsidRPr="003A4D73" w:rsidRDefault="00B173B7" w:rsidP="00B173B7">
            <w:pPr>
              <w:jc w:val="center"/>
              <w:rPr>
                <w:rFonts w:ascii="Calibri" w:hAnsi="Calibri" w:cs="Calibri"/>
                <w:b/>
                <w:color w:val="FF0000"/>
              </w:rPr>
            </w:pPr>
            <w:r w:rsidRPr="00851105">
              <w:rPr>
                <w:rFonts w:ascii="Calibri" w:hAnsi="Calibri" w:cs="Calibri"/>
                <w:b/>
                <w:color w:val="00B050"/>
              </w:rPr>
              <w:t>GREEN</w:t>
            </w:r>
          </w:p>
        </w:tc>
        <w:tc>
          <w:tcPr>
            <w:tcW w:w="2298" w:type="dxa"/>
            <w:tcBorders>
              <w:top w:val="single" w:sz="4" w:space="0" w:color="548DD4" w:themeColor="text2" w:themeTint="99"/>
              <w:bottom w:val="single" w:sz="4" w:space="0" w:color="548DD4" w:themeColor="text2" w:themeTint="99"/>
            </w:tcBorders>
            <w:vAlign w:val="center"/>
          </w:tcPr>
          <w:p w14:paraId="51817E27" w14:textId="77777777" w:rsidR="00B173B7" w:rsidRPr="002A1FFB" w:rsidRDefault="00F94343" w:rsidP="00B173B7">
            <w:pPr>
              <w:rPr>
                <w:rFonts w:ascii="Calibri" w:hAnsi="Calibri" w:cs="Calibri"/>
                <w:b/>
                <w:iCs/>
                <w:color w:val="808080" w:themeColor="background1" w:themeShade="80"/>
                <w:sz w:val="21"/>
                <w:szCs w:val="21"/>
              </w:rPr>
            </w:pPr>
            <w:hyperlink r:id="rId24" w:history="1">
              <w:r w:rsidR="00B173B7" w:rsidRPr="002A1FFB">
                <w:rPr>
                  <w:rStyle w:val="Hyperlink"/>
                  <w:rFonts w:ascii="Calibri" w:hAnsi="Calibri" w:cs="Calibri"/>
                  <w:b/>
                  <w:iCs/>
                  <w:color w:val="808080" w:themeColor="background1" w:themeShade="80"/>
                  <w:sz w:val="21"/>
                  <w:szCs w:val="21"/>
                </w:rPr>
                <w:t>National Nature Reserves online engagement</w:t>
              </w:r>
            </w:hyperlink>
          </w:p>
        </w:tc>
        <w:tc>
          <w:tcPr>
            <w:tcW w:w="3118" w:type="dxa"/>
            <w:tcBorders>
              <w:top w:val="single" w:sz="4" w:space="0" w:color="548DD4" w:themeColor="text2" w:themeTint="99"/>
              <w:bottom w:val="single" w:sz="4" w:space="0" w:color="548DD4" w:themeColor="text2" w:themeTint="99"/>
            </w:tcBorders>
            <w:vAlign w:val="center"/>
          </w:tcPr>
          <w:p w14:paraId="6FD18CD6" w14:textId="297D5F09" w:rsidR="00B173B7" w:rsidRPr="003A4D73" w:rsidRDefault="001871FE" w:rsidP="00B173B7">
            <w:pPr>
              <w:jc w:val="center"/>
              <w:rPr>
                <w:rFonts w:ascii="Calibri" w:hAnsi="Calibri" w:cs="Calibri"/>
              </w:rPr>
            </w:pPr>
            <w:r>
              <w:rPr>
                <w:noProof/>
                <w:lang w:eastAsia="en-GB"/>
              </w:rPr>
              <w:drawing>
                <wp:inline distT="0" distB="0" distL="0" distR="0" wp14:anchorId="49B3B369" wp14:editId="748FEC11">
                  <wp:extent cx="1842770" cy="583659"/>
                  <wp:effectExtent l="0" t="0" r="5080" b="6985"/>
                  <wp:docPr id="13" name="Chart 13" title="NNR online engagem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5514D272" w14:textId="51BDF4FC" w:rsidR="00B173B7" w:rsidRPr="003D306D" w:rsidRDefault="001871FE" w:rsidP="00B173B7">
            <w:pPr>
              <w:rPr>
                <w:rFonts w:ascii="Calibri" w:hAnsi="Calibri" w:cs="Calibri"/>
                <w:color w:val="808080" w:themeColor="background1" w:themeShade="80"/>
                <w:sz w:val="19"/>
                <w:szCs w:val="19"/>
              </w:rPr>
            </w:pPr>
            <w:r>
              <w:rPr>
                <w:rFonts w:ascii="Calibri" w:hAnsi="Calibri" w:cs="Calibri"/>
                <w:color w:val="808080" w:themeColor="background1" w:themeShade="80"/>
                <w:sz w:val="19"/>
                <w:szCs w:val="19"/>
              </w:rPr>
              <w:t>1.260m</w:t>
            </w:r>
          </w:p>
        </w:tc>
        <w:tc>
          <w:tcPr>
            <w:tcW w:w="3690" w:type="dxa"/>
            <w:tcBorders>
              <w:top w:val="single" w:sz="4" w:space="0" w:color="548DD4" w:themeColor="text2" w:themeTint="99"/>
              <w:bottom w:val="single" w:sz="4" w:space="0" w:color="548DD4" w:themeColor="text2" w:themeTint="99"/>
            </w:tcBorders>
            <w:vAlign w:val="center"/>
          </w:tcPr>
          <w:p w14:paraId="1ADA3E0D" w14:textId="77777777" w:rsidR="00B173B7" w:rsidRPr="001871FE" w:rsidRDefault="00B173B7" w:rsidP="00B173B7">
            <w:pPr>
              <w:jc w:val="both"/>
              <w:rPr>
                <w:rFonts w:ascii="Calibri" w:hAnsi="Calibri" w:cs="Calibri"/>
                <w:color w:val="808080" w:themeColor="background1" w:themeShade="80"/>
              </w:rPr>
            </w:pPr>
            <w:r w:rsidRPr="001871FE">
              <w:rPr>
                <w:rFonts w:ascii="Calibri" w:hAnsi="Calibri" w:cs="Calibri"/>
                <w:color w:val="808080" w:themeColor="background1" w:themeShade="80"/>
              </w:rPr>
              <w:t xml:space="preserve">Increase in overall level of engagement across platforms. Overall reach has increased and more people are connecting with platforms. </w:t>
            </w:r>
          </w:p>
          <w:p w14:paraId="418B3C02" w14:textId="77777777" w:rsidR="00B173B7" w:rsidRPr="001871FE" w:rsidRDefault="00B173B7" w:rsidP="00B173B7">
            <w:pPr>
              <w:jc w:val="both"/>
              <w:rPr>
                <w:rFonts w:ascii="Calibri" w:hAnsi="Calibri" w:cs="Calibri"/>
                <w:color w:val="808080" w:themeColor="background1" w:themeShade="80"/>
              </w:rPr>
            </w:pPr>
          </w:p>
        </w:tc>
        <w:tc>
          <w:tcPr>
            <w:tcW w:w="3691" w:type="dxa"/>
            <w:tcBorders>
              <w:top w:val="single" w:sz="4" w:space="0" w:color="548DD4" w:themeColor="text2" w:themeTint="99"/>
              <w:bottom w:val="single" w:sz="4" w:space="0" w:color="548DD4" w:themeColor="text2" w:themeTint="99"/>
            </w:tcBorders>
            <w:vAlign w:val="center"/>
          </w:tcPr>
          <w:p w14:paraId="1589F6EA" w14:textId="77777777" w:rsidR="00B173B7" w:rsidRPr="001871FE" w:rsidRDefault="00B173B7" w:rsidP="00B173B7">
            <w:pPr>
              <w:rPr>
                <w:rFonts w:ascii="Calibri" w:hAnsi="Calibri" w:cs="Calibri"/>
                <w:color w:val="808080" w:themeColor="background1" w:themeShade="80"/>
              </w:rPr>
            </w:pPr>
            <w:r w:rsidRPr="001871FE">
              <w:rPr>
                <w:rFonts w:ascii="Calibri" w:hAnsi="Calibri" w:cs="Calibri"/>
                <w:color w:val="808080" w:themeColor="background1" w:themeShade="80"/>
              </w:rPr>
              <w:t xml:space="preserve">Trend continues to be an increase in engagement - a positive direction. Our platforms are bringing more people into virtual contact and allowing ongoing engagement with audiences. </w:t>
            </w:r>
          </w:p>
        </w:tc>
      </w:tr>
    </w:tbl>
    <w:p w14:paraId="625C0B61" w14:textId="77777777" w:rsidR="00FB3B80" w:rsidRDefault="00FB3B80" w:rsidP="00DA6DA2">
      <w:pPr>
        <w:spacing w:line="259" w:lineRule="auto"/>
        <w:rPr>
          <w:rFonts w:ascii="Calibri" w:eastAsiaTheme="majorEastAsia" w:hAnsi="Calibri" w:cs="Calibri"/>
          <w:b/>
          <w:sz w:val="24"/>
          <w:szCs w:val="26"/>
        </w:rPr>
      </w:pPr>
    </w:p>
    <w:p w14:paraId="002D6C32" w14:textId="77777777" w:rsidR="00675DB4" w:rsidRPr="00FB3B80" w:rsidRDefault="00730788" w:rsidP="009A7A96">
      <w:pPr>
        <w:pStyle w:val="Heading2"/>
        <w:shd w:val="clear" w:color="auto" w:fill="007DC3"/>
        <w:spacing w:after="0"/>
        <w:jc w:val="center"/>
        <w:rPr>
          <w:rFonts w:ascii="Calibri" w:hAnsi="Calibri" w:cs="Calibri"/>
        </w:rPr>
      </w:pPr>
      <w:r w:rsidRPr="00FB3B80">
        <w:rPr>
          <w:rFonts w:ascii="Calibri" w:hAnsi="Calibri" w:cs="Calibri"/>
        </w:rPr>
        <w:t>WE HAVE TRANSFORMED HOW WE WORK</w:t>
      </w:r>
    </w:p>
    <w:tbl>
      <w:tblPr>
        <w:tblStyle w:val="TableGrid"/>
        <w:tblW w:w="14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transformed how we work measures"/>
        <w:tblDescription w:val="An update at the end of this quarter for all of the measures that sit under 'we have transformed how we work'"/>
      </w:tblPr>
      <w:tblGrid>
        <w:gridCol w:w="959"/>
        <w:gridCol w:w="2298"/>
        <w:gridCol w:w="3118"/>
        <w:gridCol w:w="850"/>
        <w:gridCol w:w="3690"/>
        <w:gridCol w:w="3691"/>
      </w:tblGrid>
      <w:tr w:rsidR="006E28A5" w:rsidRPr="00F56679" w14:paraId="2AD31C84" w14:textId="77777777" w:rsidTr="00F735CD">
        <w:trPr>
          <w:tblHeader/>
          <w:jc w:val="center"/>
        </w:trPr>
        <w:tc>
          <w:tcPr>
            <w:tcW w:w="959" w:type="dxa"/>
            <w:tcBorders>
              <w:bottom w:val="single" w:sz="4" w:space="0" w:color="548DD4" w:themeColor="text2" w:themeTint="99"/>
            </w:tcBorders>
          </w:tcPr>
          <w:p w14:paraId="699C797A" w14:textId="77777777" w:rsidR="006E28A5" w:rsidRPr="00F56679" w:rsidRDefault="006E28A5" w:rsidP="00644AA9">
            <w:pPr>
              <w:jc w:val="center"/>
              <w:rPr>
                <w:rFonts w:ascii="Calibri" w:hAnsi="Calibri" w:cs="Calibri"/>
                <w:b/>
              </w:rPr>
            </w:pPr>
            <w:r>
              <w:rPr>
                <w:rFonts w:ascii="Calibri" w:hAnsi="Calibri" w:cs="Calibri"/>
                <w:b/>
              </w:rPr>
              <w:t>Score</w:t>
            </w:r>
          </w:p>
        </w:tc>
        <w:tc>
          <w:tcPr>
            <w:tcW w:w="2298" w:type="dxa"/>
            <w:tcBorders>
              <w:bottom w:val="single" w:sz="4" w:space="0" w:color="548DD4" w:themeColor="text2" w:themeTint="99"/>
            </w:tcBorders>
          </w:tcPr>
          <w:p w14:paraId="32ED29D2" w14:textId="77777777" w:rsidR="006E28A5" w:rsidRPr="00F56679" w:rsidRDefault="006E28A5" w:rsidP="00644AA9">
            <w:pPr>
              <w:jc w:val="center"/>
              <w:rPr>
                <w:rFonts w:ascii="Calibri" w:hAnsi="Calibri" w:cs="Calibri"/>
                <w:b/>
              </w:rPr>
            </w:pPr>
            <w:r w:rsidRPr="00F56679">
              <w:rPr>
                <w:rFonts w:ascii="Calibri" w:hAnsi="Calibri" w:cs="Calibri"/>
                <w:b/>
              </w:rPr>
              <w:t>Measure</w:t>
            </w:r>
          </w:p>
        </w:tc>
        <w:tc>
          <w:tcPr>
            <w:tcW w:w="3118" w:type="dxa"/>
            <w:tcBorders>
              <w:bottom w:val="single" w:sz="4" w:space="0" w:color="548DD4" w:themeColor="text2" w:themeTint="99"/>
            </w:tcBorders>
          </w:tcPr>
          <w:p w14:paraId="4F6A1FC0" w14:textId="77777777" w:rsidR="006E28A5" w:rsidRPr="00F56679" w:rsidRDefault="006E28A5" w:rsidP="00644AA9">
            <w:pPr>
              <w:jc w:val="center"/>
              <w:rPr>
                <w:rFonts w:ascii="Calibri" w:hAnsi="Calibri" w:cs="Calibri"/>
                <w:b/>
              </w:rPr>
            </w:pPr>
            <w:r>
              <w:rPr>
                <w:rFonts w:ascii="Calibri" w:hAnsi="Calibri" w:cs="Calibri"/>
                <w:b/>
              </w:rPr>
              <w:t>Performance Overview</w:t>
            </w:r>
          </w:p>
        </w:tc>
        <w:tc>
          <w:tcPr>
            <w:tcW w:w="850" w:type="dxa"/>
            <w:tcBorders>
              <w:bottom w:val="single" w:sz="4" w:space="0" w:color="548DD4" w:themeColor="text2" w:themeTint="99"/>
            </w:tcBorders>
          </w:tcPr>
          <w:p w14:paraId="3550E703" w14:textId="77777777" w:rsidR="006E28A5" w:rsidRPr="00F56679" w:rsidRDefault="006E28A5" w:rsidP="00644AA9">
            <w:pPr>
              <w:jc w:val="center"/>
              <w:rPr>
                <w:rFonts w:ascii="Calibri" w:hAnsi="Calibri" w:cs="Calibri"/>
                <w:b/>
              </w:rPr>
            </w:pPr>
            <w:r w:rsidRPr="00F56679">
              <w:rPr>
                <w:rFonts w:ascii="Calibri" w:hAnsi="Calibri" w:cs="Calibri"/>
                <w:b/>
              </w:rPr>
              <w:t>Actual</w:t>
            </w:r>
          </w:p>
        </w:tc>
        <w:tc>
          <w:tcPr>
            <w:tcW w:w="3690" w:type="dxa"/>
            <w:tcBorders>
              <w:bottom w:val="single" w:sz="4" w:space="0" w:color="548DD4" w:themeColor="text2" w:themeTint="99"/>
            </w:tcBorders>
          </w:tcPr>
          <w:p w14:paraId="7BBB24E5" w14:textId="77777777" w:rsidR="006E28A5" w:rsidRPr="00F56679" w:rsidRDefault="006E28A5" w:rsidP="00644AA9">
            <w:pPr>
              <w:jc w:val="center"/>
              <w:rPr>
                <w:rFonts w:ascii="Calibri" w:hAnsi="Calibri" w:cs="Calibri"/>
                <w:b/>
              </w:rPr>
            </w:pPr>
            <w:r w:rsidRPr="00F56679">
              <w:rPr>
                <w:rFonts w:ascii="Calibri" w:hAnsi="Calibri" w:cs="Calibri"/>
                <w:b/>
              </w:rPr>
              <w:t>Cause</w:t>
            </w:r>
          </w:p>
        </w:tc>
        <w:tc>
          <w:tcPr>
            <w:tcW w:w="3691" w:type="dxa"/>
            <w:tcBorders>
              <w:bottom w:val="single" w:sz="4" w:space="0" w:color="548DD4" w:themeColor="text2" w:themeTint="99"/>
            </w:tcBorders>
          </w:tcPr>
          <w:p w14:paraId="558357FB" w14:textId="77777777" w:rsidR="006E28A5" w:rsidRPr="00F56679" w:rsidRDefault="006E28A5" w:rsidP="00644AA9">
            <w:pPr>
              <w:jc w:val="center"/>
              <w:rPr>
                <w:rFonts w:ascii="Calibri" w:hAnsi="Calibri" w:cs="Calibri"/>
                <w:b/>
              </w:rPr>
            </w:pPr>
            <w:r w:rsidRPr="00F56679">
              <w:rPr>
                <w:rFonts w:ascii="Calibri" w:hAnsi="Calibri" w:cs="Calibri"/>
                <w:b/>
              </w:rPr>
              <w:t>Response</w:t>
            </w:r>
          </w:p>
        </w:tc>
      </w:tr>
      <w:tr w:rsidR="00B36E02" w:rsidRPr="003A4D73" w14:paraId="0F7662CD" w14:textId="77777777" w:rsidTr="00DA6DA2">
        <w:trPr>
          <w:trHeight w:hRule="exact" w:val="967"/>
          <w:jc w:val="center"/>
        </w:trPr>
        <w:tc>
          <w:tcPr>
            <w:tcW w:w="959" w:type="dxa"/>
            <w:tcBorders>
              <w:top w:val="single" w:sz="4" w:space="0" w:color="548DD4" w:themeColor="text2" w:themeTint="99"/>
              <w:bottom w:val="single" w:sz="4" w:space="0" w:color="548DD4" w:themeColor="text2" w:themeTint="99"/>
            </w:tcBorders>
            <w:vAlign w:val="center"/>
          </w:tcPr>
          <w:p w14:paraId="7FF9AFBE" w14:textId="77777777" w:rsidR="00B36E02" w:rsidRPr="00930F18" w:rsidRDefault="00B36E02" w:rsidP="00B36E02">
            <w:pPr>
              <w:jc w:val="center"/>
              <w:rPr>
                <w:rFonts w:ascii="Calibri" w:hAnsi="Calibri" w:cs="Calibri"/>
                <w:b/>
                <w:color w:val="808080" w:themeColor="background1" w:themeShade="80"/>
              </w:rPr>
            </w:pPr>
            <w:r w:rsidRPr="00930F18">
              <w:rPr>
                <w:rFonts w:ascii="Calibri" w:hAnsi="Calibri" w:cs="Calibri"/>
                <w:b/>
                <w:color w:val="808080" w:themeColor="background1" w:themeShade="80"/>
              </w:rPr>
              <w:t>N/A</w:t>
            </w:r>
          </w:p>
        </w:tc>
        <w:tc>
          <w:tcPr>
            <w:tcW w:w="2298" w:type="dxa"/>
            <w:tcBorders>
              <w:top w:val="single" w:sz="4" w:space="0" w:color="548DD4" w:themeColor="text2" w:themeTint="99"/>
              <w:bottom w:val="single" w:sz="4" w:space="0" w:color="548DD4" w:themeColor="text2" w:themeTint="99"/>
            </w:tcBorders>
            <w:vAlign w:val="center"/>
          </w:tcPr>
          <w:p w14:paraId="28D80A48" w14:textId="77777777" w:rsidR="00B36E02" w:rsidRPr="00F2033F" w:rsidRDefault="00F94343" w:rsidP="00B36E02">
            <w:pPr>
              <w:rPr>
                <w:rFonts w:ascii="Calibri" w:hAnsi="Calibri" w:cs="Calibri"/>
                <w:b/>
                <w:iCs/>
                <w:color w:val="808080" w:themeColor="background1" w:themeShade="80"/>
                <w:sz w:val="21"/>
                <w:szCs w:val="21"/>
              </w:rPr>
            </w:pPr>
            <w:hyperlink r:id="rId26" w:history="1">
              <w:r w:rsidR="00B36E02" w:rsidRPr="00F2033F">
                <w:rPr>
                  <w:rStyle w:val="Hyperlink"/>
                  <w:rFonts w:ascii="Calibri" w:hAnsi="Calibri" w:cs="Calibri"/>
                  <w:b/>
                  <w:iCs/>
                  <w:color w:val="808080" w:themeColor="background1" w:themeShade="80"/>
                  <w:sz w:val="21"/>
                  <w:szCs w:val="21"/>
                </w:rPr>
                <w:t>Workforce diversity - Age</w:t>
              </w:r>
            </w:hyperlink>
          </w:p>
        </w:tc>
        <w:tc>
          <w:tcPr>
            <w:tcW w:w="3118" w:type="dxa"/>
            <w:tcBorders>
              <w:top w:val="single" w:sz="4" w:space="0" w:color="548DD4" w:themeColor="text2" w:themeTint="99"/>
              <w:bottom w:val="single" w:sz="4" w:space="0" w:color="548DD4" w:themeColor="text2" w:themeTint="99"/>
            </w:tcBorders>
            <w:vAlign w:val="center"/>
          </w:tcPr>
          <w:p w14:paraId="030F222F" w14:textId="225AEA80" w:rsidR="00B36E02" w:rsidRPr="003A4D73" w:rsidRDefault="00B36E02" w:rsidP="00B36E02">
            <w:pPr>
              <w:jc w:val="center"/>
              <w:rPr>
                <w:rFonts w:ascii="Calibri" w:hAnsi="Calibri" w:cs="Calibri"/>
              </w:rPr>
            </w:pPr>
            <w:r>
              <w:rPr>
                <w:noProof/>
                <w:lang w:eastAsia="en-GB"/>
              </w:rPr>
              <w:drawing>
                <wp:inline distT="0" distB="0" distL="0" distR="0" wp14:anchorId="14E2E2C8" wp14:editId="0E5A0758">
                  <wp:extent cx="1842770" cy="403860"/>
                  <wp:effectExtent l="0" t="0" r="5080" b="0"/>
                  <wp:docPr id="14" name="Chart 14" title="workforce diversity 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769F1720" w14:textId="6E9CEC9C" w:rsidR="00B36E02" w:rsidRPr="003D306D" w:rsidRDefault="00B36E02" w:rsidP="00B36E02">
            <w:pPr>
              <w:jc w:val="center"/>
              <w:rPr>
                <w:rFonts w:ascii="Calibri" w:hAnsi="Calibri" w:cs="Calibri"/>
                <w:color w:val="808080" w:themeColor="background1" w:themeShade="80"/>
                <w:sz w:val="19"/>
                <w:szCs w:val="19"/>
              </w:rPr>
            </w:pPr>
            <w:r>
              <w:rPr>
                <w:rFonts w:ascii="Calibri" w:hAnsi="Calibri" w:cs="Calibri"/>
                <w:color w:val="808080" w:themeColor="background1" w:themeShade="80"/>
                <w:sz w:val="19"/>
                <w:szCs w:val="19"/>
              </w:rPr>
              <w:t>N/A</w:t>
            </w:r>
          </w:p>
        </w:tc>
        <w:tc>
          <w:tcPr>
            <w:tcW w:w="3690" w:type="dxa"/>
            <w:tcBorders>
              <w:top w:val="single" w:sz="4" w:space="0" w:color="548DD4" w:themeColor="text2" w:themeTint="99"/>
              <w:bottom w:val="single" w:sz="4" w:space="0" w:color="548DD4" w:themeColor="text2" w:themeTint="99"/>
            </w:tcBorders>
            <w:vAlign w:val="center"/>
          </w:tcPr>
          <w:p w14:paraId="50470D5A" w14:textId="01732F43" w:rsidR="00B36E02" w:rsidRPr="006E28A5" w:rsidRDefault="00B36E02" w:rsidP="00B36E02">
            <w:pPr>
              <w:jc w:val="both"/>
              <w:rPr>
                <w:rFonts w:ascii="Calibri" w:hAnsi="Calibri" w:cs="Calibri"/>
                <w:color w:val="808080" w:themeColor="background1" w:themeShade="80"/>
                <w:sz w:val="21"/>
                <w:szCs w:val="21"/>
              </w:rPr>
            </w:pPr>
            <w:r w:rsidRPr="0025390E">
              <w:rPr>
                <w:rFonts w:ascii="Calibri" w:hAnsi="Calibri" w:cs="Calibri"/>
                <w:color w:val="808080" w:themeColor="background1" w:themeShade="80"/>
              </w:rPr>
              <w:t>16-24 remains steady and 55-64 continues to increase</w:t>
            </w:r>
            <w:r w:rsidR="0025390E">
              <w:rPr>
                <w:rFonts w:ascii="Calibri" w:hAnsi="Calibri" w:cs="Calibri"/>
                <w:color w:val="808080" w:themeColor="background1" w:themeShade="80"/>
              </w:rPr>
              <w:t>.</w:t>
            </w:r>
          </w:p>
        </w:tc>
        <w:tc>
          <w:tcPr>
            <w:tcW w:w="3691" w:type="dxa"/>
            <w:tcBorders>
              <w:top w:val="single" w:sz="4" w:space="0" w:color="548DD4" w:themeColor="text2" w:themeTint="99"/>
              <w:bottom w:val="single" w:sz="4" w:space="0" w:color="548DD4" w:themeColor="text2" w:themeTint="99"/>
            </w:tcBorders>
            <w:vAlign w:val="center"/>
          </w:tcPr>
          <w:p w14:paraId="50D827A9" w14:textId="4C75BCDB" w:rsidR="00B36E02" w:rsidRPr="006E28A5" w:rsidRDefault="00B36E02" w:rsidP="00B36E02">
            <w:pPr>
              <w:jc w:val="both"/>
              <w:rPr>
                <w:sz w:val="21"/>
                <w:szCs w:val="21"/>
              </w:rPr>
            </w:pPr>
            <w:r w:rsidRPr="00FF0FA0">
              <w:rPr>
                <w:rFonts w:ascii="Calibri" w:hAnsi="Calibri" w:cs="Calibri"/>
                <w:bCs/>
                <w:color w:val="808080" w:themeColor="background1" w:themeShade="80"/>
              </w:rPr>
              <w:t>Positive exits and succession planning</w:t>
            </w:r>
            <w:r w:rsidR="00D14415">
              <w:rPr>
                <w:rFonts w:ascii="Calibri" w:hAnsi="Calibri" w:cs="Calibri"/>
                <w:bCs/>
                <w:color w:val="808080" w:themeColor="background1" w:themeShade="80"/>
              </w:rPr>
              <w:t>,</w:t>
            </w:r>
            <w:r w:rsidRPr="00FF0FA0">
              <w:rPr>
                <w:rFonts w:ascii="Calibri" w:hAnsi="Calibri" w:cs="Calibri"/>
                <w:bCs/>
                <w:color w:val="808080" w:themeColor="background1" w:themeShade="80"/>
              </w:rPr>
              <w:t xml:space="preserve"> along with proposal on future PYE programme</w:t>
            </w:r>
            <w:r w:rsidR="00D14415">
              <w:rPr>
                <w:rFonts w:ascii="Calibri" w:hAnsi="Calibri" w:cs="Calibri"/>
                <w:bCs/>
                <w:color w:val="808080" w:themeColor="background1" w:themeShade="80"/>
              </w:rPr>
              <w:t>, are</w:t>
            </w:r>
            <w:r w:rsidRPr="00FF0FA0">
              <w:rPr>
                <w:rFonts w:ascii="Calibri" w:hAnsi="Calibri" w:cs="Calibri"/>
                <w:bCs/>
                <w:color w:val="808080" w:themeColor="background1" w:themeShade="80"/>
              </w:rPr>
              <w:t xml:space="preserve"> key</w:t>
            </w:r>
            <w:r>
              <w:rPr>
                <w:rFonts w:ascii="Calibri" w:hAnsi="Calibri" w:cs="Calibri"/>
                <w:b/>
                <w:bCs/>
                <w:color w:val="808080" w:themeColor="background1" w:themeShade="80"/>
              </w:rPr>
              <w:t>.</w:t>
            </w:r>
          </w:p>
        </w:tc>
      </w:tr>
      <w:tr w:rsidR="00B36E02" w:rsidRPr="003A4D73" w14:paraId="35822C7C" w14:textId="77777777" w:rsidTr="00F735CD">
        <w:trPr>
          <w:trHeight w:hRule="exact" w:val="1021"/>
          <w:jc w:val="center"/>
        </w:trPr>
        <w:tc>
          <w:tcPr>
            <w:tcW w:w="959" w:type="dxa"/>
            <w:tcBorders>
              <w:top w:val="single" w:sz="4" w:space="0" w:color="548DD4" w:themeColor="text2" w:themeTint="99"/>
              <w:bottom w:val="single" w:sz="4" w:space="0" w:color="548DD4" w:themeColor="text2" w:themeTint="99"/>
            </w:tcBorders>
            <w:vAlign w:val="center"/>
          </w:tcPr>
          <w:p w14:paraId="4BB9153C" w14:textId="275DA142" w:rsidR="00B36E02" w:rsidRPr="00B36E02" w:rsidRDefault="00B36E02" w:rsidP="00B36E02">
            <w:pPr>
              <w:jc w:val="center"/>
              <w:rPr>
                <w:rFonts w:ascii="Calibri" w:hAnsi="Calibri" w:cs="Calibri"/>
                <w:b/>
                <w:color w:val="FF0000"/>
              </w:rPr>
            </w:pPr>
            <w:r w:rsidRPr="00B173B7">
              <w:rPr>
                <w:rFonts w:ascii="Calibri" w:hAnsi="Calibri" w:cs="Calibri"/>
                <w:b/>
                <w:color w:val="F79646" w:themeColor="accent6"/>
              </w:rPr>
              <w:t>AMBER</w:t>
            </w:r>
          </w:p>
        </w:tc>
        <w:tc>
          <w:tcPr>
            <w:tcW w:w="2298" w:type="dxa"/>
            <w:tcBorders>
              <w:top w:val="single" w:sz="4" w:space="0" w:color="548DD4" w:themeColor="text2" w:themeTint="99"/>
              <w:bottom w:val="single" w:sz="4" w:space="0" w:color="548DD4" w:themeColor="text2" w:themeTint="99"/>
            </w:tcBorders>
            <w:vAlign w:val="center"/>
          </w:tcPr>
          <w:p w14:paraId="16707292" w14:textId="77777777" w:rsidR="00B36E02" w:rsidRPr="00F2033F" w:rsidRDefault="00F94343" w:rsidP="00B36E02">
            <w:pPr>
              <w:rPr>
                <w:rFonts w:ascii="Calibri" w:hAnsi="Calibri" w:cs="Calibri"/>
                <w:b/>
                <w:iCs/>
                <w:color w:val="808080" w:themeColor="background1" w:themeShade="80"/>
                <w:sz w:val="21"/>
                <w:szCs w:val="21"/>
              </w:rPr>
            </w:pPr>
            <w:hyperlink r:id="rId28" w:history="1">
              <w:r w:rsidR="00B36E02" w:rsidRPr="00F2033F">
                <w:rPr>
                  <w:rStyle w:val="Hyperlink"/>
                  <w:rFonts w:ascii="Calibri" w:hAnsi="Calibri" w:cs="Calibri"/>
                  <w:b/>
                  <w:iCs/>
                  <w:color w:val="808080" w:themeColor="background1" w:themeShade="80"/>
                  <w:sz w:val="21"/>
                  <w:szCs w:val="21"/>
                </w:rPr>
                <w:t>Workforce diversity - Disability</w:t>
              </w:r>
            </w:hyperlink>
          </w:p>
        </w:tc>
        <w:tc>
          <w:tcPr>
            <w:tcW w:w="3118" w:type="dxa"/>
            <w:tcBorders>
              <w:top w:val="single" w:sz="4" w:space="0" w:color="548DD4" w:themeColor="text2" w:themeTint="99"/>
              <w:bottom w:val="single" w:sz="4" w:space="0" w:color="548DD4" w:themeColor="text2" w:themeTint="99"/>
            </w:tcBorders>
            <w:vAlign w:val="center"/>
          </w:tcPr>
          <w:p w14:paraId="72E8015C" w14:textId="15C58238" w:rsidR="00B36E02" w:rsidRPr="003A4D73" w:rsidRDefault="00B36E02" w:rsidP="00B36E02">
            <w:pPr>
              <w:jc w:val="center"/>
              <w:rPr>
                <w:rFonts w:ascii="Calibri" w:hAnsi="Calibri" w:cs="Calibri"/>
              </w:rPr>
            </w:pPr>
            <w:r>
              <w:rPr>
                <w:noProof/>
                <w:lang w:eastAsia="en-GB"/>
              </w:rPr>
              <w:drawing>
                <wp:inline distT="0" distB="0" distL="0" distR="0" wp14:anchorId="552162E7" wp14:editId="22CA23D4">
                  <wp:extent cx="1842770" cy="496570"/>
                  <wp:effectExtent l="0" t="0" r="5080" b="0"/>
                  <wp:docPr id="15" name="Chart 15" descr="A count of employees by year, from 2019/20 to present, clustered by those without disability, those not declared, those who prefer not to say, and those who are disabled." title="Workforce Diversity - Disability Status"/>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49891AB6" w14:textId="753DA687" w:rsidR="00B36E02" w:rsidRPr="00930F18" w:rsidRDefault="00B36E02" w:rsidP="00B36E02">
            <w:pPr>
              <w:jc w:val="center"/>
              <w:rPr>
                <w:rFonts w:ascii="Calibri" w:hAnsi="Calibri" w:cs="Calibri"/>
                <w:color w:val="808080" w:themeColor="background1" w:themeShade="80"/>
                <w:sz w:val="18"/>
                <w:szCs w:val="19"/>
              </w:rPr>
            </w:pPr>
            <w:r>
              <w:rPr>
                <w:rFonts w:ascii="Calibri" w:hAnsi="Calibri" w:cs="Calibri"/>
                <w:color w:val="808080" w:themeColor="background1" w:themeShade="80"/>
                <w:sz w:val="18"/>
                <w:szCs w:val="19"/>
              </w:rPr>
              <w:t>17</w:t>
            </w:r>
          </w:p>
        </w:tc>
        <w:tc>
          <w:tcPr>
            <w:tcW w:w="3690" w:type="dxa"/>
            <w:tcBorders>
              <w:top w:val="single" w:sz="4" w:space="0" w:color="548DD4" w:themeColor="text2" w:themeTint="99"/>
              <w:bottom w:val="single" w:sz="4" w:space="0" w:color="548DD4" w:themeColor="text2" w:themeTint="99"/>
            </w:tcBorders>
            <w:vAlign w:val="center"/>
          </w:tcPr>
          <w:p w14:paraId="2BD28E5C" w14:textId="12024D0A" w:rsidR="00B36E02" w:rsidRPr="006E28A5" w:rsidRDefault="00B36E02" w:rsidP="00B36E02">
            <w:pPr>
              <w:jc w:val="both"/>
              <w:rPr>
                <w:rFonts w:ascii="Calibri" w:hAnsi="Calibri" w:cs="Calibri"/>
                <w:color w:val="808080" w:themeColor="background1" w:themeShade="80"/>
                <w:sz w:val="21"/>
                <w:szCs w:val="21"/>
              </w:rPr>
            </w:pPr>
            <w:r>
              <w:rPr>
                <w:rFonts w:ascii="Calibri" w:hAnsi="Calibri" w:cs="Calibri"/>
                <w:color w:val="808080" w:themeColor="background1" w:themeShade="80"/>
              </w:rPr>
              <w:t xml:space="preserve">Disclosure remains low, but disclosure campaign planned </w:t>
            </w:r>
            <w:r w:rsidR="00D14415">
              <w:rPr>
                <w:rFonts w:ascii="Calibri" w:hAnsi="Calibri" w:cs="Calibri"/>
                <w:color w:val="808080" w:themeColor="background1" w:themeShade="80"/>
              </w:rPr>
              <w:t xml:space="preserve">in Q3 </w:t>
            </w:r>
            <w:r>
              <w:rPr>
                <w:rFonts w:ascii="Calibri" w:hAnsi="Calibri" w:cs="Calibri"/>
                <w:color w:val="808080" w:themeColor="background1" w:themeShade="80"/>
              </w:rPr>
              <w:t>to tackle.</w:t>
            </w:r>
          </w:p>
        </w:tc>
        <w:tc>
          <w:tcPr>
            <w:tcW w:w="3691" w:type="dxa"/>
            <w:tcBorders>
              <w:top w:val="single" w:sz="4" w:space="0" w:color="548DD4" w:themeColor="text2" w:themeTint="99"/>
              <w:bottom w:val="single" w:sz="4" w:space="0" w:color="548DD4" w:themeColor="text2" w:themeTint="99"/>
            </w:tcBorders>
            <w:vAlign w:val="center"/>
          </w:tcPr>
          <w:p w14:paraId="47AC3BE2" w14:textId="1E2ABB71" w:rsidR="00B36E02" w:rsidRPr="006E28A5" w:rsidRDefault="00B36E02" w:rsidP="00B36E02">
            <w:pPr>
              <w:jc w:val="both"/>
              <w:rPr>
                <w:sz w:val="21"/>
                <w:szCs w:val="21"/>
              </w:rPr>
            </w:pPr>
            <w:r>
              <w:rPr>
                <w:rFonts w:ascii="Calibri" w:hAnsi="Calibri" w:cs="Calibri"/>
                <w:color w:val="808080" w:themeColor="background1" w:themeShade="80"/>
              </w:rPr>
              <w:t>Continue work on EDI actions and increasing disclosure through campaign and visible support.</w:t>
            </w:r>
          </w:p>
        </w:tc>
      </w:tr>
      <w:tr w:rsidR="00B36E02" w:rsidRPr="003A4D73" w14:paraId="2BA9BA7D" w14:textId="77777777" w:rsidTr="00DA6DA2">
        <w:trPr>
          <w:trHeight w:hRule="exact" w:val="876"/>
          <w:jc w:val="center"/>
        </w:trPr>
        <w:tc>
          <w:tcPr>
            <w:tcW w:w="959" w:type="dxa"/>
            <w:tcBorders>
              <w:top w:val="single" w:sz="4" w:space="0" w:color="548DD4" w:themeColor="text2" w:themeTint="99"/>
              <w:bottom w:val="single" w:sz="4" w:space="0" w:color="548DD4" w:themeColor="text2" w:themeTint="99"/>
            </w:tcBorders>
            <w:vAlign w:val="center"/>
          </w:tcPr>
          <w:p w14:paraId="5DF173A7" w14:textId="36AD343F" w:rsidR="00B36E02" w:rsidRPr="003A4D73" w:rsidRDefault="00B36E02" w:rsidP="00B36E02">
            <w:pPr>
              <w:jc w:val="center"/>
              <w:rPr>
                <w:rFonts w:ascii="Calibri" w:hAnsi="Calibri" w:cs="Calibri"/>
                <w:b/>
                <w:color w:val="FF0000"/>
              </w:rPr>
            </w:pPr>
            <w:r w:rsidRPr="00B173B7">
              <w:rPr>
                <w:rFonts w:ascii="Calibri" w:hAnsi="Calibri" w:cs="Calibri"/>
                <w:b/>
                <w:color w:val="F79646" w:themeColor="accent6"/>
              </w:rPr>
              <w:t>AMBER</w:t>
            </w:r>
          </w:p>
        </w:tc>
        <w:tc>
          <w:tcPr>
            <w:tcW w:w="2298" w:type="dxa"/>
            <w:tcBorders>
              <w:top w:val="single" w:sz="4" w:space="0" w:color="548DD4" w:themeColor="text2" w:themeTint="99"/>
              <w:bottom w:val="single" w:sz="4" w:space="0" w:color="548DD4" w:themeColor="text2" w:themeTint="99"/>
            </w:tcBorders>
            <w:vAlign w:val="center"/>
          </w:tcPr>
          <w:p w14:paraId="12EEA902" w14:textId="77777777" w:rsidR="00B36E02" w:rsidRPr="00F2033F" w:rsidRDefault="00F94343" w:rsidP="00B36E02">
            <w:pPr>
              <w:rPr>
                <w:rFonts w:ascii="Calibri" w:hAnsi="Calibri" w:cs="Calibri"/>
                <w:b/>
                <w:iCs/>
                <w:color w:val="808080" w:themeColor="background1" w:themeShade="80"/>
                <w:sz w:val="21"/>
                <w:szCs w:val="21"/>
              </w:rPr>
            </w:pPr>
            <w:hyperlink r:id="rId30" w:history="1">
              <w:r w:rsidR="00B36E02" w:rsidRPr="00F2033F">
                <w:rPr>
                  <w:rStyle w:val="Hyperlink"/>
                  <w:rFonts w:ascii="Calibri" w:hAnsi="Calibri" w:cs="Calibri"/>
                  <w:b/>
                  <w:iCs/>
                  <w:color w:val="808080" w:themeColor="background1" w:themeShade="80"/>
                  <w:sz w:val="21"/>
                  <w:szCs w:val="21"/>
                </w:rPr>
                <w:t>Workforce diversity - Ethnicity</w:t>
              </w:r>
            </w:hyperlink>
          </w:p>
        </w:tc>
        <w:tc>
          <w:tcPr>
            <w:tcW w:w="3118" w:type="dxa"/>
            <w:tcBorders>
              <w:top w:val="single" w:sz="4" w:space="0" w:color="548DD4" w:themeColor="text2" w:themeTint="99"/>
              <w:bottom w:val="single" w:sz="4" w:space="0" w:color="548DD4" w:themeColor="text2" w:themeTint="99"/>
            </w:tcBorders>
            <w:vAlign w:val="center"/>
          </w:tcPr>
          <w:p w14:paraId="68D6754F" w14:textId="599A10DC" w:rsidR="00B36E02" w:rsidRPr="003A4D73" w:rsidRDefault="00B36E02" w:rsidP="00B36E02">
            <w:pPr>
              <w:jc w:val="center"/>
              <w:rPr>
                <w:rFonts w:ascii="Calibri" w:hAnsi="Calibri" w:cs="Calibri"/>
              </w:rPr>
            </w:pPr>
            <w:r w:rsidRPr="00B36E02">
              <w:rPr>
                <w:rFonts w:ascii="Calibri" w:hAnsi="Calibri" w:cs="Calibri"/>
                <w:noProof/>
                <w:lang w:eastAsia="en-GB"/>
              </w:rPr>
              <w:drawing>
                <wp:inline distT="0" distB="0" distL="0" distR="0" wp14:anchorId="06859F98" wp14:editId="32F2E0C8">
                  <wp:extent cx="1842770" cy="508635"/>
                  <wp:effectExtent l="0" t="0" r="5080" b="5715"/>
                  <wp:docPr id="16" name="Picture 16" title="workforce diversity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842770" cy="508635"/>
                          </a:xfrm>
                          <a:prstGeom prst="rect">
                            <a:avLst/>
                          </a:prstGeom>
                        </pic:spPr>
                      </pic:pic>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065F51C3" w14:textId="1C0A3014" w:rsidR="00B36E02" w:rsidRPr="00930F18" w:rsidRDefault="00B36E02" w:rsidP="00B36E02">
            <w:pPr>
              <w:jc w:val="center"/>
              <w:rPr>
                <w:rFonts w:ascii="Calibri" w:hAnsi="Calibri" w:cs="Calibri"/>
                <w:color w:val="808080" w:themeColor="background1" w:themeShade="80"/>
                <w:sz w:val="18"/>
                <w:szCs w:val="19"/>
              </w:rPr>
            </w:pPr>
            <w:r>
              <w:rPr>
                <w:rFonts w:ascii="Calibri" w:hAnsi="Calibri" w:cs="Calibri"/>
                <w:color w:val="808080" w:themeColor="background1" w:themeShade="80"/>
                <w:sz w:val="18"/>
                <w:szCs w:val="19"/>
              </w:rPr>
              <w:t>18</w:t>
            </w:r>
          </w:p>
        </w:tc>
        <w:tc>
          <w:tcPr>
            <w:tcW w:w="3690" w:type="dxa"/>
            <w:tcBorders>
              <w:top w:val="single" w:sz="4" w:space="0" w:color="548DD4" w:themeColor="text2" w:themeTint="99"/>
              <w:bottom w:val="single" w:sz="4" w:space="0" w:color="548DD4" w:themeColor="text2" w:themeTint="99"/>
            </w:tcBorders>
            <w:vAlign w:val="center"/>
          </w:tcPr>
          <w:p w14:paraId="11D05533" w14:textId="57DCD887" w:rsidR="00B36E02" w:rsidRPr="006E28A5" w:rsidRDefault="00B36E02" w:rsidP="00B36E02">
            <w:pPr>
              <w:jc w:val="both"/>
              <w:rPr>
                <w:rFonts w:ascii="Calibri" w:hAnsi="Calibri" w:cs="Calibri"/>
                <w:color w:val="808080" w:themeColor="background1" w:themeShade="80"/>
                <w:sz w:val="21"/>
                <w:szCs w:val="21"/>
              </w:rPr>
            </w:pPr>
            <w:r>
              <w:rPr>
                <w:rFonts w:ascii="Calibri" w:hAnsi="Calibri" w:cs="Calibri"/>
                <w:color w:val="808080" w:themeColor="background1" w:themeShade="80"/>
              </w:rPr>
              <w:t xml:space="preserve">Cause remains </w:t>
            </w:r>
            <w:r w:rsidR="00D14415">
              <w:rPr>
                <w:rFonts w:ascii="Calibri" w:hAnsi="Calibri" w:cs="Calibri"/>
                <w:color w:val="808080" w:themeColor="background1" w:themeShade="80"/>
              </w:rPr>
              <w:t>(</w:t>
            </w:r>
            <w:r>
              <w:rPr>
                <w:rFonts w:ascii="Calibri" w:hAnsi="Calibri" w:cs="Calibri"/>
                <w:color w:val="808080" w:themeColor="background1" w:themeShade="80"/>
              </w:rPr>
              <w:t>as per Q1</w:t>
            </w:r>
            <w:r w:rsidR="00D14415">
              <w:rPr>
                <w:rFonts w:ascii="Calibri" w:hAnsi="Calibri" w:cs="Calibri"/>
                <w:color w:val="808080" w:themeColor="background1" w:themeShade="80"/>
              </w:rPr>
              <w:t>)</w:t>
            </w:r>
            <w:r>
              <w:rPr>
                <w:rFonts w:ascii="Calibri" w:hAnsi="Calibri" w:cs="Calibri"/>
                <w:color w:val="808080" w:themeColor="background1" w:themeShade="80"/>
              </w:rPr>
              <w:t xml:space="preserve"> cultural norms.  Working in Partnership to tackle these.  </w:t>
            </w:r>
          </w:p>
        </w:tc>
        <w:tc>
          <w:tcPr>
            <w:tcW w:w="3691" w:type="dxa"/>
            <w:tcBorders>
              <w:top w:val="single" w:sz="4" w:space="0" w:color="548DD4" w:themeColor="text2" w:themeTint="99"/>
              <w:bottom w:val="single" w:sz="4" w:space="0" w:color="548DD4" w:themeColor="text2" w:themeTint="99"/>
            </w:tcBorders>
            <w:vAlign w:val="center"/>
          </w:tcPr>
          <w:p w14:paraId="00613137" w14:textId="3E1A9A8D" w:rsidR="00B36E02" w:rsidRPr="006E28A5" w:rsidRDefault="00B36E02" w:rsidP="00B36E02">
            <w:pPr>
              <w:jc w:val="both"/>
              <w:rPr>
                <w:sz w:val="21"/>
                <w:szCs w:val="21"/>
              </w:rPr>
            </w:pPr>
            <w:r>
              <w:rPr>
                <w:rFonts w:ascii="Calibri" w:hAnsi="Calibri" w:cs="Calibri"/>
                <w:color w:val="808080" w:themeColor="background1" w:themeShade="80"/>
              </w:rPr>
              <w:t xml:space="preserve">Continue work on EDI actions and increasing opportunities within diverse communities.  </w:t>
            </w:r>
          </w:p>
        </w:tc>
      </w:tr>
      <w:tr w:rsidR="00B36E02" w:rsidRPr="003A4D73" w14:paraId="0DE29952" w14:textId="77777777" w:rsidTr="00DA6DA2">
        <w:trPr>
          <w:trHeight w:hRule="exact" w:val="1132"/>
          <w:jc w:val="center"/>
        </w:trPr>
        <w:tc>
          <w:tcPr>
            <w:tcW w:w="959" w:type="dxa"/>
            <w:tcBorders>
              <w:top w:val="single" w:sz="4" w:space="0" w:color="548DD4" w:themeColor="text2" w:themeTint="99"/>
              <w:bottom w:val="single" w:sz="4" w:space="0" w:color="548DD4" w:themeColor="text2" w:themeTint="99"/>
            </w:tcBorders>
            <w:vAlign w:val="center"/>
          </w:tcPr>
          <w:p w14:paraId="29640708" w14:textId="77777777" w:rsidR="00B36E02" w:rsidRPr="003A4D73" w:rsidRDefault="00B36E02" w:rsidP="00B36E02">
            <w:pPr>
              <w:jc w:val="center"/>
              <w:rPr>
                <w:rFonts w:ascii="Calibri" w:hAnsi="Calibri" w:cs="Calibri"/>
                <w:b/>
                <w:color w:val="FF0000"/>
              </w:rPr>
            </w:pPr>
            <w:r w:rsidRPr="002A1FFB">
              <w:rPr>
                <w:rFonts w:ascii="Calibri" w:hAnsi="Calibri" w:cs="Calibri"/>
                <w:b/>
                <w:color w:val="00B050"/>
              </w:rPr>
              <w:t>GREEN</w:t>
            </w:r>
          </w:p>
        </w:tc>
        <w:tc>
          <w:tcPr>
            <w:tcW w:w="2298" w:type="dxa"/>
            <w:tcBorders>
              <w:top w:val="single" w:sz="4" w:space="0" w:color="548DD4" w:themeColor="text2" w:themeTint="99"/>
              <w:bottom w:val="single" w:sz="4" w:space="0" w:color="548DD4" w:themeColor="text2" w:themeTint="99"/>
            </w:tcBorders>
            <w:vAlign w:val="center"/>
          </w:tcPr>
          <w:p w14:paraId="7D6E99EA" w14:textId="77777777" w:rsidR="00B36E02" w:rsidRPr="00675DB4" w:rsidRDefault="00F94343" w:rsidP="00B36E02">
            <w:pPr>
              <w:rPr>
                <w:rFonts w:ascii="Calibri" w:hAnsi="Calibri" w:cs="Calibri"/>
                <w:b/>
                <w:iCs/>
                <w:color w:val="808080" w:themeColor="background1" w:themeShade="80"/>
                <w:sz w:val="21"/>
                <w:szCs w:val="21"/>
              </w:rPr>
            </w:pPr>
            <w:hyperlink r:id="rId32" w:history="1">
              <w:r w:rsidR="00B36E02" w:rsidRPr="00055F9E">
                <w:rPr>
                  <w:rStyle w:val="Hyperlink"/>
                  <w:rFonts w:ascii="Calibri" w:hAnsi="Calibri" w:cs="Calibri"/>
                  <w:b/>
                  <w:iCs/>
                  <w:color w:val="808080" w:themeColor="background1" w:themeShade="80"/>
                  <w:sz w:val="21"/>
                  <w:szCs w:val="21"/>
                </w:rPr>
                <w:t>Total emissions</w:t>
              </w:r>
            </w:hyperlink>
          </w:p>
        </w:tc>
        <w:tc>
          <w:tcPr>
            <w:tcW w:w="3118" w:type="dxa"/>
            <w:tcBorders>
              <w:top w:val="single" w:sz="4" w:space="0" w:color="548DD4" w:themeColor="text2" w:themeTint="99"/>
              <w:bottom w:val="single" w:sz="4" w:space="0" w:color="548DD4" w:themeColor="text2" w:themeTint="99"/>
            </w:tcBorders>
            <w:vAlign w:val="center"/>
          </w:tcPr>
          <w:p w14:paraId="1713A850" w14:textId="1A61185D" w:rsidR="00B36E02" w:rsidRPr="001F13D5" w:rsidRDefault="00B36E02" w:rsidP="00B36E02">
            <w:pPr>
              <w:jc w:val="center"/>
              <w:rPr>
                <w:rFonts w:ascii="Calibri" w:hAnsi="Calibri" w:cs="Calibri"/>
                <w:color w:val="808080" w:themeColor="background1" w:themeShade="80"/>
              </w:rPr>
            </w:pPr>
            <w:r>
              <w:rPr>
                <w:rFonts w:ascii="Calibri" w:hAnsi="Calibri" w:cs="Calibri"/>
                <w:noProof/>
                <w:lang w:eastAsia="en-GB"/>
              </w:rPr>
              <w:drawing>
                <wp:inline distT="0" distB="0" distL="0" distR="0" wp14:anchorId="19F07A6F" wp14:editId="50BCDDEA">
                  <wp:extent cx="1945005" cy="572770"/>
                  <wp:effectExtent l="0" t="0" r="0" b="0"/>
                  <wp:docPr id="11" name="Picture 11" title="Total E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45005" cy="572770"/>
                          </a:xfrm>
                          <a:prstGeom prst="rect">
                            <a:avLst/>
                          </a:prstGeom>
                          <a:noFill/>
                        </pic:spPr>
                      </pic:pic>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682CB3BE" w14:textId="2C137A1D" w:rsidR="00B36E02" w:rsidRPr="001F13D5" w:rsidRDefault="00B36E02" w:rsidP="00B36E02">
            <w:pPr>
              <w:jc w:val="center"/>
              <w:rPr>
                <w:rFonts w:ascii="Calibri" w:hAnsi="Calibri" w:cs="Calibri"/>
                <w:color w:val="808080" w:themeColor="background1" w:themeShade="80"/>
                <w:sz w:val="19"/>
                <w:szCs w:val="19"/>
              </w:rPr>
            </w:pPr>
            <w:r>
              <w:rPr>
                <w:rFonts w:ascii="Calibri" w:hAnsi="Calibri" w:cs="Calibri"/>
                <w:color w:val="808080" w:themeColor="background1" w:themeShade="80"/>
                <w:sz w:val="19"/>
                <w:szCs w:val="19"/>
              </w:rPr>
              <w:t>372,124(kgCo2)</w:t>
            </w:r>
          </w:p>
        </w:tc>
        <w:tc>
          <w:tcPr>
            <w:tcW w:w="3690" w:type="dxa"/>
            <w:tcBorders>
              <w:top w:val="single" w:sz="4" w:space="0" w:color="548DD4" w:themeColor="text2" w:themeTint="99"/>
              <w:bottom w:val="single" w:sz="4" w:space="0" w:color="548DD4" w:themeColor="text2" w:themeTint="99"/>
            </w:tcBorders>
            <w:vAlign w:val="center"/>
          </w:tcPr>
          <w:p w14:paraId="15F86016" w14:textId="7D4B69B5" w:rsidR="00B36E02" w:rsidRPr="001F13D5" w:rsidRDefault="00B36E02" w:rsidP="00B36E02">
            <w:pPr>
              <w:jc w:val="both"/>
              <w:rPr>
                <w:rFonts w:ascii="Calibri" w:hAnsi="Calibri" w:cs="Calibri"/>
                <w:color w:val="808080" w:themeColor="background1" w:themeShade="80"/>
                <w:sz w:val="21"/>
                <w:szCs w:val="21"/>
              </w:rPr>
            </w:pPr>
            <w:r>
              <w:rPr>
                <w:rFonts w:ascii="Calibri" w:hAnsi="Calibri" w:cs="Calibri"/>
                <w:color w:val="808080" w:themeColor="background1" w:themeShade="80"/>
              </w:rPr>
              <w:t>It h</w:t>
            </w:r>
            <w:r w:rsidRPr="001F13D5">
              <w:rPr>
                <w:rFonts w:ascii="Calibri" w:hAnsi="Calibri" w:cs="Calibri"/>
                <w:color w:val="808080" w:themeColor="background1" w:themeShade="80"/>
              </w:rPr>
              <w:t>as b</w:t>
            </w:r>
            <w:r>
              <w:rPr>
                <w:rFonts w:ascii="Calibri" w:hAnsi="Calibri" w:cs="Calibri"/>
                <w:color w:val="808080" w:themeColor="background1" w:themeShade="80"/>
              </w:rPr>
              <w:t>een agreed to report this in Q4.</w:t>
            </w:r>
          </w:p>
        </w:tc>
        <w:tc>
          <w:tcPr>
            <w:tcW w:w="3691" w:type="dxa"/>
            <w:tcBorders>
              <w:top w:val="single" w:sz="4" w:space="0" w:color="548DD4" w:themeColor="text2" w:themeTint="99"/>
              <w:bottom w:val="single" w:sz="4" w:space="0" w:color="548DD4" w:themeColor="text2" w:themeTint="99"/>
            </w:tcBorders>
            <w:vAlign w:val="center"/>
          </w:tcPr>
          <w:p w14:paraId="748ADA38" w14:textId="195FAA3C" w:rsidR="00B36E02" w:rsidRPr="001F13D5" w:rsidRDefault="00B36E02" w:rsidP="00D14415">
            <w:pPr>
              <w:jc w:val="both"/>
              <w:rPr>
                <w:rFonts w:ascii="Calibri" w:hAnsi="Calibri" w:cs="Calibri"/>
                <w:color w:val="808080" w:themeColor="background1" w:themeShade="80"/>
                <w:sz w:val="21"/>
                <w:szCs w:val="21"/>
              </w:rPr>
            </w:pPr>
            <w:r w:rsidRPr="001F13D5">
              <w:rPr>
                <w:rFonts w:ascii="Calibri" w:hAnsi="Calibri" w:cs="Calibri"/>
                <w:color w:val="808080" w:themeColor="background1" w:themeShade="80"/>
              </w:rPr>
              <w:t>There is a shift in how we are calculating</w:t>
            </w:r>
            <w:r w:rsidR="00D14415">
              <w:rPr>
                <w:rFonts w:ascii="Calibri" w:hAnsi="Calibri" w:cs="Calibri"/>
                <w:color w:val="808080" w:themeColor="background1" w:themeShade="80"/>
              </w:rPr>
              <w:t xml:space="preserve"> emissions</w:t>
            </w:r>
            <w:r w:rsidRPr="001F13D5">
              <w:rPr>
                <w:rFonts w:ascii="Calibri" w:hAnsi="Calibri" w:cs="Calibri"/>
                <w:color w:val="808080" w:themeColor="background1" w:themeShade="80"/>
              </w:rPr>
              <w:t xml:space="preserve"> (building splits) so </w:t>
            </w:r>
            <w:r w:rsidR="00D14415">
              <w:rPr>
                <w:rFonts w:ascii="Calibri" w:hAnsi="Calibri" w:cs="Calibri"/>
                <w:color w:val="808080" w:themeColor="background1" w:themeShade="80"/>
              </w:rPr>
              <w:t>we are</w:t>
            </w:r>
            <w:r w:rsidRPr="001F13D5">
              <w:rPr>
                <w:rFonts w:ascii="Calibri" w:hAnsi="Calibri" w:cs="Calibri"/>
                <w:color w:val="808080" w:themeColor="background1" w:themeShade="80"/>
              </w:rPr>
              <w:t xml:space="preserve"> unable to provide data until Q4.</w:t>
            </w:r>
          </w:p>
        </w:tc>
      </w:tr>
      <w:tr w:rsidR="00B36E02" w:rsidRPr="003A4D73" w14:paraId="4BA42BA2" w14:textId="77777777" w:rsidTr="00DA6DA2">
        <w:trPr>
          <w:trHeight w:hRule="exact" w:val="1024"/>
          <w:jc w:val="center"/>
        </w:trPr>
        <w:tc>
          <w:tcPr>
            <w:tcW w:w="959" w:type="dxa"/>
            <w:tcBorders>
              <w:top w:val="single" w:sz="4" w:space="0" w:color="548DD4" w:themeColor="text2" w:themeTint="99"/>
              <w:bottom w:val="single" w:sz="4" w:space="0" w:color="548DD4" w:themeColor="text2" w:themeTint="99"/>
            </w:tcBorders>
            <w:vAlign w:val="center"/>
          </w:tcPr>
          <w:p w14:paraId="4920A5BF" w14:textId="77777777" w:rsidR="00B36E02" w:rsidRPr="003A4D73" w:rsidRDefault="00B36E02" w:rsidP="00B36E02">
            <w:pPr>
              <w:jc w:val="center"/>
              <w:rPr>
                <w:rFonts w:ascii="Calibri" w:hAnsi="Calibri" w:cs="Calibri"/>
                <w:b/>
                <w:color w:val="FF0000"/>
              </w:rPr>
            </w:pPr>
            <w:r w:rsidRPr="002A1FFB">
              <w:rPr>
                <w:rFonts w:ascii="Calibri" w:hAnsi="Calibri" w:cs="Calibri"/>
                <w:b/>
                <w:color w:val="00B050"/>
              </w:rPr>
              <w:t>GREEN</w:t>
            </w:r>
          </w:p>
        </w:tc>
        <w:tc>
          <w:tcPr>
            <w:tcW w:w="2298" w:type="dxa"/>
            <w:tcBorders>
              <w:top w:val="single" w:sz="4" w:space="0" w:color="548DD4" w:themeColor="text2" w:themeTint="99"/>
              <w:bottom w:val="single" w:sz="4" w:space="0" w:color="548DD4" w:themeColor="text2" w:themeTint="99"/>
            </w:tcBorders>
            <w:vAlign w:val="center"/>
          </w:tcPr>
          <w:p w14:paraId="04836AC1" w14:textId="3424915B" w:rsidR="00B36E02" w:rsidRPr="00675DB4" w:rsidRDefault="00F94343" w:rsidP="00B36E02">
            <w:pPr>
              <w:rPr>
                <w:rFonts w:ascii="Calibri" w:hAnsi="Calibri" w:cs="Calibri"/>
                <w:b/>
                <w:iCs/>
                <w:color w:val="808080" w:themeColor="background1" w:themeShade="80"/>
                <w:sz w:val="21"/>
                <w:szCs w:val="21"/>
              </w:rPr>
            </w:pPr>
            <w:hyperlink r:id="rId34" w:history="1">
              <w:r w:rsidR="00B36E02" w:rsidRPr="001F13D5">
                <w:rPr>
                  <w:rStyle w:val="Hyperlink"/>
                  <w:rFonts w:ascii="Calibri" w:hAnsi="Calibri" w:cs="Calibri"/>
                  <w:b/>
                  <w:iCs/>
                  <w:color w:val="808080" w:themeColor="background1" w:themeShade="80"/>
                  <w:sz w:val="21"/>
                  <w:szCs w:val="21"/>
                </w:rPr>
                <w:t>Reach in mainstream media</w:t>
              </w:r>
            </w:hyperlink>
          </w:p>
        </w:tc>
        <w:tc>
          <w:tcPr>
            <w:tcW w:w="3118" w:type="dxa"/>
            <w:tcBorders>
              <w:top w:val="single" w:sz="4" w:space="0" w:color="548DD4" w:themeColor="text2" w:themeTint="99"/>
              <w:bottom w:val="single" w:sz="4" w:space="0" w:color="548DD4" w:themeColor="text2" w:themeTint="99"/>
            </w:tcBorders>
            <w:vAlign w:val="center"/>
          </w:tcPr>
          <w:p w14:paraId="40A323D6" w14:textId="57A9E958" w:rsidR="00B36E02" w:rsidRPr="003A4D73" w:rsidRDefault="00B36E02" w:rsidP="00B36E02">
            <w:pPr>
              <w:jc w:val="center"/>
              <w:rPr>
                <w:rFonts w:ascii="Calibri" w:hAnsi="Calibri" w:cs="Calibri"/>
              </w:rPr>
            </w:pPr>
            <w:r>
              <w:rPr>
                <w:noProof/>
                <w:lang w:eastAsia="en-GB"/>
              </w:rPr>
              <w:drawing>
                <wp:inline distT="0" distB="0" distL="0" distR="0" wp14:anchorId="2C69CBA8" wp14:editId="1EB18C3F">
                  <wp:extent cx="1842770" cy="583660"/>
                  <wp:effectExtent l="0" t="0" r="5080" b="6985"/>
                  <wp:docPr id="12" name="Chart 12" title="Reach in mainstream media"/>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4DA2ABA6" w14:textId="51FC7815" w:rsidR="00B36E02" w:rsidRPr="00B173B7" w:rsidRDefault="00B36E02" w:rsidP="00B36E02">
            <w:pPr>
              <w:jc w:val="center"/>
              <w:rPr>
                <w:rFonts w:ascii="Calibri" w:hAnsi="Calibri" w:cs="Calibri"/>
                <w:b/>
                <w:color w:val="A6A6A6" w:themeColor="background1" w:themeShade="A6"/>
                <w:sz w:val="21"/>
                <w:szCs w:val="21"/>
              </w:rPr>
            </w:pPr>
            <w:r w:rsidRPr="00B173B7">
              <w:rPr>
                <w:rFonts w:ascii="Calibri" w:hAnsi="Calibri" w:cs="Calibri"/>
                <w:color w:val="A6A6A6" w:themeColor="background1" w:themeShade="A6"/>
                <w:sz w:val="21"/>
                <w:szCs w:val="21"/>
              </w:rPr>
              <w:br/>
              <w:t>519</w:t>
            </w:r>
          </w:p>
          <w:p w14:paraId="749FD026" w14:textId="391669D0" w:rsidR="00B36E02" w:rsidRPr="00B173B7" w:rsidRDefault="00B36E02" w:rsidP="00B36E02">
            <w:pPr>
              <w:jc w:val="center"/>
              <w:rPr>
                <w:rFonts w:ascii="Calibri" w:hAnsi="Calibri" w:cs="Calibri"/>
                <w:color w:val="808080" w:themeColor="background1" w:themeShade="80"/>
                <w:sz w:val="21"/>
                <w:szCs w:val="21"/>
              </w:rPr>
            </w:pPr>
            <w:r>
              <w:rPr>
                <w:rFonts w:ascii="Calibri" w:hAnsi="Calibri" w:cs="Calibri"/>
                <w:color w:val="A6A6A6" w:themeColor="background1" w:themeShade="A6"/>
                <w:sz w:val="21"/>
                <w:szCs w:val="21"/>
              </w:rPr>
              <w:t>million</w:t>
            </w:r>
          </w:p>
          <w:p w14:paraId="320141A2" w14:textId="7A7D7D93" w:rsidR="00B36E02" w:rsidRPr="00B173B7" w:rsidRDefault="00B36E02" w:rsidP="00B36E02">
            <w:pPr>
              <w:jc w:val="center"/>
              <w:rPr>
                <w:rFonts w:ascii="Calibri" w:hAnsi="Calibri" w:cs="Calibri"/>
                <w:color w:val="808080" w:themeColor="background1" w:themeShade="80"/>
                <w:sz w:val="21"/>
                <w:szCs w:val="21"/>
              </w:rPr>
            </w:pPr>
          </w:p>
        </w:tc>
        <w:tc>
          <w:tcPr>
            <w:tcW w:w="3690" w:type="dxa"/>
            <w:tcBorders>
              <w:top w:val="single" w:sz="4" w:space="0" w:color="548DD4" w:themeColor="text2" w:themeTint="99"/>
              <w:bottom w:val="single" w:sz="4" w:space="0" w:color="548DD4" w:themeColor="text2" w:themeTint="99"/>
            </w:tcBorders>
            <w:vAlign w:val="center"/>
          </w:tcPr>
          <w:p w14:paraId="753FB931" w14:textId="77777777" w:rsidR="00B36E02" w:rsidRPr="00A239B6" w:rsidRDefault="00B36E02" w:rsidP="00B36E02">
            <w:pPr>
              <w:rPr>
                <w:rFonts w:ascii="Calibri" w:hAnsi="Calibri" w:cs="Calibri"/>
                <w:b/>
                <w:color w:val="808080" w:themeColor="background1" w:themeShade="80"/>
              </w:rPr>
            </w:pPr>
            <w:r w:rsidRPr="00A239B6">
              <w:rPr>
                <w:rFonts w:ascii="Calibri" w:hAnsi="Calibri" w:cs="Calibri"/>
                <w:color w:val="808080" w:themeColor="background1" w:themeShade="80"/>
              </w:rPr>
              <w:t> Increased media coverage due to Avian flu crisis and increased recognition of NatureScot brand</w:t>
            </w:r>
          </w:p>
          <w:p w14:paraId="28B088BC" w14:textId="77777777" w:rsidR="00B36E02" w:rsidRPr="00A239B6" w:rsidRDefault="00B36E02" w:rsidP="00B36E02">
            <w:pPr>
              <w:jc w:val="both"/>
              <w:rPr>
                <w:rFonts w:ascii="Calibri" w:hAnsi="Calibri" w:cs="Calibri"/>
                <w:b/>
                <w:color w:val="808080" w:themeColor="background1" w:themeShade="80"/>
              </w:rPr>
            </w:pPr>
          </w:p>
        </w:tc>
        <w:tc>
          <w:tcPr>
            <w:tcW w:w="3691" w:type="dxa"/>
            <w:tcBorders>
              <w:top w:val="single" w:sz="4" w:space="0" w:color="548DD4" w:themeColor="text2" w:themeTint="99"/>
              <w:bottom w:val="single" w:sz="4" w:space="0" w:color="548DD4" w:themeColor="text2" w:themeTint="99"/>
            </w:tcBorders>
            <w:vAlign w:val="center"/>
          </w:tcPr>
          <w:p w14:paraId="177A588F" w14:textId="77777777" w:rsidR="00B36E02" w:rsidRPr="00A239B6" w:rsidRDefault="00B36E02" w:rsidP="00B36E02">
            <w:pPr>
              <w:rPr>
                <w:rFonts w:ascii="Calibri" w:hAnsi="Calibri" w:cs="Calibri"/>
                <w:b/>
                <w:color w:val="808080" w:themeColor="background1" w:themeShade="80"/>
              </w:rPr>
            </w:pPr>
            <w:r w:rsidRPr="00A239B6">
              <w:rPr>
                <w:rFonts w:ascii="Calibri" w:hAnsi="Calibri" w:cs="Calibri"/>
                <w:color w:val="808080" w:themeColor="background1" w:themeShade="80"/>
              </w:rPr>
              <w:t>Continued proactive and reactive work on Avian flu and other topics</w:t>
            </w:r>
          </w:p>
        </w:tc>
      </w:tr>
      <w:tr w:rsidR="00B36E02" w:rsidRPr="003A4D73" w14:paraId="1DA00AAA" w14:textId="77777777" w:rsidTr="00DF74F3">
        <w:trPr>
          <w:trHeight w:hRule="exact" w:val="1134"/>
          <w:jc w:val="center"/>
        </w:trPr>
        <w:tc>
          <w:tcPr>
            <w:tcW w:w="959" w:type="dxa"/>
            <w:tcBorders>
              <w:top w:val="single" w:sz="4" w:space="0" w:color="548DD4" w:themeColor="text2" w:themeTint="99"/>
              <w:bottom w:val="single" w:sz="4" w:space="0" w:color="548DD4" w:themeColor="text2" w:themeTint="99"/>
            </w:tcBorders>
            <w:vAlign w:val="center"/>
          </w:tcPr>
          <w:p w14:paraId="742ABCD7" w14:textId="77777777" w:rsidR="00B36E02" w:rsidRPr="00520416" w:rsidRDefault="00B36E02" w:rsidP="00B36E02">
            <w:pPr>
              <w:jc w:val="center"/>
              <w:rPr>
                <w:rFonts w:ascii="Calibri" w:hAnsi="Calibri" w:cs="Calibri"/>
                <w:b/>
                <w:color w:val="808080" w:themeColor="background1" w:themeShade="80"/>
              </w:rPr>
            </w:pPr>
            <w:r w:rsidRPr="00851105">
              <w:rPr>
                <w:rFonts w:ascii="Calibri" w:hAnsi="Calibri" w:cs="Calibri"/>
                <w:b/>
                <w:color w:val="00B050"/>
              </w:rPr>
              <w:lastRenderedPageBreak/>
              <w:t>GREEN</w:t>
            </w:r>
          </w:p>
        </w:tc>
        <w:tc>
          <w:tcPr>
            <w:tcW w:w="2298" w:type="dxa"/>
            <w:tcBorders>
              <w:top w:val="single" w:sz="4" w:space="0" w:color="548DD4" w:themeColor="text2" w:themeTint="99"/>
              <w:bottom w:val="single" w:sz="4" w:space="0" w:color="548DD4" w:themeColor="text2" w:themeTint="99"/>
            </w:tcBorders>
            <w:vAlign w:val="center"/>
          </w:tcPr>
          <w:p w14:paraId="269B7FE4" w14:textId="77777777" w:rsidR="00B36E02" w:rsidRPr="00675DB4" w:rsidRDefault="00F94343" w:rsidP="00B36E02">
            <w:pPr>
              <w:rPr>
                <w:rFonts w:ascii="Calibri" w:hAnsi="Calibri" w:cs="Calibri"/>
                <w:b/>
                <w:iCs/>
                <w:color w:val="808080" w:themeColor="background1" w:themeShade="80"/>
                <w:sz w:val="21"/>
                <w:szCs w:val="21"/>
              </w:rPr>
            </w:pPr>
            <w:hyperlink r:id="rId36" w:history="1">
              <w:r w:rsidR="00B36E02" w:rsidRPr="00A0017B">
                <w:rPr>
                  <w:rStyle w:val="Hyperlink"/>
                  <w:rFonts w:ascii="Calibri" w:hAnsi="Calibri" w:cs="Calibri"/>
                  <w:b/>
                  <w:iCs/>
                  <w:color w:val="808080" w:themeColor="background1" w:themeShade="80"/>
                  <w:sz w:val="21"/>
                  <w:szCs w:val="21"/>
                </w:rPr>
                <w:t>Impact of public facing campaigns</w:t>
              </w:r>
            </w:hyperlink>
          </w:p>
        </w:tc>
        <w:tc>
          <w:tcPr>
            <w:tcW w:w="3118" w:type="dxa"/>
            <w:tcBorders>
              <w:top w:val="single" w:sz="4" w:space="0" w:color="548DD4" w:themeColor="text2" w:themeTint="99"/>
              <w:bottom w:val="single" w:sz="4" w:space="0" w:color="548DD4" w:themeColor="text2" w:themeTint="99"/>
            </w:tcBorders>
            <w:vAlign w:val="center"/>
          </w:tcPr>
          <w:p w14:paraId="36860401" w14:textId="31146AC8" w:rsidR="00B36E02" w:rsidRPr="003A4D73" w:rsidRDefault="00B36E02" w:rsidP="00B36E02">
            <w:pPr>
              <w:jc w:val="center"/>
              <w:rPr>
                <w:rFonts w:ascii="Calibri" w:hAnsi="Calibri" w:cs="Calibri"/>
              </w:rPr>
            </w:pPr>
            <w:r>
              <w:rPr>
                <w:rFonts w:ascii="Calibri" w:hAnsi="Calibri" w:cs="Calibri"/>
                <w:noProof/>
                <w:lang w:eastAsia="en-GB"/>
              </w:rPr>
              <w:drawing>
                <wp:inline distT="0" distB="0" distL="0" distR="0" wp14:anchorId="5A90A89C" wp14:editId="14586F36">
                  <wp:extent cx="1635125" cy="583659"/>
                  <wp:effectExtent l="0" t="0" r="3175" b="6985"/>
                  <wp:docPr id="4" name="Picture 4" title="Impact of public facing campa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51432" cy="589480"/>
                          </a:xfrm>
                          <a:prstGeom prst="rect">
                            <a:avLst/>
                          </a:prstGeom>
                          <a:noFill/>
                        </pic:spPr>
                      </pic:pic>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4E545A5A" w14:textId="77777777" w:rsidR="00B36E02" w:rsidRPr="003D306D" w:rsidRDefault="00B36E02" w:rsidP="00B36E02">
            <w:pPr>
              <w:jc w:val="center"/>
              <w:rPr>
                <w:rFonts w:ascii="Calibri" w:hAnsi="Calibri" w:cs="Calibri"/>
                <w:color w:val="808080" w:themeColor="background1" w:themeShade="80"/>
                <w:sz w:val="19"/>
                <w:szCs w:val="19"/>
              </w:rPr>
            </w:pPr>
          </w:p>
        </w:tc>
        <w:tc>
          <w:tcPr>
            <w:tcW w:w="3690" w:type="dxa"/>
            <w:tcBorders>
              <w:top w:val="single" w:sz="4" w:space="0" w:color="548DD4" w:themeColor="text2" w:themeTint="99"/>
              <w:bottom w:val="single" w:sz="4" w:space="0" w:color="548DD4" w:themeColor="text2" w:themeTint="99"/>
            </w:tcBorders>
            <w:vAlign w:val="center"/>
          </w:tcPr>
          <w:p w14:paraId="151B0D2F" w14:textId="503AB329" w:rsidR="00B36E02" w:rsidRPr="006107CC" w:rsidRDefault="00B36E02" w:rsidP="00B36E02">
            <w:pPr>
              <w:jc w:val="both"/>
              <w:rPr>
                <w:rFonts w:ascii="Calibri" w:hAnsi="Calibri" w:cs="Calibri"/>
                <w:color w:val="808080" w:themeColor="background1" w:themeShade="80"/>
              </w:rPr>
            </w:pPr>
            <w:r w:rsidRPr="00DF74F3">
              <w:rPr>
                <w:rFonts w:ascii="Calibri" w:hAnsi="Calibri" w:cs="Calibri"/>
                <w:color w:val="808080" w:themeColor="background1" w:themeShade="80"/>
              </w:rPr>
              <w:t>Summer campaign covered Q1&amp;2</w:t>
            </w:r>
            <w:r>
              <w:rPr>
                <w:rFonts w:ascii="Calibri" w:hAnsi="Calibri" w:cs="Calibri"/>
                <w:color w:val="808080" w:themeColor="background1" w:themeShade="80"/>
              </w:rPr>
              <w:t>. Very strong dwell time on campaign web pages and social media Click Through Rate</w:t>
            </w:r>
          </w:p>
        </w:tc>
        <w:tc>
          <w:tcPr>
            <w:tcW w:w="3691" w:type="dxa"/>
            <w:tcBorders>
              <w:top w:val="single" w:sz="4" w:space="0" w:color="548DD4" w:themeColor="text2" w:themeTint="99"/>
              <w:bottom w:val="single" w:sz="4" w:space="0" w:color="548DD4" w:themeColor="text2" w:themeTint="99"/>
            </w:tcBorders>
            <w:vAlign w:val="center"/>
          </w:tcPr>
          <w:p w14:paraId="49D5796C" w14:textId="6F1746F7" w:rsidR="00B36E02" w:rsidRPr="006107CC" w:rsidRDefault="00B36E02" w:rsidP="00B36E02">
            <w:pPr>
              <w:rPr>
                <w:rFonts w:ascii="Calibri" w:hAnsi="Calibri" w:cs="Calibri"/>
                <w:color w:val="808080" w:themeColor="background1" w:themeShade="80"/>
              </w:rPr>
            </w:pPr>
            <w:r w:rsidRPr="00DF74F3">
              <w:rPr>
                <w:rFonts w:ascii="Calibri" w:hAnsi="Calibri" w:cs="Calibri"/>
                <w:color w:val="808080" w:themeColor="background1" w:themeShade="80"/>
              </w:rPr>
              <w:t>Social media and radio boosts to C</w:t>
            </w:r>
            <w:r>
              <w:rPr>
                <w:rFonts w:ascii="Calibri" w:hAnsi="Calibri" w:cs="Calibri"/>
                <w:color w:val="808080" w:themeColor="background1" w:themeShade="80"/>
              </w:rPr>
              <w:t xml:space="preserve">lick </w:t>
            </w:r>
            <w:r w:rsidRPr="00DF74F3">
              <w:rPr>
                <w:rFonts w:ascii="Calibri" w:hAnsi="Calibri" w:cs="Calibri"/>
                <w:color w:val="808080" w:themeColor="background1" w:themeShade="80"/>
              </w:rPr>
              <w:t>T</w:t>
            </w:r>
            <w:r>
              <w:rPr>
                <w:rFonts w:ascii="Calibri" w:hAnsi="Calibri" w:cs="Calibri"/>
                <w:color w:val="808080" w:themeColor="background1" w:themeShade="80"/>
              </w:rPr>
              <w:t xml:space="preserve">hrough </w:t>
            </w:r>
            <w:r w:rsidRPr="00DF74F3">
              <w:rPr>
                <w:rFonts w:ascii="Calibri" w:hAnsi="Calibri" w:cs="Calibri"/>
                <w:color w:val="808080" w:themeColor="background1" w:themeShade="80"/>
              </w:rPr>
              <w:t>R</w:t>
            </w:r>
            <w:r>
              <w:rPr>
                <w:rFonts w:ascii="Calibri" w:hAnsi="Calibri" w:cs="Calibri"/>
                <w:color w:val="808080" w:themeColor="background1" w:themeShade="80"/>
              </w:rPr>
              <w:t>ate</w:t>
            </w:r>
            <w:r w:rsidRPr="00DF74F3">
              <w:rPr>
                <w:rFonts w:ascii="Calibri" w:hAnsi="Calibri" w:cs="Calibri"/>
                <w:color w:val="808080" w:themeColor="background1" w:themeShade="80"/>
              </w:rPr>
              <w:t xml:space="preserve"> and web traffic with continued targeted campaigns</w:t>
            </w:r>
          </w:p>
        </w:tc>
      </w:tr>
    </w:tbl>
    <w:p w14:paraId="1FC5DADA" w14:textId="77777777" w:rsidR="00675DB4" w:rsidRPr="006001B3" w:rsidRDefault="00675DB4" w:rsidP="006001B3"/>
    <w:p w14:paraId="04698E6D" w14:textId="77777777" w:rsidR="006001B3" w:rsidRDefault="006001B3" w:rsidP="006001B3">
      <w:pPr>
        <w:rPr>
          <w:rFonts w:ascii="Calibri" w:hAnsi="Calibri" w:cs="Calibri"/>
          <w:sz w:val="24"/>
          <w:szCs w:val="24"/>
        </w:rPr>
      </w:pPr>
    </w:p>
    <w:p w14:paraId="6089AC09" w14:textId="77777777" w:rsidR="00B72D3E" w:rsidRPr="00B72D3E" w:rsidRDefault="00B72D3E" w:rsidP="00AB0F0E">
      <w:pPr>
        <w:pStyle w:val="Heading2"/>
        <w:rPr>
          <w:rFonts w:ascii="Calibri" w:hAnsi="Calibri" w:cs="Calibri"/>
          <w:color w:val="007DC3"/>
        </w:rPr>
      </w:pPr>
      <w:r w:rsidRPr="00B72D3E">
        <w:rPr>
          <w:rFonts w:ascii="Calibri" w:hAnsi="Calibri" w:cs="Calibri"/>
          <w:color w:val="007DC3"/>
        </w:rPr>
        <w:t>PERFORMANCE</w:t>
      </w:r>
      <w:r w:rsidR="00AB0F0E">
        <w:rPr>
          <w:rFonts w:ascii="Calibri" w:hAnsi="Calibri" w:cs="Calibri"/>
          <w:color w:val="007DC3"/>
        </w:rPr>
        <w:t xml:space="preserve"> REPORT</w:t>
      </w:r>
    </w:p>
    <w:p w14:paraId="1C99B734" w14:textId="77777777" w:rsidR="00B72D3E" w:rsidRPr="006E0DDA" w:rsidRDefault="00B72D3E" w:rsidP="00B72D3E">
      <w:pPr>
        <w:pStyle w:val="Heading2"/>
        <w:shd w:val="clear" w:color="auto" w:fill="007DC3"/>
        <w:spacing w:after="0"/>
        <w:jc w:val="center"/>
        <w:rPr>
          <w:rFonts w:ascii="Calibri" w:hAnsi="Calibri" w:cs="Calibri"/>
          <w:sz w:val="24"/>
        </w:rPr>
      </w:pPr>
      <w:r>
        <w:rPr>
          <w:rFonts w:ascii="Calibri" w:hAnsi="Calibri" w:cs="Calibri"/>
          <w:sz w:val="24"/>
        </w:rPr>
        <w:t>WE HAVE PROTECTED NATURE</w:t>
      </w:r>
    </w:p>
    <w:tbl>
      <w:tblPr>
        <w:tblStyle w:val="PlainTabl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PROTECTED NATURE Q1 UPDATE"/>
      </w:tblPr>
      <w:tblGrid>
        <w:gridCol w:w="3969"/>
        <w:gridCol w:w="1276"/>
        <w:gridCol w:w="1134"/>
        <w:gridCol w:w="8183"/>
      </w:tblGrid>
      <w:tr w:rsidR="00AB0F0E" w:rsidRPr="00AB0F0E" w14:paraId="6067DBE5" w14:textId="77777777" w:rsidTr="0099541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501608E0" w14:textId="77777777" w:rsidR="00AB0F0E" w:rsidRPr="00AB0F0E" w:rsidRDefault="00AB0F0E" w:rsidP="00644AA9">
            <w:pPr>
              <w:jc w:val="center"/>
              <w:rPr>
                <w:rFonts w:ascii="Calibri" w:hAnsi="Calibri" w:cs="Calibri"/>
                <w:sz w:val="24"/>
                <w:szCs w:val="26"/>
              </w:rPr>
            </w:pPr>
            <w:r w:rsidRPr="00AB0F0E">
              <w:rPr>
                <w:rFonts w:ascii="Calibri" w:hAnsi="Calibri" w:cs="Calibri"/>
                <w:sz w:val="24"/>
                <w:szCs w:val="26"/>
              </w:rPr>
              <w:t>CORPORATE PLAN OBJECTIVE</w:t>
            </w:r>
          </w:p>
        </w:tc>
        <w:tc>
          <w:tcPr>
            <w:tcW w:w="1276" w:type="dxa"/>
            <w:vAlign w:val="center"/>
          </w:tcPr>
          <w:p w14:paraId="785F620C" w14:textId="77777777" w:rsidR="00AB0F0E" w:rsidRPr="00AB0F0E" w:rsidRDefault="00AB0F0E" w:rsidP="00644A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sidRPr="00AB0F0E">
              <w:rPr>
                <w:rFonts w:ascii="Calibri" w:hAnsi="Calibri" w:cs="Calibri"/>
                <w:sz w:val="24"/>
                <w:szCs w:val="26"/>
              </w:rPr>
              <w:t>SLT LEAD</w:t>
            </w:r>
          </w:p>
        </w:tc>
        <w:tc>
          <w:tcPr>
            <w:tcW w:w="1134" w:type="dxa"/>
            <w:vAlign w:val="center"/>
          </w:tcPr>
          <w:p w14:paraId="7E415D0B" w14:textId="77777777" w:rsidR="00AB0F0E" w:rsidRPr="00AB0F0E" w:rsidRDefault="00AB0F0E" w:rsidP="00644A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sidRPr="00AB0F0E">
              <w:rPr>
                <w:rFonts w:ascii="Calibri" w:hAnsi="Calibri" w:cs="Calibri"/>
                <w:sz w:val="24"/>
                <w:szCs w:val="26"/>
              </w:rPr>
              <w:t>RAG SCORE</w:t>
            </w:r>
          </w:p>
        </w:tc>
        <w:tc>
          <w:tcPr>
            <w:tcW w:w="8183" w:type="dxa"/>
            <w:vAlign w:val="center"/>
          </w:tcPr>
          <w:p w14:paraId="2C9B6469" w14:textId="77777777" w:rsidR="00AB0F0E" w:rsidRPr="00AB0F0E" w:rsidRDefault="00FE4730" w:rsidP="00644A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Pr>
                <w:rFonts w:ascii="Calibri" w:hAnsi="Calibri" w:cs="Calibri"/>
                <w:sz w:val="24"/>
                <w:szCs w:val="26"/>
              </w:rPr>
              <w:t>Q2</w:t>
            </w:r>
            <w:r w:rsidR="00AB0F0E" w:rsidRPr="00AB0F0E">
              <w:rPr>
                <w:rFonts w:ascii="Calibri" w:hAnsi="Calibri" w:cs="Calibri"/>
                <w:sz w:val="24"/>
                <w:szCs w:val="26"/>
              </w:rPr>
              <w:t xml:space="preserve"> UPDATE</w:t>
            </w:r>
          </w:p>
        </w:tc>
      </w:tr>
      <w:tr w:rsidR="00AB0F0E" w:rsidRPr="00AB0F0E" w14:paraId="479380E4" w14:textId="77777777" w:rsidTr="0099541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0B6BD289" w14:textId="77777777" w:rsidR="00AB0F0E" w:rsidRPr="00DC4223" w:rsidRDefault="00AB0F0E" w:rsidP="00644AA9">
            <w:pPr>
              <w:rPr>
                <w:rFonts w:ascii="Calibri" w:hAnsi="Calibri" w:cs="Calibri"/>
                <w:b w:val="0"/>
                <w:color w:val="000000"/>
                <w:sz w:val="24"/>
              </w:rPr>
            </w:pPr>
            <w:r w:rsidRPr="00DC4223">
              <w:rPr>
                <w:rFonts w:ascii="Calibri" w:hAnsi="Calibri" w:cs="Calibri"/>
                <w:b w:val="0"/>
                <w:color w:val="000000"/>
                <w:sz w:val="24"/>
              </w:rPr>
              <w:t>Lead the delivery of 30% of land and sea being protected by 2030</w:t>
            </w:r>
          </w:p>
        </w:tc>
        <w:tc>
          <w:tcPr>
            <w:tcW w:w="1276" w:type="dxa"/>
            <w:vAlign w:val="center"/>
          </w:tcPr>
          <w:p w14:paraId="42788C4A" w14:textId="77777777" w:rsidR="00AB0F0E" w:rsidRPr="00AB0F0E" w:rsidRDefault="00AB0F0E" w:rsidP="00644AA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rPr>
            </w:pPr>
            <w:r w:rsidRPr="00AB0F0E">
              <w:rPr>
                <w:rFonts w:ascii="Calibri" w:hAnsi="Calibri" w:cs="Calibri"/>
                <w:color w:val="000000"/>
                <w:sz w:val="24"/>
              </w:rPr>
              <w:t>Nick Halfhide</w:t>
            </w:r>
          </w:p>
        </w:tc>
        <w:tc>
          <w:tcPr>
            <w:tcW w:w="1134" w:type="dxa"/>
            <w:shd w:val="clear" w:color="auto" w:fill="9BBB59" w:themeFill="accent3"/>
            <w:vAlign w:val="center"/>
          </w:tcPr>
          <w:p w14:paraId="25AAC767" w14:textId="77777777" w:rsidR="00AB0F0E" w:rsidRPr="00F823B9" w:rsidRDefault="00F823B9" w:rsidP="00F823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rPr>
            </w:pPr>
            <w:r w:rsidRPr="00F823B9">
              <w:rPr>
                <w:rFonts w:ascii="Calibri" w:hAnsi="Calibri" w:cs="Calibri"/>
                <w:b/>
                <w:sz w:val="24"/>
              </w:rPr>
              <w:t>GREEN</w:t>
            </w:r>
          </w:p>
        </w:tc>
        <w:tc>
          <w:tcPr>
            <w:tcW w:w="8183" w:type="dxa"/>
            <w:vAlign w:val="center"/>
          </w:tcPr>
          <w:p w14:paraId="23B09010" w14:textId="5C715ED4" w:rsidR="00AB0F0E" w:rsidRPr="00A86FD0" w:rsidRDefault="00FE4730" w:rsidP="00FE473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A86FD0">
              <w:rPr>
                <w:rFonts w:ascii="Calibri" w:hAnsi="Calibri" w:cs="Calibri"/>
                <w:color w:val="000000"/>
                <w:sz w:val="24"/>
                <w:szCs w:val="24"/>
              </w:rPr>
              <w:t>Initial discussions on draft Highly Protected Marine Areas (HMPA) selection guidelines with key stakeholders completed, and Deputy Director has signed-off final version for public consultation. Recruitment of 1 HPMA adviser remains outstanding and is impacting our ability to start preparatory work for site selection.  30x30/N</w:t>
            </w:r>
            <w:r w:rsidR="00A86FD0">
              <w:rPr>
                <w:rFonts w:ascii="Calibri" w:hAnsi="Calibri" w:cs="Calibri"/>
                <w:color w:val="000000"/>
                <w:sz w:val="24"/>
                <w:szCs w:val="24"/>
              </w:rPr>
              <w:t xml:space="preserve">ature </w:t>
            </w:r>
            <w:r w:rsidRPr="00A86FD0">
              <w:rPr>
                <w:rFonts w:ascii="Calibri" w:hAnsi="Calibri" w:cs="Calibri"/>
                <w:color w:val="000000"/>
                <w:sz w:val="24"/>
                <w:szCs w:val="24"/>
              </w:rPr>
              <w:t>N</w:t>
            </w:r>
            <w:r w:rsidR="00A86FD0">
              <w:rPr>
                <w:rFonts w:ascii="Calibri" w:hAnsi="Calibri" w:cs="Calibri"/>
                <w:color w:val="000000"/>
                <w:sz w:val="24"/>
                <w:szCs w:val="24"/>
              </w:rPr>
              <w:t>etworks</w:t>
            </w:r>
            <w:r w:rsidRPr="00A86FD0">
              <w:rPr>
                <w:rFonts w:ascii="Calibri" w:hAnsi="Calibri" w:cs="Calibri"/>
                <w:color w:val="000000"/>
                <w:sz w:val="24"/>
                <w:szCs w:val="24"/>
              </w:rPr>
              <w:t xml:space="preserve"> Discovery workshops were also held during Q2.</w:t>
            </w:r>
          </w:p>
        </w:tc>
      </w:tr>
      <w:tr w:rsidR="00AB0F0E" w:rsidRPr="00AB0F0E" w14:paraId="54005630" w14:textId="77777777" w:rsidTr="0099541D">
        <w:trPr>
          <w:cantSplit/>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00C484D2" w14:textId="77777777" w:rsidR="00AB0F0E" w:rsidRPr="00DC4223" w:rsidRDefault="00AB0F0E" w:rsidP="00644AA9">
            <w:pPr>
              <w:rPr>
                <w:rFonts w:ascii="Calibri" w:hAnsi="Calibri" w:cs="Calibri"/>
                <w:b w:val="0"/>
                <w:color w:val="000000"/>
                <w:sz w:val="24"/>
              </w:rPr>
            </w:pPr>
            <w:r w:rsidRPr="00DC4223">
              <w:rPr>
                <w:rFonts w:ascii="Calibri" w:hAnsi="Calibri" w:cs="Calibri"/>
                <w:b w:val="0"/>
                <w:color w:val="000000"/>
                <w:sz w:val="24"/>
              </w:rPr>
              <w:t>Build stronger collaboration reducing the impacts of deer and modernise our wildlife management and underpinning licencing functions to enable a net zero and nature positive future</w:t>
            </w:r>
          </w:p>
        </w:tc>
        <w:tc>
          <w:tcPr>
            <w:tcW w:w="1276" w:type="dxa"/>
            <w:vAlign w:val="center"/>
          </w:tcPr>
          <w:p w14:paraId="0E28258A" w14:textId="77777777" w:rsidR="00AB0F0E" w:rsidRPr="00AB0F0E" w:rsidRDefault="00AB0F0E" w:rsidP="00644AA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AB0F0E">
              <w:rPr>
                <w:rFonts w:ascii="Calibri" w:hAnsi="Calibri" w:cs="Calibri"/>
                <w:color w:val="000000"/>
                <w:sz w:val="24"/>
              </w:rPr>
              <w:t>Robbie Kernahan</w:t>
            </w:r>
          </w:p>
        </w:tc>
        <w:tc>
          <w:tcPr>
            <w:tcW w:w="1134" w:type="dxa"/>
            <w:shd w:val="clear" w:color="auto" w:fill="9BBB59" w:themeFill="accent3"/>
            <w:vAlign w:val="center"/>
          </w:tcPr>
          <w:p w14:paraId="3534C9EB" w14:textId="77777777" w:rsidR="00AB0F0E" w:rsidRPr="00F823B9" w:rsidRDefault="00F823B9" w:rsidP="00F823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4"/>
              </w:rPr>
            </w:pPr>
            <w:r w:rsidRPr="00F823B9">
              <w:rPr>
                <w:rFonts w:ascii="Calibri" w:hAnsi="Calibri" w:cs="Calibri"/>
                <w:b/>
                <w:sz w:val="24"/>
              </w:rPr>
              <w:t>GREEN</w:t>
            </w:r>
          </w:p>
        </w:tc>
        <w:tc>
          <w:tcPr>
            <w:tcW w:w="8183" w:type="dxa"/>
            <w:vAlign w:val="center"/>
          </w:tcPr>
          <w:p w14:paraId="453316D9" w14:textId="459E9CBB" w:rsidR="00AB0F0E" w:rsidRPr="00A86FD0" w:rsidRDefault="00FE4730" w:rsidP="001975D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A86FD0">
              <w:rPr>
                <w:rFonts w:ascii="Calibri" w:hAnsi="Calibri" w:cs="Calibri"/>
                <w:color w:val="000000"/>
                <w:sz w:val="24"/>
                <w:szCs w:val="24"/>
              </w:rPr>
              <w:t>Deer Comm</w:t>
            </w:r>
            <w:r w:rsidR="00A86FD0">
              <w:rPr>
                <w:rFonts w:ascii="Calibri" w:hAnsi="Calibri" w:cs="Calibri"/>
                <w:color w:val="000000"/>
                <w:sz w:val="24"/>
                <w:szCs w:val="24"/>
              </w:rPr>
              <w:t>unication</w:t>
            </w:r>
            <w:r w:rsidRPr="00A86FD0">
              <w:rPr>
                <w:rFonts w:ascii="Calibri" w:hAnsi="Calibri" w:cs="Calibri"/>
                <w:color w:val="000000"/>
                <w:sz w:val="24"/>
                <w:szCs w:val="24"/>
              </w:rPr>
              <w:t xml:space="preserve">s plan developed with Minister and NatureScot </w:t>
            </w:r>
            <w:r w:rsidR="00A86FD0">
              <w:rPr>
                <w:rFonts w:ascii="Calibri" w:hAnsi="Calibri" w:cs="Calibri"/>
                <w:color w:val="000000"/>
                <w:sz w:val="24"/>
                <w:szCs w:val="24"/>
              </w:rPr>
              <w:t xml:space="preserve">for </w:t>
            </w:r>
            <w:r w:rsidRPr="00A86FD0">
              <w:rPr>
                <w:rFonts w:ascii="Calibri" w:hAnsi="Calibri" w:cs="Calibri"/>
                <w:color w:val="000000"/>
                <w:sz w:val="24"/>
                <w:szCs w:val="24"/>
              </w:rPr>
              <w:t>media coverage. Deer Policy Manager recruited and the operations delivery managers posts being progressed. Grouse Moor Bill consultation expected to be published by SG very shortly. Beaver Strategy pr</w:t>
            </w:r>
            <w:r w:rsidR="00A86FD0">
              <w:rPr>
                <w:rFonts w:ascii="Calibri" w:hAnsi="Calibri" w:cs="Calibri"/>
                <w:color w:val="000000"/>
                <w:sz w:val="24"/>
                <w:szCs w:val="24"/>
              </w:rPr>
              <w:t>oduced, agreed with SG and</w:t>
            </w:r>
            <w:r w:rsidRPr="00A86FD0">
              <w:rPr>
                <w:rFonts w:ascii="Calibri" w:hAnsi="Calibri" w:cs="Calibri"/>
                <w:color w:val="000000"/>
                <w:sz w:val="24"/>
                <w:szCs w:val="24"/>
              </w:rPr>
              <w:t xml:space="preserve"> published </w:t>
            </w:r>
            <w:r w:rsidR="00A86FD0">
              <w:rPr>
                <w:rFonts w:ascii="Calibri" w:hAnsi="Calibri" w:cs="Calibri"/>
                <w:color w:val="000000"/>
                <w:sz w:val="24"/>
                <w:szCs w:val="24"/>
              </w:rPr>
              <w:t xml:space="preserve">on </w:t>
            </w:r>
            <w:r w:rsidRPr="00A86FD0">
              <w:rPr>
                <w:rFonts w:ascii="Calibri" w:hAnsi="Calibri" w:cs="Calibri"/>
                <w:color w:val="000000"/>
                <w:sz w:val="24"/>
                <w:szCs w:val="24"/>
              </w:rPr>
              <w:t>21st September - additional guidance on Translocation</w:t>
            </w:r>
            <w:r w:rsidR="00A86FD0">
              <w:rPr>
                <w:rFonts w:ascii="Calibri" w:hAnsi="Calibri" w:cs="Calibri"/>
                <w:color w:val="000000"/>
                <w:sz w:val="24"/>
                <w:szCs w:val="24"/>
              </w:rPr>
              <w:t xml:space="preserve"> also</w:t>
            </w:r>
            <w:r w:rsidRPr="00A86FD0">
              <w:rPr>
                <w:rFonts w:ascii="Calibri" w:hAnsi="Calibri" w:cs="Calibri"/>
                <w:color w:val="000000"/>
                <w:sz w:val="24"/>
                <w:szCs w:val="24"/>
              </w:rPr>
              <w:t xml:space="preserve"> published. Awaiting word from SG on Licensing review Terms Of Reference and next steps.</w:t>
            </w:r>
          </w:p>
        </w:tc>
      </w:tr>
      <w:tr w:rsidR="00AB0F0E" w:rsidRPr="00AB0F0E" w14:paraId="1B6AE085" w14:textId="77777777" w:rsidTr="0099541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2BF75F62" w14:textId="77777777" w:rsidR="00AB0F0E" w:rsidRPr="00DC4223" w:rsidRDefault="00AB0F0E" w:rsidP="00644AA9">
            <w:pPr>
              <w:rPr>
                <w:rFonts w:ascii="Calibri" w:hAnsi="Calibri" w:cs="Calibri"/>
                <w:b w:val="0"/>
                <w:color w:val="000000"/>
                <w:sz w:val="24"/>
              </w:rPr>
            </w:pPr>
            <w:r w:rsidRPr="00DC4223">
              <w:rPr>
                <w:rFonts w:ascii="Calibri" w:hAnsi="Calibri" w:cs="Calibri"/>
                <w:b w:val="0"/>
                <w:color w:val="000000"/>
                <w:sz w:val="24"/>
              </w:rPr>
              <w:t>Engage and influence planning and other regulatory systems to ensure they deliver for nature and climate</w:t>
            </w:r>
          </w:p>
        </w:tc>
        <w:tc>
          <w:tcPr>
            <w:tcW w:w="1276" w:type="dxa"/>
            <w:vAlign w:val="center"/>
          </w:tcPr>
          <w:p w14:paraId="4C12F450" w14:textId="77777777" w:rsidR="00AB0F0E" w:rsidRPr="00AB0F0E" w:rsidRDefault="00AB0F0E" w:rsidP="00644AA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rPr>
            </w:pPr>
            <w:r w:rsidRPr="00AB0F0E">
              <w:rPr>
                <w:rFonts w:ascii="Calibri" w:hAnsi="Calibri" w:cs="Calibri"/>
                <w:color w:val="000000"/>
                <w:sz w:val="24"/>
              </w:rPr>
              <w:t>Robbie Kernahan</w:t>
            </w:r>
          </w:p>
        </w:tc>
        <w:tc>
          <w:tcPr>
            <w:tcW w:w="1134" w:type="dxa"/>
            <w:shd w:val="clear" w:color="auto" w:fill="9BBB59" w:themeFill="accent3"/>
            <w:vAlign w:val="center"/>
          </w:tcPr>
          <w:p w14:paraId="0E33865E" w14:textId="77777777" w:rsidR="00AB0F0E" w:rsidRPr="00AB0F0E" w:rsidRDefault="00F823B9" w:rsidP="00F823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r w:rsidRPr="00F823B9">
              <w:rPr>
                <w:rFonts w:ascii="Calibri" w:hAnsi="Calibri" w:cs="Calibri"/>
                <w:b/>
                <w:sz w:val="24"/>
              </w:rPr>
              <w:t>GREEN</w:t>
            </w:r>
          </w:p>
        </w:tc>
        <w:tc>
          <w:tcPr>
            <w:tcW w:w="8183" w:type="dxa"/>
            <w:vAlign w:val="center"/>
          </w:tcPr>
          <w:p w14:paraId="69B68DCD" w14:textId="578920A6" w:rsidR="00AB0F0E" w:rsidRPr="00AB0F0E" w:rsidRDefault="00FE4730" w:rsidP="00A86FD0">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r w:rsidRPr="00FE4730">
              <w:rPr>
                <w:rFonts w:ascii="Calibri" w:hAnsi="Calibri" w:cs="Calibri"/>
                <w:sz w:val="24"/>
              </w:rPr>
              <w:t>Glen Dye Inquiry successfully completed and awaiting Reporters report - our team happy with the case made at inquiry.   Planning for Nature Guidance consultation complete and work on finalisation ongoing alongside timetable for N</w:t>
            </w:r>
            <w:r>
              <w:rPr>
                <w:rFonts w:ascii="Calibri" w:hAnsi="Calibri" w:cs="Calibri"/>
                <w:sz w:val="24"/>
              </w:rPr>
              <w:t xml:space="preserve">ational </w:t>
            </w:r>
            <w:r w:rsidRPr="00FE4730">
              <w:rPr>
                <w:rFonts w:ascii="Calibri" w:hAnsi="Calibri" w:cs="Calibri"/>
                <w:sz w:val="24"/>
              </w:rPr>
              <w:t>P</w:t>
            </w:r>
            <w:r>
              <w:rPr>
                <w:rFonts w:ascii="Calibri" w:hAnsi="Calibri" w:cs="Calibri"/>
                <w:sz w:val="24"/>
              </w:rPr>
              <w:t xml:space="preserve">lanning </w:t>
            </w:r>
            <w:r w:rsidRPr="00FE4730">
              <w:rPr>
                <w:rFonts w:ascii="Calibri" w:hAnsi="Calibri" w:cs="Calibri"/>
                <w:sz w:val="24"/>
              </w:rPr>
              <w:t>F</w:t>
            </w:r>
            <w:r>
              <w:rPr>
                <w:rFonts w:ascii="Calibri" w:hAnsi="Calibri" w:cs="Calibri"/>
                <w:sz w:val="24"/>
              </w:rPr>
              <w:t xml:space="preserve">ramework </w:t>
            </w:r>
            <w:r w:rsidRPr="00FE4730">
              <w:rPr>
                <w:rFonts w:ascii="Calibri" w:hAnsi="Calibri" w:cs="Calibri"/>
                <w:sz w:val="24"/>
              </w:rPr>
              <w:t>4</w:t>
            </w:r>
            <w:r>
              <w:rPr>
                <w:rFonts w:ascii="Calibri" w:hAnsi="Calibri" w:cs="Calibri"/>
                <w:sz w:val="24"/>
              </w:rPr>
              <w:t xml:space="preserve"> (NPF4).  Paper on charging for Na</w:t>
            </w:r>
            <w:r w:rsidRPr="00FE4730">
              <w:rPr>
                <w:rFonts w:ascii="Calibri" w:hAnsi="Calibri" w:cs="Calibri"/>
                <w:sz w:val="24"/>
              </w:rPr>
              <w:t>tureScot services completed and with Minister/</w:t>
            </w:r>
            <w:r>
              <w:rPr>
                <w:rFonts w:ascii="Calibri" w:hAnsi="Calibri" w:cs="Calibri"/>
                <w:sz w:val="24"/>
              </w:rPr>
              <w:t>Special Adviser</w:t>
            </w:r>
            <w:r w:rsidRPr="00FE4730">
              <w:rPr>
                <w:rFonts w:ascii="Calibri" w:hAnsi="Calibri" w:cs="Calibri"/>
                <w:sz w:val="24"/>
              </w:rPr>
              <w:t xml:space="preserve"> comments back are minor, licencing charge option to be taken forward </w:t>
            </w:r>
            <w:r w:rsidR="00A86FD0">
              <w:rPr>
                <w:rFonts w:ascii="Calibri" w:hAnsi="Calibri" w:cs="Calibri"/>
                <w:sz w:val="24"/>
              </w:rPr>
              <w:t>as part of the</w:t>
            </w:r>
            <w:r w:rsidRPr="00FE4730">
              <w:rPr>
                <w:rFonts w:ascii="Calibri" w:hAnsi="Calibri" w:cs="Calibri"/>
                <w:sz w:val="24"/>
              </w:rPr>
              <w:t xml:space="preserve"> licencing review.  Development Planning work on target.  Ongoing short/medium term measures to further reduce Development Management pressures.  Ongoing wider work on a biodiversity metric moving forward now with support from S</w:t>
            </w:r>
            <w:r>
              <w:rPr>
                <w:rFonts w:ascii="Calibri" w:hAnsi="Calibri" w:cs="Calibri"/>
                <w:sz w:val="24"/>
              </w:rPr>
              <w:t xml:space="preserve">cottish </w:t>
            </w:r>
            <w:r w:rsidRPr="00FE4730">
              <w:rPr>
                <w:rFonts w:ascii="Calibri" w:hAnsi="Calibri" w:cs="Calibri"/>
                <w:sz w:val="24"/>
              </w:rPr>
              <w:t>G</w:t>
            </w:r>
            <w:r>
              <w:rPr>
                <w:rFonts w:ascii="Calibri" w:hAnsi="Calibri" w:cs="Calibri"/>
                <w:sz w:val="24"/>
              </w:rPr>
              <w:t>overnment (SG)</w:t>
            </w:r>
            <w:r w:rsidRPr="00FE4730">
              <w:rPr>
                <w:rFonts w:ascii="Calibri" w:hAnsi="Calibri" w:cs="Calibri"/>
                <w:sz w:val="24"/>
              </w:rPr>
              <w:t xml:space="preserve">.  SG timetable for NPF4 and parliamentary scrutiny likely to slip by a month, as will our milestones associated with NPF4.  </w:t>
            </w:r>
          </w:p>
        </w:tc>
      </w:tr>
      <w:tr w:rsidR="00AB0F0E" w:rsidRPr="00AB0F0E" w14:paraId="35F4E497" w14:textId="77777777" w:rsidTr="0099541D">
        <w:trPr>
          <w:cantSplit/>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6E340922" w14:textId="77777777" w:rsidR="00AB0F0E" w:rsidRPr="00DC4223" w:rsidRDefault="00AB0F0E" w:rsidP="00644AA9">
            <w:pPr>
              <w:rPr>
                <w:rFonts w:ascii="Calibri" w:hAnsi="Calibri" w:cs="Calibri"/>
                <w:b w:val="0"/>
                <w:color w:val="000000"/>
                <w:sz w:val="24"/>
              </w:rPr>
            </w:pPr>
            <w:r w:rsidRPr="00DC4223">
              <w:rPr>
                <w:rFonts w:ascii="Calibri" w:hAnsi="Calibri" w:cs="Calibri"/>
                <w:b w:val="0"/>
                <w:color w:val="000000"/>
                <w:sz w:val="24"/>
              </w:rPr>
              <w:lastRenderedPageBreak/>
              <w:t>Influence the transformation of marine management through new marine planning, protection and fisheries management frameworks, and working with the marine renewable energy sector</w:t>
            </w:r>
          </w:p>
        </w:tc>
        <w:tc>
          <w:tcPr>
            <w:tcW w:w="1276" w:type="dxa"/>
            <w:vAlign w:val="center"/>
          </w:tcPr>
          <w:p w14:paraId="5D4F4DBE" w14:textId="77777777" w:rsidR="00AB0F0E" w:rsidRPr="00AB0F0E" w:rsidRDefault="00AB0F0E" w:rsidP="00644AA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AB0F0E">
              <w:rPr>
                <w:rFonts w:ascii="Calibri" w:hAnsi="Calibri" w:cs="Calibri"/>
                <w:color w:val="000000"/>
                <w:sz w:val="24"/>
              </w:rPr>
              <w:t>Nick Halfhide</w:t>
            </w:r>
          </w:p>
        </w:tc>
        <w:tc>
          <w:tcPr>
            <w:tcW w:w="1134" w:type="dxa"/>
            <w:shd w:val="clear" w:color="auto" w:fill="9BBB59" w:themeFill="accent3"/>
            <w:vAlign w:val="center"/>
          </w:tcPr>
          <w:p w14:paraId="46665D8C" w14:textId="77777777" w:rsidR="00AB0F0E" w:rsidRPr="00AB0F0E" w:rsidRDefault="00F823B9" w:rsidP="00F823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F823B9">
              <w:rPr>
                <w:rFonts w:ascii="Calibri" w:hAnsi="Calibri" w:cs="Calibri"/>
                <w:b/>
                <w:sz w:val="24"/>
              </w:rPr>
              <w:t>GREEN</w:t>
            </w:r>
          </w:p>
        </w:tc>
        <w:tc>
          <w:tcPr>
            <w:tcW w:w="8183" w:type="dxa"/>
            <w:vAlign w:val="center"/>
          </w:tcPr>
          <w:p w14:paraId="601F906F" w14:textId="77777777" w:rsidR="00AB0F0E" w:rsidRPr="00A86FD0" w:rsidRDefault="00FE473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A86FD0">
              <w:rPr>
                <w:rFonts w:ascii="Calibri" w:hAnsi="Calibri" w:cs="Calibri"/>
                <w:color w:val="000000"/>
                <w:sz w:val="24"/>
                <w:szCs w:val="24"/>
              </w:rPr>
              <w:t>We have had strong input to Marine Scotland’s Blue Economy work (high level phase 1 plan to be published shortly) and to work on aquaculture regulatory reform.</w:t>
            </w:r>
          </w:p>
        </w:tc>
      </w:tr>
    </w:tbl>
    <w:p w14:paraId="0EF24EC6" w14:textId="77777777" w:rsidR="00F35513" w:rsidRDefault="00F35513" w:rsidP="00F35513">
      <w:pPr>
        <w:pStyle w:val="Heading2"/>
        <w:spacing w:after="0"/>
        <w:jc w:val="center"/>
        <w:rPr>
          <w:rFonts w:ascii="Calibri" w:hAnsi="Calibri" w:cs="Calibri"/>
          <w:sz w:val="24"/>
        </w:rPr>
      </w:pPr>
    </w:p>
    <w:p w14:paraId="00C4B436" w14:textId="77777777" w:rsidR="00B72D3E" w:rsidRPr="006E0DDA" w:rsidRDefault="00B72D3E" w:rsidP="00B72D3E">
      <w:pPr>
        <w:pStyle w:val="Heading2"/>
        <w:shd w:val="clear" w:color="auto" w:fill="007DC3"/>
        <w:spacing w:after="0"/>
        <w:jc w:val="center"/>
        <w:rPr>
          <w:rFonts w:ascii="Calibri" w:hAnsi="Calibri" w:cs="Calibri"/>
          <w:sz w:val="24"/>
        </w:rPr>
      </w:pPr>
      <w:r>
        <w:rPr>
          <w:rFonts w:ascii="Calibri" w:hAnsi="Calibri" w:cs="Calibri"/>
          <w:sz w:val="24"/>
        </w:rPr>
        <w:t>WE HAVE RESTORED NATURE</w:t>
      </w:r>
    </w:p>
    <w:tbl>
      <w:tblPr>
        <w:tblStyle w:val="PlainTabl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RESTORED NATURE Q1 UPDATE"/>
      </w:tblPr>
      <w:tblGrid>
        <w:gridCol w:w="3686"/>
        <w:gridCol w:w="1559"/>
        <w:gridCol w:w="1134"/>
        <w:gridCol w:w="8183"/>
      </w:tblGrid>
      <w:tr w:rsidR="00AB0F0E" w:rsidRPr="00AB0F0E" w14:paraId="56349609" w14:textId="77777777" w:rsidTr="0099541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15422A86" w14:textId="77777777" w:rsidR="00AB0F0E" w:rsidRPr="00AB0F0E" w:rsidRDefault="00AB0F0E" w:rsidP="00AB0F0E">
            <w:pPr>
              <w:jc w:val="center"/>
              <w:rPr>
                <w:rFonts w:ascii="Calibri" w:hAnsi="Calibri" w:cs="Calibri"/>
                <w:sz w:val="24"/>
                <w:szCs w:val="26"/>
              </w:rPr>
            </w:pPr>
            <w:r w:rsidRPr="00AB0F0E">
              <w:rPr>
                <w:rFonts w:ascii="Calibri" w:hAnsi="Calibri" w:cs="Calibri"/>
                <w:sz w:val="24"/>
                <w:szCs w:val="26"/>
              </w:rPr>
              <w:t>CORPORATE PLAN OBJECTIVE</w:t>
            </w:r>
          </w:p>
        </w:tc>
        <w:tc>
          <w:tcPr>
            <w:tcW w:w="1559" w:type="dxa"/>
            <w:vAlign w:val="center"/>
          </w:tcPr>
          <w:p w14:paraId="26662548" w14:textId="77777777" w:rsidR="00AB0F0E" w:rsidRPr="00AB0F0E" w:rsidRDefault="00AB0F0E" w:rsidP="00AB0F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sidRPr="00AB0F0E">
              <w:rPr>
                <w:rFonts w:ascii="Calibri" w:hAnsi="Calibri" w:cs="Calibri"/>
                <w:sz w:val="24"/>
                <w:szCs w:val="26"/>
              </w:rPr>
              <w:t>SLT LEAD</w:t>
            </w:r>
          </w:p>
        </w:tc>
        <w:tc>
          <w:tcPr>
            <w:tcW w:w="1134" w:type="dxa"/>
            <w:vAlign w:val="center"/>
          </w:tcPr>
          <w:p w14:paraId="37B10EE4" w14:textId="77777777" w:rsidR="00AB0F0E" w:rsidRPr="00AB0F0E" w:rsidRDefault="00AB0F0E" w:rsidP="00AB0F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sidRPr="00AB0F0E">
              <w:rPr>
                <w:rFonts w:ascii="Calibri" w:hAnsi="Calibri" w:cs="Calibri"/>
                <w:sz w:val="24"/>
                <w:szCs w:val="26"/>
              </w:rPr>
              <w:t>RAG SCORE</w:t>
            </w:r>
          </w:p>
        </w:tc>
        <w:tc>
          <w:tcPr>
            <w:tcW w:w="8183" w:type="dxa"/>
            <w:vAlign w:val="center"/>
          </w:tcPr>
          <w:p w14:paraId="1E9506DA" w14:textId="77777777" w:rsidR="00AB0F0E" w:rsidRPr="00AB0F0E" w:rsidRDefault="00AB0F0E" w:rsidP="00AB0F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sidRPr="00AB0F0E">
              <w:rPr>
                <w:rFonts w:ascii="Calibri" w:hAnsi="Calibri" w:cs="Calibri"/>
                <w:sz w:val="24"/>
                <w:szCs w:val="26"/>
              </w:rPr>
              <w:t>Q1 UPDATE</w:t>
            </w:r>
          </w:p>
        </w:tc>
      </w:tr>
      <w:tr w:rsidR="00AB0F0E" w:rsidRPr="00AB0F0E" w14:paraId="662A0B6A" w14:textId="77777777" w:rsidTr="0081514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3A6CC3FE" w14:textId="77777777" w:rsidR="00AB0F0E" w:rsidRPr="00DC4223" w:rsidRDefault="00AB0F0E" w:rsidP="00AB0F0E">
            <w:pPr>
              <w:rPr>
                <w:rFonts w:ascii="Calibri" w:hAnsi="Calibri" w:cs="Calibri"/>
                <w:b w:val="0"/>
                <w:color w:val="000000"/>
                <w:sz w:val="24"/>
                <w:szCs w:val="24"/>
              </w:rPr>
            </w:pPr>
            <w:r w:rsidRPr="00DC4223">
              <w:rPr>
                <w:rFonts w:ascii="Calibri" w:hAnsi="Calibri" w:cs="Calibri"/>
                <w:b w:val="0"/>
                <w:color w:val="000000"/>
                <w:sz w:val="24"/>
                <w:szCs w:val="24"/>
              </w:rPr>
              <w:t>Co-lead the production of the new Scottish Biodiversity Strategy</w:t>
            </w:r>
            <w:r w:rsidR="00EE07AA">
              <w:rPr>
                <w:rFonts w:ascii="Calibri" w:hAnsi="Calibri" w:cs="Calibri"/>
                <w:b w:val="0"/>
                <w:color w:val="000000"/>
                <w:sz w:val="24"/>
                <w:szCs w:val="24"/>
              </w:rPr>
              <w:t xml:space="preserve"> (SBS)</w:t>
            </w:r>
            <w:r w:rsidRPr="00DC4223">
              <w:rPr>
                <w:rFonts w:ascii="Calibri" w:hAnsi="Calibri" w:cs="Calibri"/>
                <w:b w:val="0"/>
                <w:color w:val="000000"/>
                <w:sz w:val="24"/>
                <w:szCs w:val="24"/>
              </w:rPr>
              <w:t xml:space="preserve"> and develop targets to include in a new Natural Environment Bill</w:t>
            </w:r>
          </w:p>
        </w:tc>
        <w:tc>
          <w:tcPr>
            <w:tcW w:w="1559" w:type="dxa"/>
            <w:vAlign w:val="center"/>
          </w:tcPr>
          <w:p w14:paraId="79A7B040" w14:textId="77777777" w:rsidR="00AB0F0E" w:rsidRPr="00AB0F0E" w:rsidRDefault="00AB0F0E" w:rsidP="00AB0F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AB0F0E">
              <w:rPr>
                <w:rFonts w:ascii="Calibri" w:hAnsi="Calibri" w:cs="Calibri"/>
                <w:color w:val="000000"/>
                <w:sz w:val="24"/>
                <w:szCs w:val="24"/>
              </w:rPr>
              <w:t>Nick Halfhide</w:t>
            </w:r>
          </w:p>
        </w:tc>
        <w:tc>
          <w:tcPr>
            <w:tcW w:w="1134" w:type="dxa"/>
            <w:shd w:val="clear" w:color="auto" w:fill="9BBB59" w:themeFill="accent3"/>
            <w:vAlign w:val="center"/>
          </w:tcPr>
          <w:p w14:paraId="3121844E" w14:textId="77777777" w:rsidR="00AB0F0E" w:rsidRPr="00F823B9" w:rsidRDefault="0081514E" w:rsidP="00F823B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Pr>
                <w:rFonts w:ascii="Calibri" w:hAnsi="Calibri" w:cs="Calibri"/>
                <w:b/>
                <w:sz w:val="24"/>
                <w:szCs w:val="24"/>
              </w:rPr>
              <w:t>GREEN</w:t>
            </w:r>
          </w:p>
        </w:tc>
        <w:tc>
          <w:tcPr>
            <w:tcW w:w="8183" w:type="dxa"/>
            <w:vAlign w:val="center"/>
          </w:tcPr>
          <w:p w14:paraId="6DDD8451" w14:textId="77777777" w:rsidR="00AB0F0E" w:rsidRPr="00A86FD0" w:rsidRDefault="00FE4730" w:rsidP="00D5277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A86FD0">
              <w:rPr>
                <w:rFonts w:ascii="Calibri" w:hAnsi="Calibri" w:cs="Calibri"/>
                <w:color w:val="000000"/>
                <w:sz w:val="24"/>
                <w:szCs w:val="24"/>
              </w:rPr>
              <w:t xml:space="preserve">Consultation on the strategy closed on 12th September, as planned.  A draft rather than completed strategy will be published in December.  </w:t>
            </w:r>
          </w:p>
        </w:tc>
      </w:tr>
      <w:tr w:rsidR="00AB0F0E" w:rsidRPr="007C3D2E" w14:paraId="147560E3" w14:textId="77777777" w:rsidTr="00147858">
        <w:trPr>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604C23D" w14:textId="77777777" w:rsidR="00AB0F0E" w:rsidRPr="00DC4223" w:rsidRDefault="00AB0F0E" w:rsidP="00AB0F0E">
            <w:pPr>
              <w:rPr>
                <w:rFonts w:ascii="Calibri" w:hAnsi="Calibri" w:cs="Calibri"/>
                <w:b w:val="0"/>
                <w:color w:val="000000"/>
                <w:sz w:val="24"/>
                <w:szCs w:val="24"/>
              </w:rPr>
            </w:pPr>
            <w:r w:rsidRPr="00DC4223">
              <w:rPr>
                <w:rFonts w:ascii="Calibri" w:hAnsi="Calibri" w:cs="Calibri"/>
                <w:b w:val="0"/>
                <w:color w:val="000000"/>
                <w:sz w:val="24"/>
                <w:szCs w:val="24"/>
              </w:rPr>
              <w:t>Scale up Peatland Restoration by delivering Peatland ACTION funding to projects</w:t>
            </w:r>
          </w:p>
        </w:tc>
        <w:tc>
          <w:tcPr>
            <w:tcW w:w="1559" w:type="dxa"/>
            <w:vAlign w:val="center"/>
          </w:tcPr>
          <w:p w14:paraId="2F9C8B1B" w14:textId="77777777" w:rsidR="00AB0F0E" w:rsidRPr="00AB0F0E" w:rsidRDefault="00F2033F" w:rsidP="00AB0F0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24"/>
                <w:szCs w:val="24"/>
              </w:rPr>
              <w:t>Robbie Kernahan</w:t>
            </w:r>
          </w:p>
        </w:tc>
        <w:tc>
          <w:tcPr>
            <w:tcW w:w="1134" w:type="dxa"/>
            <w:shd w:val="clear" w:color="auto" w:fill="FF0000"/>
            <w:vAlign w:val="center"/>
          </w:tcPr>
          <w:p w14:paraId="1C6FFEBD" w14:textId="3B17A001" w:rsidR="003077F8" w:rsidRDefault="00147858" w:rsidP="001478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b/>
                <w:sz w:val="24"/>
              </w:rPr>
              <w:t>RED</w:t>
            </w:r>
          </w:p>
          <w:p w14:paraId="0F8C4B17" w14:textId="77777777" w:rsidR="00AB0F0E" w:rsidRPr="003077F8" w:rsidRDefault="00AB0F0E" w:rsidP="003077F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8183" w:type="dxa"/>
            <w:vAlign w:val="center"/>
          </w:tcPr>
          <w:p w14:paraId="14296E33" w14:textId="1A3BEDEE" w:rsidR="00AB0F0E" w:rsidRPr="00A86FD0" w:rsidRDefault="00FE4730" w:rsidP="00123F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A86FD0">
              <w:rPr>
                <w:rFonts w:ascii="Calibri" w:hAnsi="Calibri" w:cs="Calibri"/>
                <w:color w:val="000000"/>
                <w:sz w:val="24"/>
                <w:szCs w:val="24"/>
              </w:rPr>
              <w:t>As a result of: limited demands for restoration/funds; slow speed of Peatland Code verification and processes; perceived constraint of limited operating season; and limited contractor capacity,  we are projecting an outturn of ~ 5,866 ha for 2022/23, less than the target of 8,800 hectares</w:t>
            </w:r>
          </w:p>
        </w:tc>
      </w:tr>
      <w:tr w:rsidR="00AB0F0E" w:rsidRPr="00AB0F0E" w14:paraId="6BDC2E3E" w14:textId="77777777" w:rsidTr="0099541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612AD71" w14:textId="77777777" w:rsidR="00AB0F0E" w:rsidRPr="00DC4223" w:rsidRDefault="00AB0F0E" w:rsidP="00AB0F0E">
            <w:pPr>
              <w:rPr>
                <w:rFonts w:ascii="Calibri" w:hAnsi="Calibri" w:cs="Calibri"/>
                <w:b w:val="0"/>
                <w:color w:val="000000"/>
                <w:sz w:val="24"/>
                <w:szCs w:val="24"/>
              </w:rPr>
            </w:pPr>
            <w:r w:rsidRPr="00DC4223">
              <w:rPr>
                <w:rFonts w:ascii="Calibri" w:hAnsi="Calibri" w:cs="Calibri"/>
                <w:b w:val="0"/>
                <w:color w:val="000000"/>
                <w:sz w:val="24"/>
                <w:szCs w:val="24"/>
              </w:rPr>
              <w:t>Lead, enable and convene others around the development of ambitious and coherent actions to restore nature.  Deliver a major Nature Restoration Fund (NRF) targeted at high impact nature recovery projects and seeding greater investment from the private sector</w:t>
            </w:r>
          </w:p>
        </w:tc>
        <w:tc>
          <w:tcPr>
            <w:tcW w:w="1559" w:type="dxa"/>
            <w:vAlign w:val="center"/>
          </w:tcPr>
          <w:p w14:paraId="4594C51B" w14:textId="77777777" w:rsidR="00AB0F0E" w:rsidRPr="00AB0F0E" w:rsidRDefault="00AB0F0E" w:rsidP="00AB0F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AB0F0E">
              <w:rPr>
                <w:rFonts w:ascii="Calibri" w:hAnsi="Calibri" w:cs="Calibri"/>
                <w:color w:val="000000"/>
                <w:sz w:val="24"/>
                <w:szCs w:val="24"/>
              </w:rPr>
              <w:t>Nick Halfhide</w:t>
            </w:r>
          </w:p>
        </w:tc>
        <w:tc>
          <w:tcPr>
            <w:tcW w:w="1134" w:type="dxa"/>
            <w:shd w:val="clear" w:color="auto" w:fill="9BBB59" w:themeFill="accent3"/>
            <w:vAlign w:val="center"/>
          </w:tcPr>
          <w:p w14:paraId="775A7CCA" w14:textId="77777777" w:rsidR="00AB0F0E" w:rsidRPr="00AD453F" w:rsidRDefault="0099541D" w:rsidP="009954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sidRPr="00F823B9">
              <w:rPr>
                <w:rFonts w:ascii="Calibri" w:hAnsi="Calibri" w:cs="Calibri"/>
                <w:b/>
                <w:sz w:val="24"/>
              </w:rPr>
              <w:t>GREEN</w:t>
            </w:r>
            <w:r>
              <w:rPr>
                <w:rFonts w:ascii="Calibri" w:hAnsi="Calibri" w:cs="Calibri"/>
                <w:b/>
                <w:sz w:val="24"/>
                <w:szCs w:val="24"/>
              </w:rPr>
              <w:t xml:space="preserve"> </w:t>
            </w:r>
          </w:p>
        </w:tc>
        <w:tc>
          <w:tcPr>
            <w:tcW w:w="8183" w:type="dxa"/>
            <w:vAlign w:val="center"/>
          </w:tcPr>
          <w:p w14:paraId="6572455F" w14:textId="77777777" w:rsidR="00AB0F0E" w:rsidRPr="00A86FD0" w:rsidRDefault="00FE4730" w:rsidP="009913B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A86FD0">
              <w:rPr>
                <w:rFonts w:ascii="Calibri" w:hAnsi="Calibri" w:cs="Calibri"/>
                <w:color w:val="000000"/>
                <w:sz w:val="24"/>
                <w:szCs w:val="24"/>
              </w:rPr>
              <w:t>We launched the first round of the Transforming Nature (large value) fund with an Expressions of Interest stage.  55 were received and have been assessed with successful ones being invited to submit full applications with a closing date in early October.   We met with the Green Finance initiative to discuss how NRF could support and interact with potential private finance.  We held an internal meeting to discuss opportunity mapping and the development of coherent actions for nature.</w:t>
            </w:r>
          </w:p>
        </w:tc>
      </w:tr>
      <w:tr w:rsidR="00AB0F0E" w:rsidRPr="00AB0F0E" w14:paraId="77DD9103" w14:textId="77777777" w:rsidTr="00147858">
        <w:trPr>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8E6ED77" w14:textId="77777777" w:rsidR="00AB0F0E" w:rsidRPr="00DC4223" w:rsidRDefault="00AB0F0E" w:rsidP="00AB0F0E">
            <w:pPr>
              <w:rPr>
                <w:rFonts w:ascii="Calibri" w:hAnsi="Calibri" w:cs="Calibri"/>
                <w:b w:val="0"/>
                <w:color w:val="000000"/>
                <w:sz w:val="24"/>
                <w:szCs w:val="24"/>
              </w:rPr>
            </w:pPr>
            <w:r w:rsidRPr="00DC4223">
              <w:rPr>
                <w:rFonts w:ascii="Calibri" w:hAnsi="Calibri" w:cs="Calibri"/>
                <w:b w:val="0"/>
                <w:color w:val="000000"/>
                <w:sz w:val="24"/>
                <w:szCs w:val="24"/>
              </w:rPr>
              <w:lastRenderedPageBreak/>
              <w:t>Demonstrate how agriculture can be transformed with new approaches to deliver targeted outcomes for nature and climate</w:t>
            </w:r>
          </w:p>
        </w:tc>
        <w:tc>
          <w:tcPr>
            <w:tcW w:w="1559" w:type="dxa"/>
            <w:vAlign w:val="center"/>
          </w:tcPr>
          <w:p w14:paraId="4E30F2A1" w14:textId="77777777" w:rsidR="00AB0F0E" w:rsidRPr="00AB0F0E" w:rsidRDefault="00AB0F0E" w:rsidP="00AB0F0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AB0F0E">
              <w:rPr>
                <w:rFonts w:ascii="Calibri" w:hAnsi="Calibri" w:cs="Calibri"/>
                <w:color w:val="000000"/>
                <w:sz w:val="24"/>
                <w:szCs w:val="24"/>
              </w:rPr>
              <w:t>Robbie Kernahan</w:t>
            </w:r>
          </w:p>
        </w:tc>
        <w:tc>
          <w:tcPr>
            <w:tcW w:w="1134" w:type="dxa"/>
            <w:shd w:val="clear" w:color="auto" w:fill="9BBB59" w:themeFill="accent3"/>
            <w:vAlign w:val="center"/>
          </w:tcPr>
          <w:p w14:paraId="46D8E2D4" w14:textId="43B836B0" w:rsidR="00AB0F0E" w:rsidRPr="00AD453F" w:rsidRDefault="00147858" w:rsidP="00F823B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rPr>
            </w:pPr>
            <w:r>
              <w:rPr>
                <w:rFonts w:ascii="Calibri" w:hAnsi="Calibri" w:cs="Calibri"/>
                <w:b/>
                <w:sz w:val="24"/>
                <w:szCs w:val="24"/>
              </w:rPr>
              <w:t>GREEN</w:t>
            </w:r>
          </w:p>
        </w:tc>
        <w:tc>
          <w:tcPr>
            <w:tcW w:w="8183" w:type="dxa"/>
            <w:vAlign w:val="center"/>
          </w:tcPr>
          <w:p w14:paraId="0982BEC7" w14:textId="510D66EF" w:rsidR="00AB0F0E" w:rsidRPr="00A86FD0" w:rsidRDefault="00FE4730" w:rsidP="005F4D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A86FD0">
              <w:rPr>
                <w:rFonts w:ascii="Calibri" w:hAnsi="Calibri" w:cs="Calibri"/>
                <w:color w:val="000000"/>
                <w:sz w:val="24"/>
                <w:szCs w:val="24"/>
              </w:rPr>
              <w:t xml:space="preserve">Biodiversity Audit template drafted and process agreed with Preparing for Sustainable Farming (Track 1) programme team.  First 5 basic habitat assessment criteria drafted.  Agreed scope and process for procuring Biodiversity App and development work on Scottish Government's Land Parcel Identification System (LPIS) required to engage with App once built.  Prepared and agreed list of enhanced conditionality measures under the Testing for Sustainable Farming </w:t>
            </w:r>
            <w:r w:rsidR="00123F33">
              <w:rPr>
                <w:rFonts w:ascii="Calibri" w:hAnsi="Calibri" w:cs="Calibri"/>
                <w:color w:val="000000"/>
                <w:sz w:val="24"/>
                <w:szCs w:val="24"/>
              </w:rPr>
              <w:t xml:space="preserve">(TSF) </w:t>
            </w:r>
            <w:r w:rsidRPr="00A86FD0">
              <w:rPr>
                <w:rFonts w:ascii="Calibri" w:hAnsi="Calibri" w:cs="Calibri"/>
                <w:color w:val="000000"/>
                <w:sz w:val="24"/>
                <w:szCs w:val="24"/>
              </w:rPr>
              <w:t xml:space="preserve">Programme (Track 2) sufficient for further measure description work to be finalised in Oct 2022 for rolling out to TSF participants in Q3.  POBAS App testing and participant farm scoring largely completed.  </w:t>
            </w:r>
          </w:p>
        </w:tc>
      </w:tr>
    </w:tbl>
    <w:p w14:paraId="0A110D30" w14:textId="77777777" w:rsidR="00F35513" w:rsidRDefault="00F35513" w:rsidP="00F35513">
      <w:pPr>
        <w:pStyle w:val="Heading2"/>
        <w:spacing w:after="0"/>
        <w:jc w:val="center"/>
        <w:rPr>
          <w:rFonts w:ascii="Calibri" w:hAnsi="Calibri" w:cs="Calibri"/>
          <w:sz w:val="24"/>
        </w:rPr>
      </w:pPr>
    </w:p>
    <w:p w14:paraId="4B33AFE5" w14:textId="77777777" w:rsidR="00B72D3E" w:rsidRPr="006E0DDA" w:rsidRDefault="00B72D3E" w:rsidP="00B72D3E">
      <w:pPr>
        <w:pStyle w:val="Heading2"/>
        <w:shd w:val="clear" w:color="auto" w:fill="007DC3"/>
        <w:spacing w:after="0"/>
        <w:jc w:val="center"/>
        <w:rPr>
          <w:rFonts w:ascii="Calibri" w:hAnsi="Calibri" w:cs="Calibri"/>
          <w:sz w:val="24"/>
        </w:rPr>
      </w:pPr>
      <w:r>
        <w:rPr>
          <w:rFonts w:ascii="Calibri" w:hAnsi="Calibri" w:cs="Calibri"/>
          <w:sz w:val="24"/>
        </w:rPr>
        <w:t>THE VALUE OF NATURE IS RECOGNISED</w:t>
      </w:r>
    </w:p>
    <w:tbl>
      <w:tblPr>
        <w:tblStyle w:val="PlainTabl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HE VALUE OF NATURE IS RECOGNISED Q1 UPDATE"/>
      </w:tblPr>
      <w:tblGrid>
        <w:gridCol w:w="3828"/>
        <w:gridCol w:w="1417"/>
        <w:gridCol w:w="1134"/>
        <w:gridCol w:w="8183"/>
      </w:tblGrid>
      <w:tr w:rsidR="00AB0F0E" w:rsidRPr="0091136A" w14:paraId="0307B830" w14:textId="77777777" w:rsidTr="0099541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18EFCCA5" w14:textId="77777777" w:rsidR="00AB0F0E" w:rsidRPr="0091136A" w:rsidRDefault="00AB0F0E" w:rsidP="00644AA9">
            <w:pPr>
              <w:jc w:val="center"/>
              <w:rPr>
                <w:rFonts w:ascii="Calibri" w:hAnsi="Calibri" w:cs="Calibri"/>
                <w:sz w:val="24"/>
                <w:szCs w:val="26"/>
              </w:rPr>
            </w:pPr>
            <w:r w:rsidRPr="0091136A">
              <w:rPr>
                <w:rFonts w:ascii="Calibri" w:hAnsi="Calibri" w:cs="Calibri"/>
                <w:sz w:val="24"/>
                <w:szCs w:val="26"/>
              </w:rPr>
              <w:t>CORPORATE PLAN OBJECTIVE</w:t>
            </w:r>
          </w:p>
        </w:tc>
        <w:tc>
          <w:tcPr>
            <w:tcW w:w="1417" w:type="dxa"/>
            <w:vAlign w:val="center"/>
          </w:tcPr>
          <w:p w14:paraId="428A915C" w14:textId="77777777" w:rsidR="00AB0F0E" w:rsidRPr="0091136A" w:rsidRDefault="00AB0F0E" w:rsidP="00644A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sidRPr="0091136A">
              <w:rPr>
                <w:rFonts w:ascii="Calibri" w:hAnsi="Calibri" w:cs="Calibri"/>
                <w:sz w:val="24"/>
                <w:szCs w:val="26"/>
              </w:rPr>
              <w:t>SLT LEAD</w:t>
            </w:r>
          </w:p>
        </w:tc>
        <w:tc>
          <w:tcPr>
            <w:tcW w:w="1134" w:type="dxa"/>
            <w:vAlign w:val="center"/>
          </w:tcPr>
          <w:p w14:paraId="58F751D5" w14:textId="77777777" w:rsidR="00AB0F0E" w:rsidRPr="0091136A" w:rsidRDefault="00AB0F0E" w:rsidP="00644A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sidRPr="0091136A">
              <w:rPr>
                <w:rFonts w:ascii="Calibri" w:hAnsi="Calibri" w:cs="Calibri"/>
                <w:sz w:val="24"/>
                <w:szCs w:val="26"/>
              </w:rPr>
              <w:t>RAG SCORE</w:t>
            </w:r>
          </w:p>
        </w:tc>
        <w:tc>
          <w:tcPr>
            <w:tcW w:w="8183" w:type="dxa"/>
            <w:vAlign w:val="center"/>
          </w:tcPr>
          <w:p w14:paraId="230B494C" w14:textId="77777777" w:rsidR="00AB0F0E" w:rsidRPr="0091136A" w:rsidRDefault="00AB0F0E" w:rsidP="00644A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sidRPr="0091136A">
              <w:rPr>
                <w:rFonts w:ascii="Calibri" w:hAnsi="Calibri" w:cs="Calibri"/>
                <w:sz w:val="24"/>
                <w:szCs w:val="26"/>
              </w:rPr>
              <w:t>Q1 UPDATE</w:t>
            </w:r>
          </w:p>
        </w:tc>
      </w:tr>
      <w:tr w:rsidR="00AB0F0E" w:rsidRPr="00AD014B" w14:paraId="3B389BB9" w14:textId="77777777" w:rsidTr="0099541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5A31B92A" w14:textId="77777777" w:rsidR="00AB0F0E" w:rsidRPr="00AD014B" w:rsidRDefault="00AB0F0E" w:rsidP="00644AA9">
            <w:pPr>
              <w:rPr>
                <w:rFonts w:ascii="Calibri" w:hAnsi="Calibri" w:cs="Calibri"/>
                <w:b w:val="0"/>
                <w:color w:val="000000"/>
                <w:sz w:val="24"/>
                <w:szCs w:val="24"/>
              </w:rPr>
            </w:pPr>
            <w:r w:rsidRPr="00AD014B">
              <w:rPr>
                <w:rFonts w:ascii="Calibri" w:hAnsi="Calibri" w:cs="Calibri"/>
                <w:b w:val="0"/>
                <w:color w:val="000000"/>
                <w:sz w:val="24"/>
                <w:szCs w:val="24"/>
              </w:rPr>
              <w:t>Inspire people to connect with nature, increasing appreciation of nature’s value through impactful delivery and communication of our work</w:t>
            </w:r>
          </w:p>
        </w:tc>
        <w:tc>
          <w:tcPr>
            <w:tcW w:w="1417" w:type="dxa"/>
            <w:vAlign w:val="center"/>
          </w:tcPr>
          <w:p w14:paraId="40997526" w14:textId="77777777" w:rsidR="00AB0F0E" w:rsidRPr="00AD014B" w:rsidRDefault="00AB0F0E" w:rsidP="00644AA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AD014B">
              <w:rPr>
                <w:rFonts w:ascii="Calibri" w:hAnsi="Calibri" w:cs="Calibri"/>
                <w:color w:val="000000"/>
                <w:sz w:val="24"/>
                <w:szCs w:val="24"/>
              </w:rPr>
              <w:t>Jason Ormiston</w:t>
            </w:r>
          </w:p>
        </w:tc>
        <w:tc>
          <w:tcPr>
            <w:tcW w:w="1134" w:type="dxa"/>
            <w:shd w:val="clear" w:color="auto" w:fill="9BBB59" w:themeFill="accent3"/>
            <w:vAlign w:val="center"/>
          </w:tcPr>
          <w:p w14:paraId="5A300B12" w14:textId="77777777" w:rsidR="00AB0F0E" w:rsidRPr="000774DA" w:rsidRDefault="000774DA" w:rsidP="000774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Pr>
                <w:rFonts w:ascii="Calibri" w:hAnsi="Calibri" w:cs="Calibri"/>
                <w:b/>
                <w:sz w:val="24"/>
                <w:szCs w:val="24"/>
              </w:rPr>
              <w:t>GREEN</w:t>
            </w:r>
          </w:p>
        </w:tc>
        <w:tc>
          <w:tcPr>
            <w:tcW w:w="8183" w:type="dxa"/>
            <w:vAlign w:val="center"/>
          </w:tcPr>
          <w:p w14:paraId="00258A55" w14:textId="77777777" w:rsidR="00AB0F0E" w:rsidRPr="00A86FD0" w:rsidRDefault="00FE4730" w:rsidP="001975D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A86FD0">
              <w:rPr>
                <w:rFonts w:ascii="Calibri" w:hAnsi="Calibri" w:cs="Calibri"/>
                <w:color w:val="000000"/>
                <w:sz w:val="24"/>
                <w:szCs w:val="24"/>
              </w:rPr>
              <w:t>Summer Make Space for Nature (</w:t>
            </w:r>
            <w:proofErr w:type="spellStart"/>
            <w:r w:rsidRPr="00A86FD0">
              <w:rPr>
                <w:rFonts w:ascii="Calibri" w:hAnsi="Calibri" w:cs="Calibri"/>
                <w:color w:val="000000"/>
                <w:sz w:val="24"/>
                <w:szCs w:val="24"/>
              </w:rPr>
              <w:t>MSfN</w:t>
            </w:r>
            <w:proofErr w:type="spellEnd"/>
            <w:r w:rsidRPr="00A86FD0">
              <w:rPr>
                <w:rFonts w:ascii="Calibri" w:hAnsi="Calibri" w:cs="Calibri"/>
                <w:color w:val="000000"/>
                <w:sz w:val="24"/>
                <w:szCs w:val="24"/>
              </w:rPr>
              <w:t>) campaign implemented; Scottish Outdoor Access Code (SOAC) campaign implemented; refresh of SOAC educational material completed; Future Routes and Better Places funds successful delivered;  visitor management on National Nature Reserves (NNR’s) delivered; new commissions from SG education (nature education parks) and health (natural capital assessment of NHS greenspace) received and started</w:t>
            </w:r>
          </w:p>
        </w:tc>
      </w:tr>
      <w:tr w:rsidR="00AB0F0E" w:rsidRPr="00AD014B" w14:paraId="5E97E14B" w14:textId="77777777" w:rsidTr="0099541D">
        <w:trPr>
          <w:cantSplit/>
          <w:jc w:val="center"/>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05BACE92" w14:textId="77777777" w:rsidR="00AB0F0E" w:rsidRPr="00AD014B" w:rsidRDefault="00AB0F0E" w:rsidP="00644AA9">
            <w:pPr>
              <w:rPr>
                <w:rFonts w:ascii="Calibri" w:hAnsi="Calibri" w:cs="Calibri"/>
                <w:b w:val="0"/>
                <w:color w:val="000000"/>
                <w:sz w:val="24"/>
                <w:szCs w:val="24"/>
              </w:rPr>
            </w:pPr>
            <w:r w:rsidRPr="00AD014B">
              <w:rPr>
                <w:rFonts w:ascii="Calibri" w:hAnsi="Calibri" w:cs="Calibri"/>
                <w:b w:val="0"/>
                <w:color w:val="000000"/>
                <w:sz w:val="24"/>
                <w:szCs w:val="24"/>
              </w:rPr>
              <w:t>Influence the regulatory, policy, market and institutional infrastructure needed to stimulate private sector investment into nature</w:t>
            </w:r>
          </w:p>
        </w:tc>
        <w:tc>
          <w:tcPr>
            <w:tcW w:w="1417" w:type="dxa"/>
            <w:vAlign w:val="center"/>
          </w:tcPr>
          <w:p w14:paraId="6A93680A" w14:textId="77777777" w:rsidR="00AB0F0E" w:rsidRPr="00AD014B" w:rsidRDefault="00AB0F0E" w:rsidP="00644AA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D014B">
              <w:rPr>
                <w:rFonts w:ascii="Calibri" w:hAnsi="Calibri" w:cs="Calibri"/>
                <w:color w:val="000000"/>
                <w:sz w:val="24"/>
                <w:szCs w:val="24"/>
              </w:rPr>
              <w:t>Robbie Kernahan</w:t>
            </w:r>
          </w:p>
        </w:tc>
        <w:tc>
          <w:tcPr>
            <w:tcW w:w="1134" w:type="dxa"/>
            <w:shd w:val="clear" w:color="auto" w:fill="9BBB59" w:themeFill="accent3"/>
            <w:vAlign w:val="center"/>
          </w:tcPr>
          <w:p w14:paraId="340B3FE5" w14:textId="77777777" w:rsidR="00AB0F0E" w:rsidRPr="00AD453F" w:rsidRDefault="00080817" w:rsidP="00AD45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rPr>
            </w:pPr>
            <w:r>
              <w:rPr>
                <w:rFonts w:ascii="Calibri" w:hAnsi="Calibri" w:cs="Calibri"/>
                <w:b/>
                <w:sz w:val="24"/>
                <w:szCs w:val="24"/>
              </w:rPr>
              <w:t>GREEN</w:t>
            </w:r>
          </w:p>
        </w:tc>
        <w:tc>
          <w:tcPr>
            <w:tcW w:w="8183" w:type="dxa"/>
            <w:vAlign w:val="center"/>
          </w:tcPr>
          <w:p w14:paraId="2E9EFC20" w14:textId="77777777" w:rsidR="00FE4730" w:rsidRPr="00A86FD0" w:rsidRDefault="00FE4730" w:rsidP="00FE473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A86FD0">
              <w:rPr>
                <w:rFonts w:ascii="Calibri" w:hAnsi="Calibri" w:cs="Calibri"/>
                <w:color w:val="000000"/>
                <w:sz w:val="24"/>
                <w:szCs w:val="24"/>
              </w:rPr>
              <w:t xml:space="preserve">We have launched the Investment Ready Nature in Scotland grant fund (IRNS) and received a good number of applications, including from projects in which NatureScot has an interest (Flow Country Green Finance Initiative and Scottish Landscape Enterprise Network coordinator, Nature Finance Fife). </w:t>
            </w:r>
          </w:p>
          <w:p w14:paraId="0A4D9D4A" w14:textId="60EE92C3" w:rsidR="00AB0F0E" w:rsidRPr="00A86FD0" w:rsidRDefault="00FE4730" w:rsidP="00FE473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A86FD0">
              <w:rPr>
                <w:rFonts w:ascii="Calibri" w:hAnsi="Calibri" w:cs="Calibri"/>
                <w:color w:val="000000"/>
                <w:sz w:val="24"/>
                <w:szCs w:val="24"/>
              </w:rPr>
              <w:t>Discussions with Hampden &amp; Co to develop a partnership to deliver £100s millions of finance for native woodland creation and peatland restoration have proceeded to a high level meeting involving Senior Leadership Team members Hampden, Lombard and Palladium. Funds secured for a scoping study on landscape scale woodland investment in upper Tweed catchment to inform the 1st phase of investment.</w:t>
            </w:r>
            <w:r w:rsidR="00A86FD0">
              <w:rPr>
                <w:rFonts w:ascii="Calibri" w:hAnsi="Calibri" w:cs="Calibri"/>
                <w:color w:val="000000"/>
                <w:sz w:val="24"/>
                <w:szCs w:val="24"/>
              </w:rPr>
              <w:t xml:space="preserve"> </w:t>
            </w:r>
            <w:r w:rsidRPr="00A86FD0">
              <w:rPr>
                <w:rFonts w:ascii="Calibri" w:hAnsi="Calibri" w:cs="Calibri"/>
                <w:color w:val="000000"/>
                <w:sz w:val="24"/>
                <w:szCs w:val="24"/>
              </w:rPr>
              <w:t>Continuing discussions with University of Edinburgh about collaboration with their plans to deploy nature based solutions (</w:t>
            </w:r>
            <w:proofErr w:type="spellStart"/>
            <w:r w:rsidRPr="00A86FD0">
              <w:rPr>
                <w:rFonts w:ascii="Calibri" w:hAnsi="Calibri" w:cs="Calibri"/>
                <w:color w:val="000000"/>
                <w:sz w:val="24"/>
                <w:szCs w:val="24"/>
              </w:rPr>
              <w:t>NbS</w:t>
            </w:r>
            <w:proofErr w:type="spellEnd"/>
            <w:r w:rsidRPr="00A86FD0">
              <w:rPr>
                <w:rFonts w:ascii="Calibri" w:hAnsi="Calibri" w:cs="Calibri"/>
                <w:color w:val="000000"/>
                <w:sz w:val="24"/>
                <w:szCs w:val="24"/>
              </w:rPr>
              <w:t>) to offset future emissions from necessary travel.</w:t>
            </w:r>
          </w:p>
        </w:tc>
      </w:tr>
      <w:tr w:rsidR="00AB0F0E" w:rsidRPr="00AD014B" w14:paraId="0DF6CDC7" w14:textId="77777777" w:rsidTr="0099541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03AAEA0B" w14:textId="77777777" w:rsidR="00AB0F0E" w:rsidRPr="00AD014B" w:rsidRDefault="00AB0F0E" w:rsidP="00644AA9">
            <w:pPr>
              <w:rPr>
                <w:rFonts w:ascii="Calibri" w:hAnsi="Calibri" w:cs="Calibri"/>
                <w:b w:val="0"/>
                <w:color w:val="000000"/>
                <w:sz w:val="24"/>
                <w:szCs w:val="24"/>
              </w:rPr>
            </w:pPr>
            <w:r w:rsidRPr="00AD014B">
              <w:rPr>
                <w:rFonts w:ascii="Calibri" w:hAnsi="Calibri" w:cs="Calibri"/>
                <w:b w:val="0"/>
                <w:color w:val="000000"/>
                <w:sz w:val="24"/>
                <w:szCs w:val="24"/>
              </w:rPr>
              <w:lastRenderedPageBreak/>
              <w:t>Drive the establishment of Natural Capital as an integral part of public and private business planning and investment decisions at national, landscape and landholding/business scales</w:t>
            </w:r>
          </w:p>
        </w:tc>
        <w:tc>
          <w:tcPr>
            <w:tcW w:w="1417" w:type="dxa"/>
            <w:vAlign w:val="center"/>
          </w:tcPr>
          <w:p w14:paraId="4EE15BC5" w14:textId="77777777" w:rsidR="00AB0F0E" w:rsidRPr="00AD014B" w:rsidRDefault="00AB0F0E" w:rsidP="00644AA9">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AD014B">
              <w:rPr>
                <w:rFonts w:ascii="Calibri" w:hAnsi="Calibri" w:cs="Calibri"/>
                <w:color w:val="000000"/>
                <w:sz w:val="24"/>
                <w:szCs w:val="24"/>
              </w:rPr>
              <w:t>Robbie Kernahan</w:t>
            </w:r>
          </w:p>
        </w:tc>
        <w:tc>
          <w:tcPr>
            <w:tcW w:w="1134" w:type="dxa"/>
            <w:shd w:val="clear" w:color="auto" w:fill="9BBB59" w:themeFill="accent3"/>
            <w:vAlign w:val="center"/>
          </w:tcPr>
          <w:p w14:paraId="368A821D" w14:textId="77777777" w:rsidR="00AB0F0E" w:rsidRPr="005F4D35" w:rsidRDefault="005F4D35" w:rsidP="005F4D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Pr>
                <w:rFonts w:ascii="Calibri" w:hAnsi="Calibri" w:cs="Calibri"/>
                <w:b/>
                <w:sz w:val="24"/>
                <w:szCs w:val="24"/>
              </w:rPr>
              <w:t>GREEN</w:t>
            </w:r>
          </w:p>
        </w:tc>
        <w:tc>
          <w:tcPr>
            <w:tcW w:w="8183" w:type="dxa"/>
            <w:vAlign w:val="center"/>
          </w:tcPr>
          <w:p w14:paraId="7AAE5B70" w14:textId="77777777" w:rsidR="00AB0F0E" w:rsidRPr="00A86FD0" w:rsidRDefault="00FE473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A86FD0">
              <w:rPr>
                <w:rFonts w:ascii="Calibri" w:hAnsi="Calibri" w:cs="Calibri"/>
                <w:color w:val="000000"/>
                <w:sz w:val="24"/>
                <w:szCs w:val="24"/>
              </w:rPr>
              <w:t xml:space="preserve">Public land cluster mapping exercise completed. Further 5 potential Landscape Enterprise Network’s (LENs) partnerships identified and initiated.  Natural Capital Approach Pilot (NCAP) forum meeting organised for Q3.  NCAP landscape tool project officer recruited and stakeholder engagement on tool co-design underway. NCAP landholding template lessons learned report preparation underway.  </w:t>
            </w:r>
          </w:p>
        </w:tc>
      </w:tr>
      <w:tr w:rsidR="00AB0F0E" w:rsidRPr="00AD014B" w14:paraId="0477FAB8" w14:textId="77777777" w:rsidTr="0099541D">
        <w:trPr>
          <w:cantSplit/>
          <w:jc w:val="center"/>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504108F5" w14:textId="77777777" w:rsidR="00AB0F0E" w:rsidRPr="00AD014B" w:rsidRDefault="00AB0F0E" w:rsidP="00644AA9">
            <w:pPr>
              <w:rPr>
                <w:rFonts w:ascii="Calibri" w:hAnsi="Calibri" w:cs="Calibri"/>
                <w:b w:val="0"/>
                <w:color w:val="000000"/>
                <w:sz w:val="24"/>
                <w:szCs w:val="24"/>
              </w:rPr>
            </w:pPr>
            <w:r w:rsidRPr="00AD014B">
              <w:rPr>
                <w:rFonts w:ascii="Calibri" w:hAnsi="Calibri" w:cs="Calibri"/>
                <w:b w:val="0"/>
                <w:color w:val="000000"/>
                <w:sz w:val="24"/>
                <w:szCs w:val="24"/>
              </w:rPr>
              <w:t>Promote understanding and awareness of skills and capacity needs for the nature based sector</w:t>
            </w:r>
          </w:p>
        </w:tc>
        <w:tc>
          <w:tcPr>
            <w:tcW w:w="1417" w:type="dxa"/>
            <w:vAlign w:val="center"/>
          </w:tcPr>
          <w:p w14:paraId="6A018BA6" w14:textId="77777777" w:rsidR="00AB0F0E" w:rsidRPr="00AD014B" w:rsidRDefault="0091136A" w:rsidP="00644AA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color w:val="000000"/>
                <w:sz w:val="24"/>
                <w:szCs w:val="24"/>
              </w:rPr>
              <w:t>Nick Halfhide</w:t>
            </w:r>
          </w:p>
        </w:tc>
        <w:tc>
          <w:tcPr>
            <w:tcW w:w="1134" w:type="dxa"/>
            <w:shd w:val="clear" w:color="auto" w:fill="9BBB59" w:themeFill="accent3"/>
            <w:vAlign w:val="center"/>
          </w:tcPr>
          <w:p w14:paraId="585747AE" w14:textId="77777777" w:rsidR="00AB0F0E" w:rsidRPr="000774DA" w:rsidRDefault="000774DA" w:rsidP="000774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rPr>
            </w:pPr>
            <w:r>
              <w:rPr>
                <w:rFonts w:ascii="Calibri" w:hAnsi="Calibri" w:cs="Calibri"/>
                <w:b/>
                <w:sz w:val="24"/>
                <w:szCs w:val="24"/>
              </w:rPr>
              <w:t>GREEN</w:t>
            </w:r>
          </w:p>
        </w:tc>
        <w:tc>
          <w:tcPr>
            <w:tcW w:w="8183" w:type="dxa"/>
            <w:vAlign w:val="center"/>
          </w:tcPr>
          <w:p w14:paraId="2765B907" w14:textId="77777777" w:rsidR="00AB0F0E" w:rsidRPr="00A86FD0" w:rsidRDefault="00FE4730">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86FD0">
              <w:rPr>
                <w:rFonts w:ascii="Calibri" w:hAnsi="Calibri" w:cs="Calibri"/>
                <w:sz w:val="24"/>
                <w:szCs w:val="24"/>
              </w:rPr>
              <w:t xml:space="preserve">Publication of refresh of NatureScot action plan - </w:t>
            </w:r>
            <w:hyperlink r:id="rId38" w:history="1">
              <w:r w:rsidRPr="00A86FD0">
                <w:rPr>
                  <w:rStyle w:val="Hyperlink"/>
                  <w:rFonts w:ascii="Calibri" w:hAnsi="Calibri" w:cs="Calibri"/>
                  <w:sz w:val="24"/>
                  <w:szCs w:val="24"/>
                </w:rPr>
                <w:t>https://www.nature.scot/doc/nature-based-jobs-and-skills-action-plan-2022-2023</w:t>
              </w:r>
            </w:hyperlink>
            <w:r w:rsidRPr="00A86FD0">
              <w:rPr>
                <w:rFonts w:ascii="Calibri" w:hAnsi="Calibri" w:cs="Calibri"/>
                <w:sz w:val="24"/>
                <w:szCs w:val="24"/>
              </w:rPr>
              <w:t>; evaluation of working with rivers skills programme completed and next stage of work scoped; input made to  review of  land based learning; scoping of peatland restoration skills action plan</w:t>
            </w:r>
          </w:p>
        </w:tc>
      </w:tr>
    </w:tbl>
    <w:p w14:paraId="09DA08AA" w14:textId="77777777" w:rsidR="0099541D" w:rsidRDefault="0099541D" w:rsidP="00B72D3E">
      <w:pPr>
        <w:pStyle w:val="Heading2"/>
        <w:shd w:val="clear" w:color="auto" w:fill="007DC3"/>
        <w:spacing w:after="0"/>
        <w:jc w:val="center"/>
        <w:rPr>
          <w:rFonts w:ascii="Calibri" w:hAnsi="Calibri" w:cs="Calibri"/>
          <w:sz w:val="24"/>
        </w:rPr>
      </w:pPr>
    </w:p>
    <w:p w14:paraId="0C8B0E7E" w14:textId="77777777" w:rsidR="0099541D" w:rsidRDefault="0099541D">
      <w:pPr>
        <w:spacing w:after="160" w:line="259" w:lineRule="auto"/>
        <w:rPr>
          <w:rFonts w:ascii="Calibri" w:eastAsiaTheme="majorEastAsia" w:hAnsi="Calibri" w:cs="Calibri"/>
          <w:b/>
          <w:sz w:val="24"/>
          <w:szCs w:val="26"/>
        </w:rPr>
      </w:pPr>
      <w:r>
        <w:rPr>
          <w:rFonts w:ascii="Calibri" w:hAnsi="Calibri" w:cs="Calibri"/>
          <w:sz w:val="24"/>
        </w:rPr>
        <w:br w:type="page"/>
      </w:r>
    </w:p>
    <w:p w14:paraId="4DB7BC1C" w14:textId="77777777" w:rsidR="00B72D3E" w:rsidRPr="00675DB4" w:rsidRDefault="00B72D3E" w:rsidP="00B72D3E">
      <w:pPr>
        <w:pStyle w:val="Heading2"/>
        <w:shd w:val="clear" w:color="auto" w:fill="007DC3"/>
        <w:spacing w:after="0"/>
        <w:jc w:val="center"/>
        <w:rPr>
          <w:rFonts w:ascii="Calibri" w:hAnsi="Calibri" w:cs="Calibri"/>
          <w:sz w:val="24"/>
        </w:rPr>
      </w:pPr>
      <w:r>
        <w:rPr>
          <w:rFonts w:ascii="Calibri" w:hAnsi="Calibri" w:cs="Calibri"/>
          <w:sz w:val="24"/>
        </w:rPr>
        <w:lastRenderedPageBreak/>
        <w:t>WE HAVE TRANSFORMED HOW WE WORK</w:t>
      </w:r>
    </w:p>
    <w:tbl>
      <w:tblPr>
        <w:tblStyle w:val="PlainTabl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E HAVE TRANSFORMED HOW WE WORK Q1 UPDATE"/>
      </w:tblPr>
      <w:tblGrid>
        <w:gridCol w:w="3686"/>
        <w:gridCol w:w="1559"/>
        <w:gridCol w:w="1134"/>
        <w:gridCol w:w="8183"/>
      </w:tblGrid>
      <w:tr w:rsidR="00AB0F0E" w:rsidRPr="0091136A" w14:paraId="79894D33" w14:textId="77777777" w:rsidTr="0099541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1CB84AD3" w14:textId="77777777" w:rsidR="00AB0F0E" w:rsidRPr="0091136A" w:rsidRDefault="00AB0F0E" w:rsidP="00644AA9">
            <w:pPr>
              <w:jc w:val="center"/>
              <w:rPr>
                <w:rFonts w:ascii="Calibri" w:hAnsi="Calibri" w:cs="Calibri"/>
                <w:sz w:val="24"/>
                <w:szCs w:val="26"/>
              </w:rPr>
            </w:pPr>
            <w:r w:rsidRPr="0091136A">
              <w:rPr>
                <w:rFonts w:ascii="Calibri" w:hAnsi="Calibri" w:cs="Calibri"/>
                <w:sz w:val="24"/>
                <w:szCs w:val="26"/>
              </w:rPr>
              <w:t>CORPORATE PLAN OBJECTIVE</w:t>
            </w:r>
          </w:p>
        </w:tc>
        <w:tc>
          <w:tcPr>
            <w:tcW w:w="1559" w:type="dxa"/>
            <w:vAlign w:val="center"/>
          </w:tcPr>
          <w:p w14:paraId="651B5385" w14:textId="77777777" w:rsidR="00AB0F0E" w:rsidRPr="0091136A" w:rsidRDefault="00AB0F0E" w:rsidP="00644A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sidRPr="0091136A">
              <w:rPr>
                <w:rFonts w:ascii="Calibri" w:hAnsi="Calibri" w:cs="Calibri"/>
                <w:sz w:val="24"/>
                <w:szCs w:val="26"/>
              </w:rPr>
              <w:t>SLT LEAD</w:t>
            </w:r>
          </w:p>
        </w:tc>
        <w:tc>
          <w:tcPr>
            <w:tcW w:w="1134" w:type="dxa"/>
            <w:vAlign w:val="center"/>
          </w:tcPr>
          <w:p w14:paraId="64601178" w14:textId="77777777" w:rsidR="00AB0F0E" w:rsidRPr="0091136A" w:rsidRDefault="00AB0F0E" w:rsidP="00644A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sidRPr="0091136A">
              <w:rPr>
                <w:rFonts w:ascii="Calibri" w:hAnsi="Calibri" w:cs="Calibri"/>
                <w:sz w:val="24"/>
                <w:szCs w:val="26"/>
              </w:rPr>
              <w:t>RAG SCORE</w:t>
            </w:r>
          </w:p>
        </w:tc>
        <w:tc>
          <w:tcPr>
            <w:tcW w:w="8183" w:type="dxa"/>
            <w:vAlign w:val="center"/>
          </w:tcPr>
          <w:p w14:paraId="548B27F9" w14:textId="77777777" w:rsidR="00AB0F0E" w:rsidRPr="0091136A" w:rsidRDefault="00AB0F0E" w:rsidP="00644A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sidRPr="0091136A">
              <w:rPr>
                <w:rFonts w:ascii="Calibri" w:hAnsi="Calibri" w:cs="Calibri"/>
                <w:sz w:val="24"/>
                <w:szCs w:val="26"/>
              </w:rPr>
              <w:t>Q1 UPDATE</w:t>
            </w:r>
          </w:p>
        </w:tc>
      </w:tr>
      <w:tr w:rsidR="00AB0F0E" w:rsidRPr="00AD014B" w14:paraId="1C1C08A9" w14:textId="77777777" w:rsidTr="0099541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363A440" w14:textId="77777777" w:rsidR="00AB0F0E" w:rsidRPr="00DC4223" w:rsidRDefault="00AB0F0E" w:rsidP="00644AA9">
            <w:pPr>
              <w:rPr>
                <w:rFonts w:ascii="Calibri" w:hAnsi="Calibri" w:cs="Calibri"/>
                <w:b w:val="0"/>
                <w:color w:val="000000"/>
                <w:sz w:val="24"/>
                <w:szCs w:val="24"/>
              </w:rPr>
            </w:pPr>
            <w:r w:rsidRPr="00DC4223">
              <w:rPr>
                <w:rFonts w:ascii="Calibri" w:hAnsi="Calibri" w:cs="Calibri"/>
                <w:b w:val="0"/>
                <w:color w:val="000000"/>
                <w:sz w:val="24"/>
                <w:szCs w:val="24"/>
              </w:rPr>
              <w:t>Deliver new ways of working to stimulate achievement of our ambitions</w:t>
            </w:r>
          </w:p>
        </w:tc>
        <w:tc>
          <w:tcPr>
            <w:tcW w:w="1559" w:type="dxa"/>
            <w:vAlign w:val="center"/>
          </w:tcPr>
          <w:p w14:paraId="40A0F581" w14:textId="77777777" w:rsidR="00AB0F0E" w:rsidRPr="00AD014B" w:rsidRDefault="00AB0F0E" w:rsidP="00644AA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AD014B">
              <w:rPr>
                <w:rFonts w:ascii="Calibri" w:hAnsi="Calibri" w:cs="Calibri"/>
                <w:color w:val="000000"/>
                <w:sz w:val="24"/>
                <w:szCs w:val="24"/>
              </w:rPr>
              <w:t>Jane</w:t>
            </w:r>
            <w:r>
              <w:rPr>
                <w:rFonts w:ascii="Calibri" w:hAnsi="Calibri" w:cs="Calibri"/>
                <w:color w:val="000000"/>
                <w:sz w:val="24"/>
                <w:szCs w:val="24"/>
              </w:rPr>
              <w:t xml:space="preserve"> Macdonald </w:t>
            </w:r>
          </w:p>
        </w:tc>
        <w:tc>
          <w:tcPr>
            <w:tcW w:w="1134" w:type="dxa"/>
            <w:shd w:val="clear" w:color="auto" w:fill="9BBB59" w:themeFill="accent3"/>
            <w:vAlign w:val="center"/>
          </w:tcPr>
          <w:p w14:paraId="79F72FED" w14:textId="77777777" w:rsidR="00AB0F0E" w:rsidRPr="00080817" w:rsidRDefault="00080817" w:rsidP="0008081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Pr>
                <w:rFonts w:ascii="Calibri" w:hAnsi="Calibri" w:cs="Calibri"/>
                <w:b/>
                <w:sz w:val="24"/>
                <w:szCs w:val="24"/>
              </w:rPr>
              <w:t>GREEN</w:t>
            </w:r>
          </w:p>
        </w:tc>
        <w:tc>
          <w:tcPr>
            <w:tcW w:w="8183" w:type="dxa"/>
            <w:vAlign w:val="center"/>
          </w:tcPr>
          <w:p w14:paraId="1AF67DAD" w14:textId="2B47EB18" w:rsidR="00FE4730" w:rsidRPr="00FE4730" w:rsidRDefault="00FE4730" w:rsidP="00FE4730">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E4730">
              <w:rPr>
                <w:rFonts w:ascii="Calibri" w:hAnsi="Calibri" w:cs="Calibri"/>
                <w:sz w:val="24"/>
                <w:szCs w:val="24"/>
              </w:rPr>
              <w:t>As people settle into their working preferences we are focusing attention on how hybrid working affects the workplace experience and what returning to our offices for those people that do so will look and feel like.  Alongside this we have been focusing on mental health, wellbeing, workload management and work-life balance through our pulse surveys, aud</w:t>
            </w:r>
            <w:r>
              <w:rPr>
                <w:rFonts w:ascii="Calibri" w:hAnsi="Calibri" w:cs="Calibri"/>
                <w:sz w:val="24"/>
                <w:szCs w:val="24"/>
              </w:rPr>
              <w:t>it programme and themed months.</w:t>
            </w:r>
          </w:p>
          <w:p w14:paraId="7D4022F2" w14:textId="1E65F162" w:rsidR="00FE4730" w:rsidRPr="00FE4730" w:rsidRDefault="00FE4730" w:rsidP="00FE4730">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E4730">
              <w:rPr>
                <w:rFonts w:ascii="Calibri" w:hAnsi="Calibri" w:cs="Calibri"/>
                <w:sz w:val="24"/>
                <w:szCs w:val="24"/>
              </w:rPr>
              <w:t>We are midway through our review of what our estate will need to look like in order to support our new ways of working</w:t>
            </w:r>
            <w:r w:rsidR="00120ED1">
              <w:rPr>
                <w:rFonts w:ascii="Calibri" w:hAnsi="Calibri" w:cs="Calibri"/>
                <w:sz w:val="24"/>
                <w:szCs w:val="24"/>
              </w:rPr>
              <w:t>, and underpin our net zero ambitions</w:t>
            </w:r>
            <w:r w:rsidRPr="00FE4730">
              <w:rPr>
                <w:rFonts w:ascii="Calibri" w:hAnsi="Calibri" w:cs="Calibri"/>
                <w:sz w:val="24"/>
                <w:szCs w:val="24"/>
              </w:rPr>
              <w:t xml:space="preserve">. This review </w:t>
            </w:r>
            <w:r w:rsidR="00120ED1">
              <w:rPr>
                <w:rFonts w:ascii="Calibri" w:hAnsi="Calibri" w:cs="Calibri"/>
                <w:sz w:val="24"/>
                <w:szCs w:val="24"/>
              </w:rPr>
              <w:t>will inform</w:t>
            </w:r>
            <w:r w:rsidRPr="00FE4730">
              <w:rPr>
                <w:rFonts w:ascii="Calibri" w:hAnsi="Calibri" w:cs="Calibri"/>
                <w:sz w:val="24"/>
                <w:szCs w:val="24"/>
              </w:rPr>
              <w:t xml:space="preserve"> investment decisions on net-zero implementation plans. Work on the reduced footprint and space sharing with Scottish Enterprise at our Clydebank offic</w:t>
            </w:r>
            <w:r>
              <w:rPr>
                <w:rFonts w:ascii="Calibri" w:hAnsi="Calibri" w:cs="Calibri"/>
                <w:sz w:val="24"/>
                <w:szCs w:val="24"/>
              </w:rPr>
              <w:t xml:space="preserve">e is progressing well.  </w:t>
            </w:r>
          </w:p>
          <w:p w14:paraId="20899A99" w14:textId="77777777" w:rsidR="00FE4730" w:rsidRPr="00FE4730" w:rsidRDefault="00FE4730" w:rsidP="00FE4730">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E4730">
              <w:rPr>
                <w:rFonts w:ascii="Calibri" w:hAnsi="Calibri" w:cs="Calibri"/>
                <w:sz w:val="24"/>
                <w:szCs w:val="24"/>
              </w:rPr>
              <w:t xml:space="preserve">Further significant milestones have been realised in ensuring ongoing connectivity, with Email cloud migration substantially complete (&lt;10 accounts are requiring additional intervention); the launch of our new Intranet and Yammer to further collaborative working; purchase and roll-out of over 400 new mobile devices for our Company Owned Personally Enabled (COPE) enterprise mobility model. We are also making substantive progress on soft-phones whereby calls will be made and received through </w:t>
            </w:r>
            <w:proofErr w:type="spellStart"/>
            <w:r w:rsidRPr="00FE4730">
              <w:rPr>
                <w:rFonts w:ascii="Calibri" w:hAnsi="Calibri" w:cs="Calibri"/>
                <w:sz w:val="24"/>
                <w:szCs w:val="24"/>
              </w:rPr>
              <w:t>MSTeams</w:t>
            </w:r>
            <w:proofErr w:type="spellEnd"/>
            <w:r w:rsidRPr="00FE4730">
              <w:rPr>
                <w:rFonts w:ascii="Calibri" w:hAnsi="Calibri" w:cs="Calibri"/>
                <w:sz w:val="24"/>
                <w:szCs w:val="24"/>
              </w:rPr>
              <w:t xml:space="preserve"> enabling significant s</w:t>
            </w:r>
            <w:r>
              <w:rPr>
                <w:rFonts w:ascii="Calibri" w:hAnsi="Calibri" w:cs="Calibri"/>
                <w:sz w:val="24"/>
                <w:szCs w:val="24"/>
              </w:rPr>
              <w:t xml:space="preserve">avings on our telephony costs. </w:t>
            </w:r>
          </w:p>
          <w:p w14:paraId="59FC9CA6" w14:textId="77777777" w:rsidR="00FE4730" w:rsidRPr="00FE4730" w:rsidRDefault="00FE4730" w:rsidP="00FE4730">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E4730">
              <w:rPr>
                <w:rFonts w:ascii="Calibri" w:hAnsi="Calibri" w:cs="Calibri"/>
                <w:sz w:val="24"/>
                <w:szCs w:val="24"/>
              </w:rPr>
              <w:t xml:space="preserve">We have now signed off our “Innovate for Nature” strategic partnership with </w:t>
            </w:r>
            <w:proofErr w:type="spellStart"/>
            <w:r w:rsidRPr="00FE4730">
              <w:rPr>
                <w:rFonts w:ascii="Calibri" w:hAnsi="Calibri" w:cs="Calibri"/>
                <w:sz w:val="24"/>
                <w:szCs w:val="24"/>
              </w:rPr>
              <w:t>CivTech</w:t>
            </w:r>
            <w:proofErr w:type="spellEnd"/>
            <w:r w:rsidRPr="00FE4730">
              <w:rPr>
                <w:rFonts w:ascii="Calibri" w:hAnsi="Calibri" w:cs="Calibri"/>
                <w:sz w:val="24"/>
                <w:szCs w:val="24"/>
              </w:rPr>
              <w:t xml:space="preserve"> to identify challenges and work on solutions</w:t>
            </w:r>
            <w:r>
              <w:rPr>
                <w:rFonts w:ascii="Calibri" w:hAnsi="Calibri" w:cs="Calibri"/>
                <w:sz w:val="24"/>
                <w:szCs w:val="24"/>
              </w:rPr>
              <w:t xml:space="preserve"> using the </w:t>
            </w:r>
            <w:proofErr w:type="spellStart"/>
            <w:r>
              <w:rPr>
                <w:rFonts w:ascii="Calibri" w:hAnsi="Calibri" w:cs="Calibri"/>
                <w:sz w:val="24"/>
                <w:szCs w:val="24"/>
              </w:rPr>
              <w:t>CivTech</w:t>
            </w:r>
            <w:proofErr w:type="spellEnd"/>
            <w:r>
              <w:rPr>
                <w:rFonts w:ascii="Calibri" w:hAnsi="Calibri" w:cs="Calibri"/>
                <w:sz w:val="24"/>
                <w:szCs w:val="24"/>
              </w:rPr>
              <w:t xml:space="preserve"> Accelerator.</w:t>
            </w:r>
          </w:p>
          <w:p w14:paraId="4B126791" w14:textId="77777777" w:rsidR="00AB0F0E" w:rsidRPr="00AD014B" w:rsidRDefault="00FE4730" w:rsidP="00FE4730">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E4730">
              <w:rPr>
                <w:rFonts w:ascii="Calibri" w:hAnsi="Calibri" w:cs="Calibri"/>
                <w:sz w:val="24"/>
                <w:szCs w:val="24"/>
              </w:rPr>
              <w:t>We have appointed Graham Neville as O</w:t>
            </w:r>
            <w:r>
              <w:rPr>
                <w:rFonts w:ascii="Calibri" w:hAnsi="Calibri" w:cs="Calibri"/>
                <w:sz w:val="24"/>
                <w:szCs w:val="24"/>
              </w:rPr>
              <w:t xml:space="preserve">rganisational </w:t>
            </w:r>
            <w:r w:rsidRPr="00FE4730">
              <w:rPr>
                <w:rFonts w:ascii="Calibri" w:hAnsi="Calibri" w:cs="Calibri"/>
                <w:sz w:val="24"/>
                <w:szCs w:val="24"/>
              </w:rPr>
              <w:t>D</w:t>
            </w:r>
            <w:r>
              <w:rPr>
                <w:rFonts w:ascii="Calibri" w:hAnsi="Calibri" w:cs="Calibri"/>
                <w:sz w:val="24"/>
                <w:szCs w:val="24"/>
              </w:rPr>
              <w:t>esign</w:t>
            </w:r>
            <w:r w:rsidRPr="00FE4730">
              <w:rPr>
                <w:rFonts w:ascii="Calibri" w:hAnsi="Calibri" w:cs="Calibri"/>
                <w:sz w:val="24"/>
                <w:szCs w:val="24"/>
              </w:rPr>
              <w:t xml:space="preserve"> Programme Manager to take forward implementation of our organisation design outcomes.  Generic role profiles have been drafted and will now be subject to review and engagement with E</w:t>
            </w:r>
            <w:r>
              <w:rPr>
                <w:rFonts w:ascii="Calibri" w:hAnsi="Calibri" w:cs="Calibri"/>
                <w:sz w:val="24"/>
                <w:szCs w:val="24"/>
              </w:rPr>
              <w:t xml:space="preserve">xtended </w:t>
            </w:r>
            <w:r w:rsidRPr="00FE4730">
              <w:rPr>
                <w:rFonts w:ascii="Calibri" w:hAnsi="Calibri" w:cs="Calibri"/>
                <w:sz w:val="24"/>
                <w:szCs w:val="24"/>
              </w:rPr>
              <w:t>L</w:t>
            </w:r>
            <w:r>
              <w:rPr>
                <w:rFonts w:ascii="Calibri" w:hAnsi="Calibri" w:cs="Calibri"/>
                <w:sz w:val="24"/>
                <w:szCs w:val="24"/>
              </w:rPr>
              <w:t xml:space="preserve">eadership </w:t>
            </w:r>
            <w:r w:rsidRPr="00FE4730">
              <w:rPr>
                <w:rFonts w:ascii="Calibri" w:hAnsi="Calibri" w:cs="Calibri"/>
                <w:sz w:val="24"/>
                <w:szCs w:val="24"/>
              </w:rPr>
              <w:t>T</w:t>
            </w:r>
            <w:r>
              <w:rPr>
                <w:rFonts w:ascii="Calibri" w:hAnsi="Calibri" w:cs="Calibri"/>
                <w:sz w:val="24"/>
                <w:szCs w:val="24"/>
              </w:rPr>
              <w:t>eam</w:t>
            </w:r>
            <w:r w:rsidRPr="00FE4730">
              <w:rPr>
                <w:rFonts w:ascii="Calibri" w:hAnsi="Calibri" w:cs="Calibri"/>
                <w:sz w:val="24"/>
                <w:szCs w:val="24"/>
              </w:rPr>
              <w:t xml:space="preserve"> colleagues and others.</w:t>
            </w:r>
          </w:p>
        </w:tc>
      </w:tr>
      <w:tr w:rsidR="00080817" w:rsidRPr="00AD014B" w14:paraId="11A6BEB0" w14:textId="77777777" w:rsidTr="0099541D">
        <w:trPr>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A84ECD8" w14:textId="77777777" w:rsidR="00080817" w:rsidRPr="00DC4223" w:rsidRDefault="00080817" w:rsidP="00080817">
            <w:pPr>
              <w:rPr>
                <w:rFonts w:ascii="Calibri" w:hAnsi="Calibri" w:cs="Calibri"/>
                <w:b w:val="0"/>
                <w:color w:val="000000"/>
                <w:sz w:val="24"/>
                <w:szCs w:val="24"/>
              </w:rPr>
            </w:pPr>
            <w:r w:rsidRPr="00DC4223">
              <w:rPr>
                <w:rFonts w:ascii="Calibri" w:hAnsi="Calibri" w:cs="Calibri"/>
                <w:b w:val="0"/>
                <w:color w:val="000000"/>
                <w:sz w:val="24"/>
                <w:szCs w:val="24"/>
              </w:rPr>
              <w:t>Transform our individual and collective leadership capability</w:t>
            </w:r>
          </w:p>
        </w:tc>
        <w:tc>
          <w:tcPr>
            <w:tcW w:w="1559" w:type="dxa"/>
            <w:vAlign w:val="center"/>
          </w:tcPr>
          <w:p w14:paraId="587F162D" w14:textId="77777777" w:rsidR="00080817" w:rsidRPr="00AD014B" w:rsidRDefault="00080817" w:rsidP="000808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AD014B">
              <w:rPr>
                <w:rFonts w:ascii="Calibri" w:hAnsi="Calibri" w:cs="Calibri"/>
                <w:color w:val="000000"/>
                <w:sz w:val="24"/>
                <w:szCs w:val="24"/>
              </w:rPr>
              <w:t>Jane</w:t>
            </w:r>
            <w:r>
              <w:rPr>
                <w:rFonts w:ascii="Calibri" w:hAnsi="Calibri" w:cs="Calibri"/>
                <w:color w:val="000000"/>
                <w:sz w:val="24"/>
                <w:szCs w:val="24"/>
              </w:rPr>
              <w:t xml:space="preserve"> Macdonald </w:t>
            </w:r>
          </w:p>
        </w:tc>
        <w:tc>
          <w:tcPr>
            <w:tcW w:w="1134" w:type="dxa"/>
            <w:shd w:val="clear" w:color="auto" w:fill="9BBB59" w:themeFill="accent3"/>
            <w:vAlign w:val="center"/>
          </w:tcPr>
          <w:p w14:paraId="1E8291FE" w14:textId="77777777" w:rsidR="00080817" w:rsidRPr="00AD014B" w:rsidRDefault="00080817" w:rsidP="0008081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b/>
                <w:sz w:val="24"/>
                <w:szCs w:val="24"/>
              </w:rPr>
              <w:t>GREEN</w:t>
            </w:r>
          </w:p>
        </w:tc>
        <w:tc>
          <w:tcPr>
            <w:tcW w:w="8183" w:type="dxa"/>
            <w:vAlign w:val="center"/>
          </w:tcPr>
          <w:p w14:paraId="1227885B" w14:textId="797AAFD0" w:rsidR="00080817" w:rsidRPr="00AD014B" w:rsidRDefault="00FE4730" w:rsidP="00120ED1">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E4730">
              <w:rPr>
                <w:rFonts w:ascii="Calibri" w:hAnsi="Calibri" w:cs="Calibri"/>
                <w:sz w:val="24"/>
                <w:szCs w:val="24"/>
              </w:rPr>
              <w:t xml:space="preserve">Draft People strategy has been produced, next stage is to engage on contents before it is finalised.  Learning </w:t>
            </w:r>
            <w:r w:rsidR="00120ED1">
              <w:rPr>
                <w:rFonts w:ascii="Calibri" w:hAnsi="Calibri" w:cs="Calibri"/>
                <w:sz w:val="24"/>
                <w:szCs w:val="24"/>
              </w:rPr>
              <w:t>F</w:t>
            </w:r>
            <w:r w:rsidRPr="00FE4730">
              <w:rPr>
                <w:rFonts w:ascii="Calibri" w:hAnsi="Calibri" w:cs="Calibri"/>
                <w:sz w:val="24"/>
                <w:szCs w:val="24"/>
              </w:rPr>
              <w:t>ramework has been published, however needs to be further promoted and 'launched' - this will happen during Q3.  Work has progressed on phase two of the leadership development programme, although</w:t>
            </w:r>
            <w:r w:rsidR="00120ED1">
              <w:rPr>
                <w:rFonts w:ascii="Calibri" w:hAnsi="Calibri" w:cs="Calibri"/>
                <w:sz w:val="24"/>
                <w:szCs w:val="24"/>
              </w:rPr>
              <w:t xml:space="preserve"> implementation</w:t>
            </w:r>
            <w:r w:rsidRPr="00FE4730">
              <w:rPr>
                <w:rFonts w:ascii="Calibri" w:hAnsi="Calibri" w:cs="Calibri"/>
                <w:sz w:val="24"/>
                <w:szCs w:val="24"/>
              </w:rPr>
              <w:t xml:space="preserve"> has slipped</w:t>
            </w:r>
            <w:r w:rsidR="00120ED1">
              <w:rPr>
                <w:rFonts w:ascii="Calibri" w:hAnsi="Calibri" w:cs="Calibri"/>
                <w:sz w:val="24"/>
                <w:szCs w:val="24"/>
              </w:rPr>
              <w:t>.</w:t>
            </w:r>
            <w:r w:rsidRPr="00FE4730">
              <w:rPr>
                <w:rFonts w:ascii="Calibri" w:hAnsi="Calibri" w:cs="Calibri"/>
                <w:sz w:val="24"/>
                <w:szCs w:val="24"/>
              </w:rPr>
              <w:t xml:space="preserve"> This will progress further during Q3.  </w:t>
            </w:r>
          </w:p>
        </w:tc>
      </w:tr>
      <w:tr w:rsidR="00080817" w:rsidRPr="00AD014B" w14:paraId="03973B78" w14:textId="77777777" w:rsidTr="0099541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4EE1F2F" w14:textId="77777777" w:rsidR="00080817" w:rsidRPr="00DC4223" w:rsidRDefault="00080817" w:rsidP="00080817">
            <w:pPr>
              <w:rPr>
                <w:rFonts w:ascii="Calibri" w:hAnsi="Calibri" w:cs="Calibri"/>
                <w:b w:val="0"/>
                <w:color w:val="000000"/>
                <w:sz w:val="24"/>
                <w:szCs w:val="24"/>
              </w:rPr>
            </w:pPr>
            <w:r w:rsidRPr="00DC4223">
              <w:rPr>
                <w:rFonts w:ascii="Calibri" w:hAnsi="Calibri" w:cs="Calibri"/>
                <w:b w:val="0"/>
                <w:color w:val="000000"/>
                <w:sz w:val="24"/>
                <w:szCs w:val="24"/>
              </w:rPr>
              <w:lastRenderedPageBreak/>
              <w:t>Sustain our focus on developing a happy and resilient workforce</w:t>
            </w:r>
          </w:p>
        </w:tc>
        <w:tc>
          <w:tcPr>
            <w:tcW w:w="1559" w:type="dxa"/>
            <w:vAlign w:val="center"/>
          </w:tcPr>
          <w:p w14:paraId="7E2F1F38" w14:textId="77777777" w:rsidR="00080817" w:rsidRPr="00AD014B" w:rsidRDefault="00080817" w:rsidP="000808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AD014B">
              <w:rPr>
                <w:rFonts w:ascii="Calibri" w:hAnsi="Calibri" w:cs="Calibri"/>
                <w:color w:val="000000"/>
                <w:sz w:val="24"/>
                <w:szCs w:val="24"/>
              </w:rPr>
              <w:t>Jane</w:t>
            </w:r>
            <w:r>
              <w:rPr>
                <w:rFonts w:ascii="Calibri" w:hAnsi="Calibri" w:cs="Calibri"/>
                <w:color w:val="000000"/>
                <w:sz w:val="24"/>
                <w:szCs w:val="24"/>
              </w:rPr>
              <w:t xml:space="preserve"> Macdonald </w:t>
            </w:r>
          </w:p>
        </w:tc>
        <w:tc>
          <w:tcPr>
            <w:tcW w:w="1134" w:type="dxa"/>
            <w:shd w:val="clear" w:color="auto" w:fill="9BBB59" w:themeFill="accent3"/>
            <w:vAlign w:val="center"/>
          </w:tcPr>
          <w:p w14:paraId="70CD9CAE" w14:textId="77777777" w:rsidR="00080817" w:rsidRPr="00AD014B" w:rsidRDefault="00080817" w:rsidP="0008081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Pr>
                <w:rFonts w:ascii="Calibri" w:hAnsi="Calibri" w:cs="Calibri"/>
                <w:b/>
                <w:sz w:val="24"/>
                <w:szCs w:val="24"/>
              </w:rPr>
              <w:t>GREEN</w:t>
            </w:r>
          </w:p>
        </w:tc>
        <w:tc>
          <w:tcPr>
            <w:tcW w:w="8183" w:type="dxa"/>
            <w:vAlign w:val="center"/>
          </w:tcPr>
          <w:p w14:paraId="1B00AA70" w14:textId="3D58D55D" w:rsidR="00080817" w:rsidRPr="00AD014B" w:rsidRDefault="00FE4730" w:rsidP="00080817">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E4730">
              <w:rPr>
                <w:rFonts w:ascii="Calibri" w:hAnsi="Calibri" w:cs="Calibri"/>
                <w:sz w:val="24"/>
                <w:szCs w:val="24"/>
              </w:rPr>
              <w:t>Review of P</w:t>
            </w:r>
            <w:r>
              <w:rPr>
                <w:rFonts w:ascii="Calibri" w:hAnsi="Calibri" w:cs="Calibri"/>
                <w:sz w:val="24"/>
                <w:szCs w:val="24"/>
              </w:rPr>
              <w:t xml:space="preserve">ersonal </w:t>
            </w:r>
            <w:r w:rsidRPr="00FE4730">
              <w:rPr>
                <w:rFonts w:ascii="Calibri" w:hAnsi="Calibri" w:cs="Calibri"/>
                <w:sz w:val="24"/>
                <w:szCs w:val="24"/>
              </w:rPr>
              <w:t>D</w:t>
            </w:r>
            <w:r>
              <w:rPr>
                <w:rFonts w:ascii="Calibri" w:hAnsi="Calibri" w:cs="Calibri"/>
                <w:sz w:val="24"/>
                <w:szCs w:val="24"/>
              </w:rPr>
              <w:t xml:space="preserve">evelopment </w:t>
            </w:r>
            <w:r w:rsidRPr="00FE4730">
              <w:rPr>
                <w:rFonts w:ascii="Calibri" w:hAnsi="Calibri" w:cs="Calibri"/>
                <w:sz w:val="24"/>
                <w:szCs w:val="24"/>
              </w:rPr>
              <w:t>C</w:t>
            </w:r>
            <w:r>
              <w:rPr>
                <w:rFonts w:ascii="Calibri" w:hAnsi="Calibri" w:cs="Calibri"/>
                <w:sz w:val="24"/>
                <w:szCs w:val="24"/>
              </w:rPr>
              <w:t>onversations (PDC)</w:t>
            </w:r>
            <w:r w:rsidRPr="00FE4730">
              <w:rPr>
                <w:rFonts w:ascii="Calibri" w:hAnsi="Calibri" w:cs="Calibri"/>
                <w:sz w:val="24"/>
                <w:szCs w:val="24"/>
              </w:rPr>
              <w:t xml:space="preserve"> process is underway and consultation is taking place with other NatureScot Way groups (along with linking to results from latest pulse surveys, workload management and prioritisation audit report to incorporate into the review) Aligned with this</w:t>
            </w:r>
            <w:r w:rsidR="00120ED1">
              <w:rPr>
                <w:rFonts w:ascii="Calibri" w:hAnsi="Calibri" w:cs="Calibri"/>
                <w:sz w:val="24"/>
                <w:szCs w:val="24"/>
              </w:rPr>
              <w:t>,</w:t>
            </w:r>
            <w:r w:rsidRPr="00FE4730">
              <w:rPr>
                <w:rFonts w:ascii="Calibri" w:hAnsi="Calibri" w:cs="Calibri"/>
                <w:sz w:val="24"/>
                <w:szCs w:val="24"/>
              </w:rPr>
              <w:t xml:space="preserve"> work continues on</w:t>
            </w:r>
            <w:r w:rsidR="00120ED1">
              <w:rPr>
                <w:rFonts w:ascii="Calibri" w:hAnsi="Calibri" w:cs="Calibri"/>
                <w:sz w:val="24"/>
                <w:szCs w:val="24"/>
              </w:rPr>
              <w:t xml:space="preserve"> our</w:t>
            </w:r>
            <w:r w:rsidRPr="00FE4730">
              <w:rPr>
                <w:rFonts w:ascii="Calibri" w:hAnsi="Calibri" w:cs="Calibri"/>
                <w:sz w:val="24"/>
                <w:szCs w:val="24"/>
              </w:rPr>
              <w:t xml:space="preserve"> coaching and mentoring approach.  </w:t>
            </w:r>
            <w:r w:rsidR="00120ED1">
              <w:rPr>
                <w:rFonts w:ascii="Calibri" w:hAnsi="Calibri" w:cs="Calibri"/>
                <w:sz w:val="24"/>
                <w:szCs w:val="24"/>
              </w:rPr>
              <w:t xml:space="preserve">The </w:t>
            </w:r>
            <w:r w:rsidRPr="00FE4730">
              <w:rPr>
                <w:rFonts w:ascii="Calibri" w:hAnsi="Calibri" w:cs="Calibri"/>
                <w:sz w:val="24"/>
                <w:szCs w:val="24"/>
              </w:rPr>
              <w:t>E</w:t>
            </w:r>
            <w:r>
              <w:rPr>
                <w:rFonts w:ascii="Calibri" w:hAnsi="Calibri" w:cs="Calibri"/>
                <w:sz w:val="24"/>
                <w:szCs w:val="24"/>
              </w:rPr>
              <w:t xml:space="preserve">mployee </w:t>
            </w:r>
            <w:r w:rsidRPr="00FE4730">
              <w:rPr>
                <w:rFonts w:ascii="Calibri" w:hAnsi="Calibri" w:cs="Calibri"/>
                <w:sz w:val="24"/>
                <w:szCs w:val="24"/>
              </w:rPr>
              <w:t>A</w:t>
            </w:r>
            <w:r>
              <w:rPr>
                <w:rFonts w:ascii="Calibri" w:hAnsi="Calibri" w:cs="Calibri"/>
                <w:sz w:val="24"/>
                <w:szCs w:val="24"/>
              </w:rPr>
              <w:t xml:space="preserve">ssistance </w:t>
            </w:r>
            <w:r w:rsidRPr="00FE4730">
              <w:rPr>
                <w:rFonts w:ascii="Calibri" w:hAnsi="Calibri" w:cs="Calibri"/>
                <w:sz w:val="24"/>
                <w:szCs w:val="24"/>
              </w:rPr>
              <w:t>P</w:t>
            </w:r>
            <w:r>
              <w:rPr>
                <w:rFonts w:ascii="Calibri" w:hAnsi="Calibri" w:cs="Calibri"/>
                <w:sz w:val="24"/>
                <w:szCs w:val="24"/>
              </w:rPr>
              <w:t>rogramme (EAP)</w:t>
            </w:r>
            <w:r w:rsidRPr="00FE4730">
              <w:rPr>
                <w:rFonts w:ascii="Calibri" w:hAnsi="Calibri" w:cs="Calibri"/>
                <w:sz w:val="24"/>
                <w:szCs w:val="24"/>
              </w:rPr>
              <w:t xml:space="preserve"> review will now take place in Q3.  </w:t>
            </w:r>
          </w:p>
        </w:tc>
      </w:tr>
    </w:tbl>
    <w:p w14:paraId="5BD12796" w14:textId="77777777" w:rsidR="00B72D3E" w:rsidRPr="001D66FE" w:rsidRDefault="00B72D3E" w:rsidP="00B72D3E"/>
    <w:p w14:paraId="01E879CA" w14:textId="53C703EA" w:rsidR="00AB0F0E" w:rsidRDefault="0082698A" w:rsidP="00AB0F0E">
      <w:pPr>
        <w:pStyle w:val="ListParagraph"/>
        <w:numPr>
          <w:ilvl w:val="0"/>
          <w:numId w:val="4"/>
        </w:numPr>
        <w:spacing w:after="200" w:line="276" w:lineRule="auto"/>
        <w:rPr>
          <w:rFonts w:ascii="Calibri" w:eastAsia="Calibri" w:hAnsi="Calibri" w:cs="Calibri"/>
          <w:sz w:val="24"/>
          <w:szCs w:val="24"/>
        </w:rPr>
      </w:pPr>
      <w:r w:rsidRPr="00FE4730">
        <w:rPr>
          <w:rFonts w:ascii="Calibri" w:eastAsia="Calibri" w:hAnsi="Calibri" w:cs="Calibri"/>
          <w:sz w:val="24"/>
          <w:szCs w:val="24"/>
        </w:rPr>
        <w:t xml:space="preserve">Over the last quarter we </w:t>
      </w:r>
      <w:r w:rsidR="0091136A" w:rsidRPr="00FE4730">
        <w:rPr>
          <w:rFonts w:ascii="Calibri" w:eastAsia="Calibri" w:hAnsi="Calibri" w:cs="Calibri"/>
          <w:sz w:val="24"/>
          <w:szCs w:val="24"/>
        </w:rPr>
        <w:t>are on track to achieve</w:t>
      </w:r>
      <w:r w:rsidRPr="00FE4730">
        <w:rPr>
          <w:rFonts w:ascii="Calibri" w:eastAsia="Calibri" w:hAnsi="Calibri" w:cs="Calibri"/>
          <w:sz w:val="24"/>
          <w:szCs w:val="24"/>
        </w:rPr>
        <w:t xml:space="preserve"> </w:t>
      </w:r>
      <w:r w:rsidR="0081514E" w:rsidRPr="00FE4730">
        <w:rPr>
          <w:rFonts w:ascii="Calibri" w:eastAsia="Calibri" w:hAnsi="Calibri" w:cs="Calibri"/>
          <w:sz w:val="24"/>
          <w:szCs w:val="24"/>
        </w:rPr>
        <w:t>1</w:t>
      </w:r>
      <w:r w:rsidR="00123F33">
        <w:rPr>
          <w:rFonts w:ascii="Calibri" w:eastAsia="Calibri" w:hAnsi="Calibri" w:cs="Calibri"/>
          <w:sz w:val="24"/>
          <w:szCs w:val="24"/>
        </w:rPr>
        <w:t>4</w:t>
      </w:r>
      <w:r w:rsidR="00AB0F0E" w:rsidRPr="00FE4730">
        <w:rPr>
          <w:rFonts w:ascii="Calibri" w:eastAsia="Calibri" w:hAnsi="Calibri" w:cs="Calibri"/>
          <w:sz w:val="24"/>
          <w:szCs w:val="24"/>
        </w:rPr>
        <w:t xml:space="preserve"> out of the 15 Corporate Plan objectives</w:t>
      </w:r>
      <w:r w:rsidR="000C2277" w:rsidRPr="00FE4730">
        <w:rPr>
          <w:rFonts w:ascii="Calibri" w:eastAsia="Calibri" w:hAnsi="Calibri" w:cs="Calibri"/>
          <w:sz w:val="24"/>
          <w:szCs w:val="24"/>
        </w:rPr>
        <w:t>, the reasons for the slippage can be noted in the above tables</w:t>
      </w:r>
      <w:r w:rsidR="00AB0F0E" w:rsidRPr="00FE4730">
        <w:rPr>
          <w:rFonts w:ascii="Calibri" w:eastAsia="Calibri" w:hAnsi="Calibri" w:cs="Calibri"/>
          <w:sz w:val="24"/>
          <w:szCs w:val="24"/>
        </w:rPr>
        <w:t>.  The</w:t>
      </w:r>
      <w:r w:rsidR="0091136A" w:rsidRPr="00FE4730">
        <w:rPr>
          <w:rFonts w:ascii="Calibri" w:eastAsia="Calibri" w:hAnsi="Calibri" w:cs="Calibri"/>
          <w:sz w:val="24"/>
          <w:szCs w:val="24"/>
        </w:rPr>
        <w:t xml:space="preserve">re </w:t>
      </w:r>
      <w:r w:rsidR="00123F33">
        <w:rPr>
          <w:rFonts w:ascii="Calibri" w:eastAsia="Calibri" w:hAnsi="Calibri" w:cs="Calibri"/>
          <w:sz w:val="24"/>
          <w:szCs w:val="24"/>
        </w:rPr>
        <w:t>is only one objective marked as red at this point</w:t>
      </w:r>
      <w:r w:rsidR="00AB0F0E" w:rsidRPr="00FE4730">
        <w:rPr>
          <w:rFonts w:ascii="Calibri" w:eastAsia="Calibri" w:hAnsi="Calibri" w:cs="Calibri"/>
          <w:sz w:val="24"/>
          <w:szCs w:val="24"/>
        </w:rPr>
        <w:t>:</w:t>
      </w:r>
      <w:r w:rsidR="00AB0F0E" w:rsidRPr="00FE4730">
        <w:rPr>
          <w:rFonts w:ascii="Calibri" w:eastAsia="Calibri" w:hAnsi="Calibri" w:cs="Calibri"/>
          <w:sz w:val="24"/>
          <w:szCs w:val="24"/>
        </w:rPr>
        <w:tab/>
      </w:r>
    </w:p>
    <w:p w14:paraId="4E94FB1F" w14:textId="77777777" w:rsidR="00FE4730" w:rsidRPr="00FE4730" w:rsidRDefault="00FE4730" w:rsidP="00FE4730">
      <w:pPr>
        <w:pStyle w:val="ListParagraph"/>
        <w:numPr>
          <w:ilvl w:val="1"/>
          <w:numId w:val="4"/>
        </w:numPr>
        <w:spacing w:after="200" w:line="276" w:lineRule="auto"/>
        <w:rPr>
          <w:rFonts w:ascii="Calibri" w:eastAsia="Calibri" w:hAnsi="Calibri" w:cs="Calibri"/>
          <w:sz w:val="24"/>
          <w:szCs w:val="24"/>
        </w:rPr>
      </w:pPr>
      <w:r w:rsidRPr="00FE4730">
        <w:rPr>
          <w:rFonts w:ascii="Calibri" w:hAnsi="Calibri" w:cs="Calibri"/>
          <w:color w:val="000000"/>
          <w:sz w:val="24"/>
          <w:szCs w:val="24"/>
        </w:rPr>
        <w:t>Scale up Peatland Restoration by delivering Peatland ACTION funding to projects</w:t>
      </w:r>
    </w:p>
    <w:p w14:paraId="4472ABB5" w14:textId="77777777" w:rsidR="00FE4730" w:rsidRDefault="00FE4730" w:rsidP="00FE4730">
      <w:pPr>
        <w:pStyle w:val="ListParagraph"/>
        <w:numPr>
          <w:ilvl w:val="2"/>
          <w:numId w:val="4"/>
        </w:numPr>
        <w:spacing w:after="200" w:line="276" w:lineRule="auto"/>
        <w:rPr>
          <w:rFonts w:ascii="Calibri" w:eastAsia="Calibri" w:hAnsi="Calibri" w:cs="Calibri"/>
          <w:sz w:val="24"/>
          <w:szCs w:val="24"/>
        </w:rPr>
      </w:pPr>
      <w:r w:rsidRPr="00FE4730">
        <w:rPr>
          <w:rFonts w:ascii="Calibri" w:eastAsia="Calibri" w:hAnsi="Calibri" w:cs="Calibri"/>
          <w:sz w:val="24"/>
          <w:szCs w:val="24"/>
        </w:rPr>
        <w:t>As a result of: limited demands for restoration/funds; slow speed of Peatland Code verification and PDR processes; perceived constraint of limited operating season; and limited contractor capacity,  we are projecting an outturn of ~ 5,866 ha for 2022/23, less than the target of 8,800 hectares</w:t>
      </w:r>
    </w:p>
    <w:p w14:paraId="6073AD15" w14:textId="20E4B323" w:rsidR="00FE4730" w:rsidRPr="00123F33" w:rsidRDefault="00FE4730" w:rsidP="00123F33">
      <w:pPr>
        <w:pStyle w:val="ListParagraph"/>
        <w:numPr>
          <w:ilvl w:val="1"/>
          <w:numId w:val="4"/>
        </w:numPr>
        <w:spacing w:after="200" w:line="276" w:lineRule="auto"/>
        <w:rPr>
          <w:rFonts w:ascii="Calibri" w:eastAsia="Calibri" w:hAnsi="Calibri" w:cs="Calibri"/>
          <w:sz w:val="24"/>
          <w:szCs w:val="24"/>
        </w:rPr>
        <w:sectPr w:rsidR="00FE4730" w:rsidRPr="00123F33" w:rsidSect="00AB0F0E">
          <w:pgSz w:w="16840" w:h="11907" w:orient="landscape" w:code="9"/>
          <w:pgMar w:top="567" w:right="1134" w:bottom="567" w:left="1134" w:header="709" w:footer="709" w:gutter="0"/>
          <w:cols w:space="708"/>
          <w:docGrid w:linePitch="360"/>
        </w:sectPr>
      </w:pPr>
    </w:p>
    <w:p w14:paraId="0EBD9A12" w14:textId="77777777" w:rsidR="00E147E3" w:rsidRPr="00670ABC" w:rsidRDefault="00E147E3" w:rsidP="00E147E3">
      <w:pPr>
        <w:pStyle w:val="Heading2"/>
        <w:rPr>
          <w:rFonts w:ascii="Calibri" w:hAnsi="Calibri" w:cs="Calibri"/>
          <w:color w:val="5E8CC0"/>
          <w:sz w:val="24"/>
        </w:rPr>
      </w:pPr>
      <w:r w:rsidRPr="00670ABC">
        <w:rPr>
          <w:rFonts w:ascii="Calibri" w:hAnsi="Calibri" w:cs="Calibri"/>
          <w:color w:val="5E8CC0"/>
          <w:sz w:val="24"/>
        </w:rPr>
        <w:lastRenderedPageBreak/>
        <w:t>FINANCE</w:t>
      </w:r>
    </w:p>
    <w:tbl>
      <w:tblPr>
        <w:tblW w:w="9889" w:type="dxa"/>
        <w:tblCellMar>
          <w:left w:w="0" w:type="dxa"/>
          <w:right w:w="0" w:type="dxa"/>
        </w:tblCellMar>
        <w:tblLook w:val="0420" w:firstRow="1" w:lastRow="0" w:firstColumn="0" w:lastColumn="0" w:noHBand="0" w:noVBand="1"/>
      </w:tblPr>
      <w:tblGrid>
        <w:gridCol w:w="2080"/>
        <w:gridCol w:w="2388"/>
        <w:gridCol w:w="1132"/>
        <w:gridCol w:w="1189"/>
        <w:gridCol w:w="1399"/>
        <w:gridCol w:w="1701"/>
      </w:tblGrid>
      <w:tr w:rsidR="00E147E3" w:rsidRPr="00560E81" w14:paraId="04F0964B" w14:textId="77777777" w:rsidTr="00D14415">
        <w:trPr>
          <w:trHeight w:val="584"/>
        </w:trPr>
        <w:tc>
          <w:tcPr>
            <w:tcW w:w="2080"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1ACC52FF" w14:textId="77777777" w:rsidR="00E147E3" w:rsidRPr="00560E81" w:rsidRDefault="00E147E3" w:rsidP="00D14415">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Financial Metrics (£m)</w:t>
            </w:r>
          </w:p>
        </w:tc>
        <w:tc>
          <w:tcPr>
            <w:tcW w:w="2388"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2B98CBCB" w14:textId="77777777" w:rsidR="00E147E3" w:rsidRPr="00560E81" w:rsidRDefault="00E147E3" w:rsidP="00D14415">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Measure</w:t>
            </w:r>
          </w:p>
        </w:tc>
        <w:tc>
          <w:tcPr>
            <w:tcW w:w="1132"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1FCEE558" w14:textId="77777777" w:rsidR="00E147E3" w:rsidRPr="00560E81" w:rsidRDefault="00E147E3" w:rsidP="00D14415">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Budget</w:t>
            </w:r>
          </w:p>
        </w:tc>
        <w:tc>
          <w:tcPr>
            <w:tcW w:w="1189"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5F411617" w14:textId="77777777" w:rsidR="00E147E3" w:rsidRPr="00560E81" w:rsidRDefault="00E147E3" w:rsidP="00D14415">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Forecast</w:t>
            </w:r>
          </w:p>
        </w:tc>
        <w:tc>
          <w:tcPr>
            <w:tcW w:w="1399"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5EF9683D" w14:textId="77777777" w:rsidR="00E147E3" w:rsidRPr="00560E81" w:rsidRDefault="00E147E3" w:rsidP="00D14415">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Variance</w:t>
            </w:r>
          </w:p>
        </w:tc>
        <w:tc>
          <w:tcPr>
            <w:tcW w:w="1701"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2120DDFA" w14:textId="77777777" w:rsidR="00E147E3" w:rsidRPr="00560E81" w:rsidRDefault="00E147E3" w:rsidP="00D14415">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Rating</w:t>
            </w:r>
          </w:p>
        </w:tc>
      </w:tr>
      <w:tr w:rsidR="00E147E3" w:rsidRPr="00560E81" w14:paraId="34D689BB" w14:textId="77777777" w:rsidTr="00D14415">
        <w:trPr>
          <w:trHeight w:val="584"/>
        </w:trPr>
        <w:tc>
          <w:tcPr>
            <w:tcW w:w="208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1CC25FE3" w14:textId="77777777" w:rsidR="00E147E3" w:rsidRPr="00560E81" w:rsidRDefault="00E147E3" w:rsidP="00D14415">
            <w:pPr>
              <w:jc w:val="center"/>
              <w:rPr>
                <w:rFonts w:ascii="Calibri" w:eastAsia="Times New Roman" w:hAnsi="Calibri" w:cs="Calibri"/>
                <w:sz w:val="24"/>
                <w:szCs w:val="24"/>
                <w:lang w:eastAsia="en-GB"/>
              </w:rPr>
            </w:pPr>
            <w:r>
              <w:rPr>
                <w:rFonts w:ascii="Calibri" w:eastAsia="Times New Roman" w:hAnsi="Calibri" w:cs="Calibri"/>
                <w:bCs/>
                <w:color w:val="000000" w:themeColor="dark1"/>
                <w:kern w:val="24"/>
                <w:sz w:val="24"/>
                <w:szCs w:val="24"/>
                <w:lang w:eastAsia="en-GB"/>
              </w:rPr>
              <w:t>Resource Budget</w:t>
            </w:r>
          </w:p>
        </w:tc>
        <w:tc>
          <w:tcPr>
            <w:tcW w:w="238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7E55A7C" w14:textId="77777777" w:rsidR="00E147E3" w:rsidRPr="00560E81" w:rsidRDefault="00E147E3" w:rsidP="00D14415">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Outturn within 1% of final budget</w:t>
            </w:r>
          </w:p>
        </w:tc>
        <w:tc>
          <w:tcPr>
            <w:tcW w:w="1132"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64CD2AC6" w14:textId="77777777" w:rsidR="00E147E3" w:rsidRPr="00560E81" w:rsidRDefault="00E147E3" w:rsidP="00D14415">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58.2</w:t>
            </w:r>
          </w:p>
        </w:tc>
        <w:tc>
          <w:tcPr>
            <w:tcW w:w="1189"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2DEEE511" w14:textId="77777777" w:rsidR="00E147E3" w:rsidRPr="00560E81" w:rsidRDefault="00E147E3" w:rsidP="00D14415">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58.8</w:t>
            </w:r>
          </w:p>
        </w:tc>
        <w:tc>
          <w:tcPr>
            <w:tcW w:w="1399"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40D68FAC" w14:textId="77777777" w:rsidR="00E147E3" w:rsidRPr="00560E81" w:rsidRDefault="00E147E3" w:rsidP="00D14415">
            <w:pPr>
              <w:jc w:val="center"/>
              <w:rPr>
                <w:rFonts w:ascii="Calibri" w:eastAsia="Times New Roman" w:hAnsi="Calibri" w:cs="Calibri"/>
                <w:sz w:val="24"/>
                <w:szCs w:val="24"/>
                <w:lang w:eastAsia="en-GB"/>
              </w:rPr>
            </w:pPr>
            <w:r w:rsidRPr="00CD5A77">
              <w:rPr>
                <w:rFonts w:ascii="Calibri" w:eastAsia="Times New Roman" w:hAnsi="Calibri" w:cs="Calibri"/>
                <w:color w:val="FF0000"/>
                <w:kern w:val="24"/>
                <w:sz w:val="24"/>
                <w:szCs w:val="24"/>
                <w:lang w:eastAsia="en-GB"/>
              </w:rPr>
              <w:t>(0.6)</w:t>
            </w:r>
          </w:p>
        </w:tc>
        <w:tc>
          <w:tcPr>
            <w:tcW w:w="1701"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025292CE" w14:textId="77777777" w:rsidR="00E147E3" w:rsidRPr="00560E81" w:rsidRDefault="00E147E3" w:rsidP="00D14415">
            <w:pPr>
              <w:jc w:val="center"/>
              <w:rPr>
                <w:rFonts w:ascii="Calibri" w:eastAsia="Times New Roman" w:hAnsi="Calibri" w:cs="Calibri"/>
                <w:sz w:val="24"/>
                <w:szCs w:val="24"/>
                <w:lang w:eastAsia="en-GB"/>
              </w:rPr>
            </w:pPr>
            <w:r w:rsidRPr="00560E81">
              <w:rPr>
                <w:rFonts w:ascii="Calibri" w:eastAsia="Times New Roman" w:hAnsi="Calibri" w:cs="Calibri"/>
                <w:b/>
                <w:bCs/>
                <w:color w:val="00B050"/>
                <w:kern w:val="24"/>
                <w:sz w:val="24"/>
                <w:szCs w:val="24"/>
                <w:lang w:eastAsia="en-GB"/>
              </w:rPr>
              <w:t>ON TRACK</w:t>
            </w:r>
          </w:p>
        </w:tc>
      </w:tr>
      <w:tr w:rsidR="00E147E3" w:rsidRPr="00560E81" w14:paraId="59C73B19" w14:textId="77777777" w:rsidTr="00D14415">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256E9AD0" w14:textId="77777777" w:rsidR="00E147E3" w:rsidRPr="00560E81" w:rsidRDefault="00E147E3" w:rsidP="00D14415">
            <w:pPr>
              <w:jc w:val="center"/>
              <w:rPr>
                <w:rFonts w:ascii="Calibri" w:eastAsia="Times New Roman" w:hAnsi="Calibri" w:cs="Calibri"/>
                <w:sz w:val="24"/>
                <w:szCs w:val="24"/>
                <w:lang w:eastAsia="en-GB"/>
              </w:rPr>
            </w:pPr>
            <w:r>
              <w:rPr>
                <w:rFonts w:ascii="Calibri" w:eastAsiaTheme="minorEastAsia" w:hAnsi="Calibri" w:cs="Calibri"/>
                <w:bCs/>
                <w:color w:val="000000" w:themeColor="dark1"/>
                <w:kern w:val="24"/>
                <w:sz w:val="24"/>
                <w:szCs w:val="24"/>
                <w:lang w:eastAsia="en-GB"/>
              </w:rPr>
              <w:t>Capital</w:t>
            </w:r>
          </w:p>
        </w:tc>
        <w:tc>
          <w:tcPr>
            <w:tcW w:w="238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F35D9CF" w14:textId="77777777" w:rsidR="00E147E3" w:rsidRPr="00560E81" w:rsidRDefault="00E147E3" w:rsidP="00D14415">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Outturn within 5</w:t>
            </w:r>
            <w:r w:rsidRPr="00560E81">
              <w:rPr>
                <w:rFonts w:ascii="Calibri" w:eastAsia="Times New Roman" w:hAnsi="Calibri" w:cs="Calibri"/>
                <w:color w:val="000000" w:themeColor="dark1"/>
                <w:kern w:val="24"/>
                <w:sz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6FF18F2C" w14:textId="77777777" w:rsidR="00E147E3" w:rsidRPr="00560E81" w:rsidRDefault="00E147E3" w:rsidP="00D14415">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1.8</w:t>
            </w:r>
          </w:p>
        </w:tc>
        <w:tc>
          <w:tcPr>
            <w:tcW w:w="118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210E74EF" w14:textId="77777777" w:rsidR="00E147E3" w:rsidRPr="00560E81" w:rsidRDefault="00E147E3" w:rsidP="00D14415">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1.8</w:t>
            </w:r>
          </w:p>
        </w:tc>
        <w:tc>
          <w:tcPr>
            <w:tcW w:w="139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42A8C8AB" w14:textId="77777777" w:rsidR="00E147E3" w:rsidRPr="00560E81" w:rsidRDefault="00E147E3" w:rsidP="00D14415">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0.0</w:t>
            </w:r>
          </w:p>
        </w:tc>
        <w:tc>
          <w:tcPr>
            <w:tcW w:w="170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60272BC6" w14:textId="77777777" w:rsidR="00E147E3" w:rsidRPr="00560E81" w:rsidRDefault="00E147E3" w:rsidP="00D14415">
            <w:pPr>
              <w:jc w:val="center"/>
              <w:rPr>
                <w:rFonts w:ascii="Calibri" w:eastAsia="Times New Roman" w:hAnsi="Calibri" w:cs="Calibri"/>
                <w:sz w:val="24"/>
                <w:szCs w:val="24"/>
                <w:lang w:eastAsia="en-GB"/>
              </w:rPr>
            </w:pPr>
            <w:r w:rsidRPr="00560E81">
              <w:rPr>
                <w:rFonts w:ascii="Calibri" w:eastAsia="Times New Roman" w:hAnsi="Calibri" w:cs="Calibri"/>
                <w:b/>
                <w:bCs/>
                <w:color w:val="00B050"/>
                <w:kern w:val="24"/>
                <w:sz w:val="24"/>
                <w:szCs w:val="24"/>
                <w:lang w:eastAsia="en-GB"/>
              </w:rPr>
              <w:t>ON TRACK</w:t>
            </w:r>
          </w:p>
        </w:tc>
      </w:tr>
      <w:tr w:rsidR="00E147E3" w:rsidRPr="00560E81" w14:paraId="01F6E80F" w14:textId="77777777" w:rsidTr="00EE55EC">
        <w:trPr>
          <w:trHeight w:val="72"/>
        </w:trPr>
        <w:tc>
          <w:tcPr>
            <w:tcW w:w="208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4B3304B3" w14:textId="77777777" w:rsidR="00E147E3" w:rsidRPr="00560E81" w:rsidRDefault="00E147E3" w:rsidP="00D14415">
            <w:pPr>
              <w:jc w:val="center"/>
              <w:rPr>
                <w:rFonts w:ascii="Calibri" w:eastAsiaTheme="minorEastAsia" w:hAnsi="Calibri" w:cs="Calibri"/>
                <w:bCs/>
                <w:color w:val="000000" w:themeColor="dark1"/>
                <w:kern w:val="24"/>
                <w:sz w:val="24"/>
                <w:szCs w:val="24"/>
                <w:lang w:eastAsia="en-GB"/>
              </w:rPr>
            </w:pPr>
            <w:r>
              <w:rPr>
                <w:rFonts w:ascii="Calibri" w:eastAsiaTheme="minorEastAsia" w:hAnsi="Calibri" w:cs="Calibri"/>
                <w:bCs/>
                <w:color w:val="000000" w:themeColor="dark1"/>
                <w:kern w:val="24"/>
                <w:sz w:val="24"/>
                <w:szCs w:val="24"/>
                <w:lang w:eastAsia="en-GB"/>
              </w:rPr>
              <w:t>Indirect Capital</w:t>
            </w:r>
          </w:p>
        </w:tc>
        <w:tc>
          <w:tcPr>
            <w:tcW w:w="238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tcPr>
          <w:p w14:paraId="7F481FF7" w14:textId="77777777" w:rsidR="00E147E3" w:rsidRPr="00560E81" w:rsidRDefault="00E147E3" w:rsidP="00D14415">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 xml:space="preserve">Outturn within </w:t>
            </w:r>
            <w:r>
              <w:rPr>
                <w:rFonts w:ascii="Calibri" w:eastAsia="Times New Roman" w:hAnsi="Calibri" w:cs="Calibri"/>
                <w:color w:val="000000" w:themeColor="dark1"/>
                <w:kern w:val="24"/>
                <w:sz w:val="24"/>
                <w:szCs w:val="24"/>
                <w:lang w:eastAsia="en-GB"/>
              </w:rPr>
              <w:t>5</w:t>
            </w:r>
            <w:r w:rsidRPr="00560E81">
              <w:rPr>
                <w:rFonts w:ascii="Calibri" w:eastAsia="Times New Roman" w:hAnsi="Calibri" w:cs="Calibri"/>
                <w:color w:val="000000" w:themeColor="dark1"/>
                <w:kern w:val="24"/>
                <w:sz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0CFF37E0" w14:textId="77777777" w:rsidR="00E147E3" w:rsidRPr="00560E81" w:rsidRDefault="00E147E3" w:rsidP="00D14415">
            <w:pPr>
              <w:jc w:val="center"/>
              <w:rPr>
                <w:rFonts w:ascii="Calibri" w:eastAsia="Times New Roman" w:hAnsi="Calibri" w:cs="Calibri"/>
                <w:color w:val="000000" w:themeColor="dark1"/>
                <w:kern w:val="24"/>
                <w:sz w:val="24"/>
                <w:szCs w:val="24"/>
                <w:lang w:eastAsia="en-GB"/>
              </w:rPr>
            </w:pPr>
            <w:r>
              <w:rPr>
                <w:rFonts w:ascii="Calibri" w:eastAsia="Times New Roman" w:hAnsi="Calibri" w:cs="Calibri"/>
                <w:color w:val="000000" w:themeColor="dark1"/>
                <w:kern w:val="24"/>
                <w:sz w:val="24"/>
                <w:szCs w:val="24"/>
                <w:lang w:eastAsia="en-GB"/>
              </w:rPr>
              <w:t>15.1</w:t>
            </w:r>
          </w:p>
        </w:tc>
        <w:tc>
          <w:tcPr>
            <w:tcW w:w="1189"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360F4AA4" w14:textId="77777777" w:rsidR="00E147E3" w:rsidRPr="00560E81" w:rsidRDefault="00E147E3" w:rsidP="00D14415">
            <w:pPr>
              <w:jc w:val="center"/>
              <w:rPr>
                <w:rFonts w:ascii="Calibri" w:eastAsia="Times New Roman" w:hAnsi="Calibri" w:cs="Calibri"/>
                <w:color w:val="000000" w:themeColor="dark1"/>
                <w:kern w:val="24"/>
                <w:sz w:val="24"/>
                <w:szCs w:val="24"/>
                <w:lang w:eastAsia="en-GB"/>
              </w:rPr>
            </w:pPr>
            <w:r>
              <w:rPr>
                <w:rFonts w:ascii="Calibri" w:eastAsia="Times New Roman" w:hAnsi="Calibri" w:cs="Calibri"/>
                <w:color w:val="000000" w:themeColor="dark1"/>
                <w:kern w:val="24"/>
                <w:sz w:val="24"/>
                <w:szCs w:val="24"/>
                <w:lang w:eastAsia="en-GB"/>
              </w:rPr>
              <w:t>15.0</w:t>
            </w:r>
          </w:p>
        </w:tc>
        <w:tc>
          <w:tcPr>
            <w:tcW w:w="1399"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03AF4D40" w14:textId="77777777" w:rsidR="00E147E3" w:rsidRPr="00560E81" w:rsidRDefault="00E147E3" w:rsidP="00D14415">
            <w:pPr>
              <w:jc w:val="center"/>
              <w:rPr>
                <w:rFonts w:ascii="Calibri" w:eastAsia="Times New Roman" w:hAnsi="Calibri" w:cs="Calibri"/>
                <w:color w:val="000000" w:themeColor="dark1"/>
                <w:kern w:val="24"/>
                <w:sz w:val="24"/>
                <w:szCs w:val="24"/>
                <w:lang w:eastAsia="en-GB"/>
              </w:rPr>
            </w:pPr>
            <w:r>
              <w:rPr>
                <w:rFonts w:ascii="Calibri" w:eastAsia="Times New Roman" w:hAnsi="Calibri" w:cs="Calibri"/>
                <w:kern w:val="24"/>
                <w:sz w:val="24"/>
                <w:szCs w:val="24"/>
                <w:lang w:eastAsia="en-GB"/>
              </w:rPr>
              <w:t>0.1</w:t>
            </w:r>
          </w:p>
        </w:tc>
        <w:tc>
          <w:tcPr>
            <w:tcW w:w="170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7733314A" w14:textId="77777777" w:rsidR="00E147E3" w:rsidRPr="00560E81" w:rsidRDefault="00E147E3" w:rsidP="00D14415">
            <w:pPr>
              <w:jc w:val="center"/>
              <w:rPr>
                <w:rFonts w:ascii="Calibri" w:eastAsia="Times New Roman" w:hAnsi="Calibri" w:cs="Calibri"/>
                <w:b/>
                <w:bCs/>
                <w:color w:val="00B050"/>
                <w:kern w:val="24"/>
                <w:sz w:val="24"/>
                <w:szCs w:val="24"/>
                <w:lang w:eastAsia="en-GB"/>
              </w:rPr>
            </w:pPr>
            <w:r w:rsidRPr="00CB05F8">
              <w:rPr>
                <w:rFonts w:ascii="Calibri" w:eastAsia="Times New Roman" w:hAnsi="Calibri" w:cs="Calibri"/>
                <w:b/>
                <w:bCs/>
                <w:color w:val="F79646" w:themeColor="accent6"/>
                <w:kern w:val="24"/>
                <w:sz w:val="24"/>
                <w:szCs w:val="24"/>
                <w:lang w:eastAsia="en-GB"/>
              </w:rPr>
              <w:t>MINOR SLIPPAGE</w:t>
            </w:r>
          </w:p>
        </w:tc>
      </w:tr>
      <w:tr w:rsidR="00E147E3" w:rsidRPr="00560E81" w14:paraId="485597C9" w14:textId="77777777" w:rsidTr="00EE55EC">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78314ACF" w14:textId="77777777" w:rsidR="00E147E3" w:rsidRPr="00560E81" w:rsidRDefault="00E147E3" w:rsidP="00D14415">
            <w:pPr>
              <w:jc w:val="center"/>
              <w:rPr>
                <w:rFonts w:ascii="Calibri" w:eastAsia="Times New Roman" w:hAnsi="Calibri" w:cs="Calibri"/>
                <w:sz w:val="24"/>
                <w:szCs w:val="24"/>
                <w:lang w:eastAsia="en-GB"/>
              </w:rPr>
            </w:pPr>
            <w:r w:rsidRPr="00560E81">
              <w:rPr>
                <w:rFonts w:ascii="Calibri" w:eastAsia="Times New Roman" w:hAnsi="Calibri" w:cs="Calibri"/>
                <w:bCs/>
                <w:color w:val="000000" w:themeColor="dark1"/>
                <w:kern w:val="24"/>
                <w:sz w:val="24"/>
                <w:szCs w:val="24"/>
                <w:lang w:eastAsia="en-GB"/>
              </w:rPr>
              <w:t>Paybill</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tcPr>
          <w:p w14:paraId="160FCC5C" w14:textId="77777777" w:rsidR="00E147E3" w:rsidRPr="00560E81" w:rsidRDefault="00E147E3" w:rsidP="00D14415">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771F91DA" w14:textId="77777777" w:rsidR="00E147E3" w:rsidRPr="00560E81" w:rsidRDefault="00E147E3" w:rsidP="00D14415">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30.8</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112B4D63" w14:textId="77777777" w:rsidR="00E147E3" w:rsidRPr="00560E81" w:rsidRDefault="00E147E3" w:rsidP="00D14415">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31.1</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454485BD" w14:textId="77777777" w:rsidR="00E147E3" w:rsidRPr="00560E81" w:rsidRDefault="00E147E3" w:rsidP="00D14415">
            <w:pPr>
              <w:jc w:val="center"/>
              <w:rPr>
                <w:rFonts w:ascii="Calibri" w:eastAsia="Times New Roman" w:hAnsi="Calibri" w:cs="Calibri"/>
                <w:sz w:val="24"/>
                <w:szCs w:val="24"/>
                <w:lang w:eastAsia="en-GB"/>
              </w:rPr>
            </w:pPr>
            <w:r w:rsidRPr="00CD5A77">
              <w:rPr>
                <w:rFonts w:ascii="Calibri" w:eastAsia="Times New Roman" w:hAnsi="Calibri" w:cs="Calibri"/>
                <w:color w:val="FF0000"/>
                <w:kern w:val="24"/>
                <w:sz w:val="24"/>
                <w:szCs w:val="24"/>
                <w:lang w:eastAsia="en-GB"/>
              </w:rPr>
              <w:t>(0.</w:t>
            </w:r>
            <w:r>
              <w:rPr>
                <w:rFonts w:ascii="Calibri" w:eastAsia="Times New Roman" w:hAnsi="Calibri" w:cs="Calibri"/>
                <w:color w:val="FF0000"/>
                <w:kern w:val="24"/>
                <w:sz w:val="24"/>
                <w:szCs w:val="24"/>
                <w:lang w:eastAsia="en-GB"/>
              </w:rPr>
              <w:t>3</w:t>
            </w:r>
            <w:r w:rsidRPr="00CD5A77">
              <w:rPr>
                <w:rFonts w:ascii="Calibri" w:eastAsia="Times New Roman" w:hAnsi="Calibri" w:cs="Calibri"/>
                <w:color w:val="FF0000"/>
                <w:kern w:val="24"/>
                <w:sz w:val="24"/>
                <w:szCs w:val="24"/>
                <w:lang w:eastAsia="en-GB"/>
              </w:rPr>
              <w:t>)</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70CB7508" w14:textId="77777777" w:rsidR="00E147E3" w:rsidRPr="00CB05F8" w:rsidRDefault="00E147E3" w:rsidP="00D14415">
            <w:pPr>
              <w:jc w:val="center"/>
              <w:rPr>
                <w:rFonts w:ascii="Calibri" w:eastAsia="Times New Roman" w:hAnsi="Calibri" w:cs="Calibri"/>
                <w:color w:val="F79646" w:themeColor="accent6"/>
                <w:sz w:val="24"/>
                <w:szCs w:val="24"/>
                <w:lang w:eastAsia="en-GB"/>
              </w:rPr>
            </w:pPr>
            <w:r w:rsidRPr="00CB05F8">
              <w:rPr>
                <w:rFonts w:ascii="Calibri" w:eastAsia="Times New Roman" w:hAnsi="Calibri" w:cs="Calibri"/>
                <w:b/>
                <w:bCs/>
                <w:color w:val="F79646" w:themeColor="accent6"/>
                <w:kern w:val="24"/>
                <w:sz w:val="24"/>
                <w:szCs w:val="24"/>
                <w:lang w:eastAsia="en-GB"/>
              </w:rPr>
              <w:t>MINOR SLIPPAGE</w:t>
            </w:r>
          </w:p>
        </w:tc>
      </w:tr>
      <w:tr w:rsidR="00E147E3" w:rsidRPr="00560E81" w14:paraId="6D1CE5A0" w14:textId="77777777" w:rsidTr="00EE55EC">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16ACD8CF" w14:textId="77777777" w:rsidR="00E147E3" w:rsidRPr="00560E81" w:rsidRDefault="00E147E3" w:rsidP="00D14415">
            <w:pPr>
              <w:jc w:val="center"/>
              <w:rPr>
                <w:rFonts w:ascii="Calibri" w:eastAsia="Times New Roman" w:hAnsi="Calibri" w:cs="Calibri"/>
                <w:sz w:val="24"/>
                <w:szCs w:val="24"/>
                <w:lang w:eastAsia="en-GB"/>
              </w:rPr>
            </w:pPr>
            <w:r w:rsidRPr="00560E81">
              <w:rPr>
                <w:rFonts w:ascii="Calibri" w:eastAsiaTheme="minorEastAsia" w:hAnsi="Calibri" w:cs="Calibri"/>
                <w:bCs/>
                <w:color w:val="000000" w:themeColor="dark1"/>
                <w:kern w:val="24"/>
                <w:sz w:val="24"/>
                <w:szCs w:val="24"/>
                <w:lang w:eastAsia="en-GB"/>
              </w:rPr>
              <w:t>Project Allocation</w:t>
            </w:r>
          </w:p>
        </w:tc>
        <w:tc>
          <w:tcPr>
            <w:tcW w:w="238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tcPr>
          <w:p w14:paraId="00062810" w14:textId="77777777" w:rsidR="00E147E3" w:rsidRPr="00560E81" w:rsidRDefault="00E147E3" w:rsidP="00D14415">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 xml:space="preserve">Outturn within </w:t>
            </w:r>
            <w:r>
              <w:rPr>
                <w:rFonts w:ascii="Calibri" w:eastAsia="Times New Roman" w:hAnsi="Calibri" w:cs="Calibri"/>
                <w:color w:val="000000" w:themeColor="dark1"/>
                <w:kern w:val="24"/>
                <w:sz w:val="24"/>
                <w:szCs w:val="24"/>
                <w:lang w:eastAsia="en-GB"/>
              </w:rPr>
              <w:t>target allocation range</w:t>
            </w:r>
          </w:p>
        </w:tc>
        <w:tc>
          <w:tcPr>
            <w:tcW w:w="113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073B9D65" w14:textId="77777777" w:rsidR="00E147E3" w:rsidRPr="00560E81" w:rsidRDefault="00E147E3" w:rsidP="00D14415">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14.8</w:t>
            </w:r>
          </w:p>
        </w:tc>
        <w:tc>
          <w:tcPr>
            <w:tcW w:w="1189"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1511EC49" w14:textId="77777777" w:rsidR="00E147E3" w:rsidRPr="00560E81" w:rsidRDefault="00E147E3" w:rsidP="00D14415">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15.5</w:t>
            </w:r>
          </w:p>
        </w:tc>
        <w:tc>
          <w:tcPr>
            <w:tcW w:w="1399"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6BA25D50" w14:textId="77777777" w:rsidR="00E147E3" w:rsidRPr="00560E81" w:rsidRDefault="00E147E3" w:rsidP="00D14415">
            <w:pPr>
              <w:jc w:val="center"/>
              <w:rPr>
                <w:rFonts w:ascii="Calibri" w:eastAsia="Times New Roman" w:hAnsi="Calibri" w:cs="Calibri"/>
                <w:sz w:val="24"/>
                <w:szCs w:val="24"/>
                <w:lang w:eastAsia="en-GB"/>
              </w:rPr>
            </w:pPr>
            <w:r w:rsidRPr="00CD5A77">
              <w:rPr>
                <w:rFonts w:ascii="Calibri" w:eastAsia="Times New Roman" w:hAnsi="Calibri" w:cs="Calibri"/>
                <w:color w:val="FF0000"/>
                <w:kern w:val="24"/>
                <w:sz w:val="24"/>
                <w:szCs w:val="24"/>
                <w:lang w:eastAsia="en-GB"/>
              </w:rPr>
              <w:t>(0.7)</w:t>
            </w:r>
          </w:p>
        </w:tc>
        <w:tc>
          <w:tcPr>
            <w:tcW w:w="170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15" w:type="dxa"/>
              <w:left w:w="108" w:type="dxa"/>
              <w:bottom w:w="0" w:type="dxa"/>
              <w:right w:w="108" w:type="dxa"/>
            </w:tcMar>
            <w:vAlign w:val="center"/>
          </w:tcPr>
          <w:p w14:paraId="4EE2C7EE" w14:textId="77777777" w:rsidR="00E147E3" w:rsidRPr="00CB05F8" w:rsidRDefault="00E147E3" w:rsidP="00D14415">
            <w:pPr>
              <w:jc w:val="center"/>
              <w:rPr>
                <w:rFonts w:ascii="Calibri" w:eastAsia="Times New Roman" w:hAnsi="Calibri" w:cs="Calibri"/>
                <w:color w:val="F79646" w:themeColor="accent6"/>
                <w:sz w:val="24"/>
                <w:szCs w:val="24"/>
                <w:lang w:eastAsia="en-GB"/>
              </w:rPr>
            </w:pPr>
            <w:r w:rsidRPr="00CB05F8">
              <w:rPr>
                <w:rFonts w:ascii="Calibri" w:eastAsia="Times New Roman" w:hAnsi="Calibri" w:cs="Calibri"/>
                <w:b/>
                <w:bCs/>
                <w:color w:val="F79646" w:themeColor="accent6"/>
                <w:kern w:val="24"/>
                <w:sz w:val="24"/>
                <w:szCs w:val="24"/>
                <w:lang w:eastAsia="en-GB"/>
              </w:rPr>
              <w:t>MINOR SLIPPAGE</w:t>
            </w:r>
          </w:p>
        </w:tc>
      </w:tr>
      <w:tr w:rsidR="00E147E3" w:rsidRPr="00560E81" w14:paraId="0D053CCF" w14:textId="77777777" w:rsidTr="00D14415">
        <w:trPr>
          <w:trHeight w:val="64"/>
        </w:trPr>
        <w:tc>
          <w:tcPr>
            <w:tcW w:w="208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08A2281C" w14:textId="77777777" w:rsidR="00E147E3" w:rsidRPr="00560E81" w:rsidRDefault="00E147E3" w:rsidP="00D14415">
            <w:pPr>
              <w:jc w:val="center"/>
              <w:rPr>
                <w:rFonts w:ascii="Calibri" w:eastAsiaTheme="minorEastAsia" w:hAnsi="Calibri" w:cs="Calibri"/>
                <w:bCs/>
                <w:color w:val="000000" w:themeColor="dark1"/>
                <w:kern w:val="24"/>
                <w:sz w:val="24"/>
                <w:szCs w:val="24"/>
                <w:lang w:eastAsia="en-GB"/>
              </w:rPr>
            </w:pPr>
          </w:p>
        </w:tc>
        <w:tc>
          <w:tcPr>
            <w:tcW w:w="2388"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tcPr>
          <w:p w14:paraId="4FE96CBF" w14:textId="77777777" w:rsidR="00E147E3" w:rsidRPr="00560E81" w:rsidRDefault="00E147E3" w:rsidP="00D14415">
            <w:pPr>
              <w:jc w:val="center"/>
              <w:rPr>
                <w:rFonts w:ascii="Calibri" w:eastAsia="Times New Roman" w:hAnsi="Calibri" w:cs="Calibri"/>
                <w:color w:val="000000" w:themeColor="dark1"/>
                <w:kern w:val="24"/>
                <w:sz w:val="24"/>
                <w:szCs w:val="24"/>
                <w:lang w:eastAsia="en-GB"/>
              </w:rPr>
            </w:pPr>
          </w:p>
        </w:tc>
        <w:tc>
          <w:tcPr>
            <w:tcW w:w="1132"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48FDCC87" w14:textId="77777777" w:rsidR="00E147E3" w:rsidRDefault="00E147E3" w:rsidP="00D14415">
            <w:pPr>
              <w:jc w:val="center"/>
              <w:rPr>
                <w:rFonts w:ascii="Calibri" w:eastAsia="Times New Roman" w:hAnsi="Calibri" w:cs="Calibri"/>
                <w:color w:val="000000" w:themeColor="dark1"/>
                <w:kern w:val="24"/>
                <w:sz w:val="24"/>
                <w:szCs w:val="24"/>
                <w:lang w:eastAsia="en-GB"/>
              </w:rPr>
            </w:pPr>
          </w:p>
        </w:tc>
        <w:tc>
          <w:tcPr>
            <w:tcW w:w="118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4B9C3B85" w14:textId="77777777" w:rsidR="00E147E3" w:rsidRDefault="00E147E3" w:rsidP="00D14415">
            <w:pPr>
              <w:jc w:val="center"/>
              <w:rPr>
                <w:rFonts w:ascii="Calibri" w:eastAsia="Times New Roman" w:hAnsi="Calibri" w:cs="Calibri"/>
                <w:color w:val="000000" w:themeColor="dark1"/>
                <w:kern w:val="24"/>
                <w:sz w:val="24"/>
                <w:szCs w:val="24"/>
                <w:lang w:eastAsia="en-GB"/>
              </w:rPr>
            </w:pPr>
          </w:p>
        </w:tc>
        <w:tc>
          <w:tcPr>
            <w:tcW w:w="139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43A44D69" w14:textId="77777777" w:rsidR="00E147E3" w:rsidRDefault="00E147E3" w:rsidP="00D14415">
            <w:pPr>
              <w:jc w:val="center"/>
              <w:rPr>
                <w:rFonts w:ascii="Calibri" w:eastAsia="Times New Roman" w:hAnsi="Calibri" w:cs="Calibri"/>
                <w:color w:val="000000" w:themeColor="dark1"/>
                <w:kern w:val="24"/>
                <w:sz w:val="24"/>
                <w:szCs w:val="24"/>
                <w:lang w:eastAsia="en-GB"/>
              </w:rPr>
            </w:pP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113A84CC" w14:textId="77777777" w:rsidR="00E147E3" w:rsidRDefault="00E147E3" w:rsidP="00D14415">
            <w:pPr>
              <w:jc w:val="center"/>
              <w:rPr>
                <w:rFonts w:ascii="Calibri" w:eastAsia="Times New Roman" w:hAnsi="Calibri" w:cs="Calibri"/>
                <w:b/>
                <w:bCs/>
                <w:color w:val="FFC000"/>
                <w:kern w:val="24"/>
                <w:sz w:val="24"/>
                <w:szCs w:val="24"/>
                <w:lang w:eastAsia="en-GB"/>
              </w:rPr>
            </w:pPr>
          </w:p>
        </w:tc>
      </w:tr>
      <w:tr w:rsidR="00E147E3" w:rsidRPr="00560E81" w14:paraId="74C53C67" w14:textId="77777777" w:rsidTr="00D14415">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1CFA9B9B" w14:textId="77777777" w:rsidR="00E147E3" w:rsidRPr="00560E81" w:rsidRDefault="00E147E3" w:rsidP="00D14415">
            <w:pPr>
              <w:jc w:val="center"/>
              <w:rPr>
                <w:rFonts w:ascii="Calibri" w:eastAsia="Times New Roman" w:hAnsi="Calibri" w:cs="Calibri"/>
                <w:sz w:val="24"/>
                <w:szCs w:val="24"/>
                <w:lang w:eastAsia="en-GB"/>
              </w:rPr>
            </w:pPr>
            <w:r w:rsidRPr="00560E81">
              <w:rPr>
                <w:rFonts w:ascii="Calibri" w:eastAsia="Arial" w:hAnsi="Calibri" w:cs="Calibri"/>
                <w:bCs/>
                <w:color w:val="000000" w:themeColor="text1"/>
                <w:kern w:val="24"/>
                <w:sz w:val="24"/>
                <w:szCs w:val="24"/>
                <w:lang w:eastAsia="en-GB"/>
              </w:rPr>
              <w:t>Peatlands</w:t>
            </w:r>
          </w:p>
        </w:tc>
        <w:tc>
          <w:tcPr>
            <w:tcW w:w="238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55304AF2" w14:textId="77777777" w:rsidR="00E147E3" w:rsidRPr="00560E81" w:rsidRDefault="00E147E3" w:rsidP="00D14415">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 xml:space="preserve">Outturn within </w:t>
            </w:r>
            <w:r>
              <w:rPr>
                <w:rFonts w:ascii="Calibri" w:eastAsia="Times New Roman" w:hAnsi="Calibri" w:cs="Calibri"/>
                <w:color w:val="000000" w:themeColor="dark1"/>
                <w:kern w:val="24"/>
                <w:sz w:val="24"/>
                <w:szCs w:val="24"/>
                <w:lang w:eastAsia="en-GB"/>
              </w:rPr>
              <w:t>1</w:t>
            </w:r>
            <w:r w:rsidRPr="00560E81">
              <w:rPr>
                <w:rFonts w:ascii="Calibri" w:eastAsia="Times New Roman" w:hAnsi="Calibri" w:cs="Calibri"/>
                <w:color w:val="000000" w:themeColor="dark1"/>
                <w:kern w:val="24"/>
                <w:sz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38B80440" w14:textId="77777777" w:rsidR="00E147E3" w:rsidRPr="00560E81" w:rsidRDefault="00E147E3" w:rsidP="00D14415">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12.9</w:t>
            </w:r>
          </w:p>
        </w:tc>
        <w:tc>
          <w:tcPr>
            <w:tcW w:w="118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0687D908" w14:textId="77777777" w:rsidR="00E147E3" w:rsidRPr="00560E81" w:rsidRDefault="00E147E3" w:rsidP="00D14415">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13.2</w:t>
            </w:r>
          </w:p>
        </w:tc>
        <w:tc>
          <w:tcPr>
            <w:tcW w:w="139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249DA9DA" w14:textId="77777777" w:rsidR="00E147E3" w:rsidRPr="00560E81" w:rsidRDefault="00E147E3" w:rsidP="00D14415">
            <w:pPr>
              <w:jc w:val="center"/>
              <w:rPr>
                <w:rFonts w:ascii="Calibri" w:eastAsia="Times New Roman" w:hAnsi="Calibri" w:cs="Calibri"/>
                <w:sz w:val="24"/>
                <w:szCs w:val="24"/>
                <w:lang w:eastAsia="en-GB"/>
              </w:rPr>
            </w:pPr>
            <w:r w:rsidRPr="00F50C03">
              <w:rPr>
                <w:rFonts w:ascii="Calibri" w:eastAsia="Times New Roman" w:hAnsi="Calibri" w:cs="Calibri"/>
                <w:color w:val="FF0000"/>
                <w:kern w:val="24"/>
                <w:sz w:val="24"/>
                <w:szCs w:val="24"/>
                <w:lang w:eastAsia="en-GB"/>
              </w:rPr>
              <w:t>(0.3)</w:t>
            </w:r>
          </w:p>
        </w:tc>
        <w:tc>
          <w:tcPr>
            <w:tcW w:w="170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4F89CE89" w14:textId="77777777" w:rsidR="00E147E3" w:rsidRPr="00CB05F8" w:rsidRDefault="00E147E3" w:rsidP="00D14415">
            <w:pPr>
              <w:jc w:val="center"/>
              <w:rPr>
                <w:rFonts w:ascii="Calibri" w:eastAsia="Times New Roman" w:hAnsi="Calibri" w:cs="Calibri"/>
                <w:color w:val="F79646" w:themeColor="accent6"/>
                <w:sz w:val="24"/>
                <w:szCs w:val="24"/>
                <w:lang w:eastAsia="en-GB"/>
              </w:rPr>
            </w:pPr>
            <w:r w:rsidRPr="00CB05F8">
              <w:rPr>
                <w:rFonts w:ascii="Calibri" w:eastAsia="Times New Roman" w:hAnsi="Calibri" w:cs="Calibri"/>
                <w:b/>
                <w:bCs/>
                <w:color w:val="F79646" w:themeColor="accent6"/>
                <w:kern w:val="24"/>
                <w:sz w:val="24"/>
                <w:szCs w:val="24"/>
                <w:lang w:eastAsia="en-GB"/>
              </w:rPr>
              <w:t>MINOR SLIPPAGE</w:t>
            </w:r>
          </w:p>
        </w:tc>
      </w:tr>
      <w:tr w:rsidR="00E147E3" w:rsidRPr="00560E81" w14:paraId="68FEA218" w14:textId="77777777" w:rsidTr="00D14415">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4DAB2511" w14:textId="77777777" w:rsidR="00E147E3" w:rsidRPr="00560E81" w:rsidRDefault="00E147E3" w:rsidP="00D14415">
            <w:pPr>
              <w:jc w:val="center"/>
              <w:rPr>
                <w:rFonts w:ascii="Calibri" w:eastAsia="Arial" w:hAnsi="Calibri" w:cs="Calibri"/>
                <w:bCs/>
                <w:color w:val="000000" w:themeColor="text1"/>
                <w:kern w:val="24"/>
                <w:sz w:val="24"/>
                <w:szCs w:val="24"/>
                <w:lang w:eastAsia="en-GB"/>
              </w:rPr>
            </w:pPr>
            <w:r>
              <w:rPr>
                <w:rFonts w:ascii="Calibri" w:eastAsia="Arial" w:hAnsi="Calibri" w:cs="Calibri"/>
                <w:bCs/>
                <w:color w:val="000000" w:themeColor="text1"/>
                <w:kern w:val="24"/>
                <w:sz w:val="24"/>
                <w:szCs w:val="24"/>
                <w:lang w:eastAsia="en-GB"/>
              </w:rPr>
              <w:t>NCAPP</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tcPr>
          <w:p w14:paraId="39B9DB83" w14:textId="77777777" w:rsidR="00E147E3" w:rsidRPr="00560E81" w:rsidRDefault="00E147E3" w:rsidP="00D14415">
            <w:pPr>
              <w:jc w:val="center"/>
              <w:rPr>
                <w:rFonts w:ascii="Calibri" w:eastAsia="Times New Roman" w:hAnsi="Calibri" w:cs="Calibri"/>
                <w:color w:val="000000" w:themeColor="dark1"/>
                <w:kern w:val="24"/>
                <w:sz w:val="24"/>
                <w:szCs w:val="24"/>
                <w:lang w:eastAsia="en-GB"/>
              </w:rPr>
            </w:pPr>
            <w:r w:rsidRPr="00560E81">
              <w:rPr>
                <w:rFonts w:ascii="Calibri" w:eastAsia="Times New Roman" w:hAnsi="Calibri" w:cs="Calibri"/>
                <w:color w:val="000000" w:themeColor="dark1"/>
                <w:kern w:val="24"/>
                <w:sz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2A26FE5E" w14:textId="77777777" w:rsidR="00E147E3" w:rsidRPr="00560E81" w:rsidRDefault="00E147E3" w:rsidP="00D14415">
            <w:pPr>
              <w:jc w:val="center"/>
              <w:rPr>
                <w:rFonts w:ascii="Calibri" w:eastAsia="Times New Roman" w:hAnsi="Calibri" w:cs="Calibri"/>
                <w:color w:val="000000" w:themeColor="dark1"/>
                <w:kern w:val="24"/>
                <w:sz w:val="24"/>
                <w:szCs w:val="24"/>
                <w:lang w:eastAsia="en-GB"/>
              </w:rPr>
            </w:pPr>
            <w:r>
              <w:rPr>
                <w:rFonts w:ascii="Calibri" w:eastAsia="Times New Roman" w:hAnsi="Calibri" w:cs="Calibri"/>
                <w:color w:val="000000" w:themeColor="dark1"/>
                <w:kern w:val="24"/>
                <w:sz w:val="24"/>
                <w:szCs w:val="24"/>
                <w:lang w:eastAsia="en-GB"/>
              </w:rPr>
              <w:t>3.5</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34F92475" w14:textId="77777777" w:rsidR="00E147E3" w:rsidRPr="00560E81" w:rsidRDefault="00E147E3" w:rsidP="00D14415">
            <w:pPr>
              <w:jc w:val="center"/>
              <w:rPr>
                <w:rFonts w:ascii="Calibri" w:eastAsia="Times New Roman" w:hAnsi="Calibri" w:cs="Calibri"/>
                <w:color w:val="000000" w:themeColor="dark1"/>
                <w:kern w:val="24"/>
                <w:sz w:val="24"/>
                <w:szCs w:val="24"/>
                <w:lang w:eastAsia="en-GB"/>
              </w:rPr>
            </w:pPr>
            <w:r>
              <w:rPr>
                <w:rFonts w:ascii="Calibri" w:eastAsia="Times New Roman" w:hAnsi="Calibri" w:cs="Calibri"/>
                <w:color w:val="000000" w:themeColor="dark1"/>
                <w:kern w:val="24"/>
                <w:sz w:val="24"/>
                <w:szCs w:val="24"/>
                <w:lang w:eastAsia="en-GB"/>
              </w:rPr>
              <w:t>3.2</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54F85AD8" w14:textId="77777777" w:rsidR="00E147E3" w:rsidRPr="00560E81" w:rsidRDefault="00E147E3" w:rsidP="00D14415">
            <w:pPr>
              <w:jc w:val="center"/>
              <w:rPr>
                <w:rFonts w:ascii="Calibri" w:eastAsia="Times New Roman" w:hAnsi="Calibri" w:cs="Calibri"/>
                <w:color w:val="FF0000"/>
                <w:kern w:val="24"/>
                <w:sz w:val="24"/>
                <w:szCs w:val="24"/>
                <w:lang w:eastAsia="en-GB"/>
              </w:rPr>
            </w:pPr>
            <w:r>
              <w:rPr>
                <w:rFonts w:ascii="Calibri" w:eastAsia="Times New Roman" w:hAnsi="Calibri" w:cs="Calibri"/>
                <w:color w:val="000000" w:themeColor="dark1"/>
                <w:kern w:val="24"/>
                <w:sz w:val="24"/>
                <w:szCs w:val="24"/>
                <w:lang w:eastAsia="en-GB"/>
              </w:rPr>
              <w:t>0.3</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56C1EF1A" w14:textId="77777777" w:rsidR="00E147E3" w:rsidRPr="00560E81" w:rsidRDefault="00E147E3" w:rsidP="00D14415">
            <w:pPr>
              <w:jc w:val="center"/>
              <w:rPr>
                <w:rFonts w:ascii="Calibri" w:eastAsia="Times New Roman" w:hAnsi="Calibri" w:cs="Calibri"/>
                <w:b/>
                <w:bCs/>
                <w:color w:val="FFC000"/>
                <w:kern w:val="24"/>
                <w:sz w:val="24"/>
                <w:szCs w:val="24"/>
                <w:lang w:eastAsia="en-GB"/>
              </w:rPr>
            </w:pPr>
            <w:r w:rsidRPr="00CB05F8">
              <w:rPr>
                <w:rFonts w:ascii="Calibri" w:eastAsia="Times New Roman" w:hAnsi="Calibri" w:cs="Calibri"/>
                <w:b/>
                <w:bCs/>
                <w:color w:val="F79646" w:themeColor="accent6"/>
                <w:kern w:val="24"/>
                <w:sz w:val="24"/>
                <w:szCs w:val="24"/>
                <w:lang w:eastAsia="en-GB"/>
              </w:rPr>
              <w:t>MINOR SLIPPAGE</w:t>
            </w:r>
          </w:p>
        </w:tc>
      </w:tr>
      <w:tr w:rsidR="00E147E3" w:rsidRPr="00560E81" w14:paraId="15EF1A74" w14:textId="77777777" w:rsidTr="00D14415">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0B9D50E8" w14:textId="77777777" w:rsidR="00E147E3" w:rsidRPr="00560E81" w:rsidRDefault="00E147E3" w:rsidP="00D14415">
            <w:pPr>
              <w:jc w:val="center"/>
              <w:rPr>
                <w:rFonts w:ascii="Calibri" w:eastAsia="Times New Roman" w:hAnsi="Calibri" w:cs="Calibri"/>
                <w:sz w:val="24"/>
                <w:szCs w:val="24"/>
                <w:lang w:eastAsia="en-GB"/>
              </w:rPr>
            </w:pPr>
            <w:r w:rsidRPr="00560E81">
              <w:rPr>
                <w:rFonts w:ascii="Calibri" w:eastAsia="Times New Roman" w:hAnsi="Calibri" w:cs="Calibri"/>
                <w:sz w:val="24"/>
                <w:szCs w:val="24"/>
                <w:lang w:eastAsia="en-GB"/>
              </w:rPr>
              <w:t>Better Places Fund</w:t>
            </w:r>
          </w:p>
        </w:tc>
        <w:tc>
          <w:tcPr>
            <w:tcW w:w="238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D35941F" w14:textId="77777777" w:rsidR="00E147E3" w:rsidRPr="00560E81" w:rsidRDefault="00E147E3" w:rsidP="00D14415">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7B8039CE" w14:textId="77777777" w:rsidR="00E147E3" w:rsidRPr="00560E81" w:rsidRDefault="00E147E3" w:rsidP="00D14415">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1.5</w:t>
            </w:r>
          </w:p>
        </w:tc>
        <w:tc>
          <w:tcPr>
            <w:tcW w:w="118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01369E28" w14:textId="77777777" w:rsidR="00E147E3" w:rsidRPr="00560E81" w:rsidRDefault="00E147E3" w:rsidP="00D14415">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1.4</w:t>
            </w:r>
          </w:p>
        </w:tc>
        <w:tc>
          <w:tcPr>
            <w:tcW w:w="139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275E23FF" w14:textId="77777777" w:rsidR="00E147E3" w:rsidRPr="00560E81" w:rsidRDefault="00E147E3" w:rsidP="00D14415">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0.1</w:t>
            </w:r>
          </w:p>
        </w:tc>
        <w:tc>
          <w:tcPr>
            <w:tcW w:w="170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6197C1B5" w14:textId="77777777" w:rsidR="00E147E3" w:rsidRPr="00560E81" w:rsidRDefault="00E147E3" w:rsidP="00D14415">
            <w:pPr>
              <w:jc w:val="center"/>
              <w:rPr>
                <w:rFonts w:ascii="Calibri" w:eastAsia="Times New Roman" w:hAnsi="Calibri" w:cs="Calibri"/>
                <w:sz w:val="24"/>
                <w:szCs w:val="24"/>
                <w:lang w:eastAsia="en-GB"/>
              </w:rPr>
            </w:pPr>
            <w:r w:rsidRPr="00CB05F8">
              <w:rPr>
                <w:rFonts w:ascii="Calibri" w:eastAsia="Times New Roman" w:hAnsi="Calibri" w:cs="Calibri"/>
                <w:b/>
                <w:bCs/>
                <w:color w:val="F79646" w:themeColor="accent6"/>
                <w:kern w:val="24"/>
                <w:sz w:val="24"/>
                <w:szCs w:val="24"/>
                <w:lang w:eastAsia="en-GB"/>
              </w:rPr>
              <w:t>MINOR SLIPPAGE</w:t>
            </w:r>
          </w:p>
        </w:tc>
      </w:tr>
      <w:tr w:rsidR="00E147E3" w:rsidRPr="00560E81" w14:paraId="17FE0363" w14:textId="77777777" w:rsidTr="00EE55EC">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10D6A045" w14:textId="77777777" w:rsidR="00E147E3" w:rsidRPr="00560E81" w:rsidRDefault="00E147E3" w:rsidP="00D14415">
            <w:pPr>
              <w:jc w:val="center"/>
              <w:rPr>
                <w:rFonts w:ascii="Calibri" w:eastAsia="Times New Roman" w:hAnsi="Calibri" w:cs="Calibri"/>
                <w:sz w:val="24"/>
                <w:szCs w:val="24"/>
                <w:lang w:eastAsia="en-GB"/>
              </w:rPr>
            </w:pPr>
            <w:r>
              <w:rPr>
                <w:rFonts w:ascii="Calibri" w:eastAsia="Arial" w:hAnsi="Calibri" w:cs="Calibri"/>
                <w:bCs/>
                <w:color w:val="000000" w:themeColor="text1"/>
                <w:kern w:val="24"/>
                <w:sz w:val="24"/>
                <w:szCs w:val="24"/>
                <w:lang w:eastAsia="en-GB"/>
              </w:rPr>
              <w:t>Nature Recovery Fund/BCF/SMEEF</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tcPr>
          <w:p w14:paraId="14CF3F86" w14:textId="77777777" w:rsidR="00E147E3" w:rsidRPr="00560E81" w:rsidRDefault="00E147E3" w:rsidP="00D14415">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Outturn within 1</w:t>
            </w:r>
            <w:r w:rsidRPr="00560E81">
              <w:rPr>
                <w:rFonts w:ascii="Calibri" w:eastAsia="Times New Roman" w:hAnsi="Calibri" w:cs="Calibri"/>
                <w:color w:val="000000" w:themeColor="dark1"/>
                <w:kern w:val="24"/>
                <w:sz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6DC4C3F4" w14:textId="77777777" w:rsidR="00E147E3" w:rsidRPr="00560E81" w:rsidRDefault="00E147E3" w:rsidP="00D14415">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7.2</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309E6466" w14:textId="77777777" w:rsidR="00E147E3" w:rsidRPr="00560E81" w:rsidRDefault="00E147E3" w:rsidP="00D14415">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6.9</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477E612A" w14:textId="77777777" w:rsidR="00E147E3" w:rsidRPr="00560E81" w:rsidRDefault="00E147E3" w:rsidP="00D14415">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0.3</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5662665E" w14:textId="77777777" w:rsidR="00E147E3" w:rsidRPr="00560E81" w:rsidRDefault="00E147E3" w:rsidP="00D14415">
            <w:pPr>
              <w:jc w:val="center"/>
              <w:rPr>
                <w:rFonts w:ascii="Calibri" w:eastAsia="Times New Roman" w:hAnsi="Calibri" w:cs="Calibri"/>
                <w:sz w:val="24"/>
                <w:szCs w:val="24"/>
                <w:lang w:eastAsia="en-GB"/>
              </w:rPr>
            </w:pPr>
            <w:r w:rsidRPr="00560E81">
              <w:rPr>
                <w:rFonts w:ascii="Calibri" w:eastAsia="Times New Roman" w:hAnsi="Calibri" w:cs="Calibri"/>
                <w:b/>
                <w:bCs/>
                <w:color w:val="00B050"/>
                <w:kern w:val="24"/>
                <w:sz w:val="24"/>
                <w:szCs w:val="24"/>
                <w:lang w:eastAsia="en-GB"/>
              </w:rPr>
              <w:t>ON TRACK</w:t>
            </w:r>
          </w:p>
        </w:tc>
      </w:tr>
    </w:tbl>
    <w:p w14:paraId="06D49B46" w14:textId="77777777" w:rsidR="00E147E3" w:rsidRPr="005F425F" w:rsidRDefault="00E147E3" w:rsidP="00E147E3">
      <w:pPr>
        <w:rPr>
          <w:rFonts w:ascii="Calibri" w:hAnsi="Calibri" w:cs="Calibri"/>
          <w:sz w:val="20"/>
          <w:szCs w:val="20"/>
        </w:rPr>
      </w:pPr>
      <w:r w:rsidRPr="005F425F">
        <w:rPr>
          <w:rFonts w:ascii="Calibri" w:hAnsi="Calibri" w:cs="Calibri"/>
          <w:sz w:val="20"/>
          <w:szCs w:val="20"/>
        </w:rPr>
        <w:t>*Operating under 1% - on track, up to 10% minor slippage, over 10% major slippage</w:t>
      </w:r>
      <w:r>
        <w:rPr>
          <w:rFonts w:ascii="Calibri" w:hAnsi="Calibri" w:cs="Calibri"/>
          <w:sz w:val="20"/>
          <w:szCs w:val="20"/>
        </w:rPr>
        <w:t xml:space="preserve"> (** Capital under 5% / up to 10%)</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nancial summary"/>
        <w:tblDescription w:val="Financial graphs and summary"/>
      </w:tblPr>
      <w:tblGrid>
        <w:gridCol w:w="6648"/>
        <w:gridCol w:w="3700"/>
      </w:tblGrid>
      <w:tr w:rsidR="00E147E3" w:rsidRPr="0070007A" w14:paraId="3B3E07D1" w14:textId="77777777" w:rsidTr="00D14415">
        <w:trPr>
          <w:cantSplit/>
          <w:tblHeader/>
        </w:trPr>
        <w:tc>
          <w:tcPr>
            <w:tcW w:w="6406" w:type="dxa"/>
            <w:shd w:val="clear" w:color="auto" w:fill="auto"/>
            <w:vAlign w:val="center"/>
          </w:tcPr>
          <w:p w14:paraId="255589A6" w14:textId="77777777" w:rsidR="00E147E3" w:rsidRPr="0070007A" w:rsidRDefault="00E147E3" w:rsidP="00D14415">
            <w:pPr>
              <w:rPr>
                <w:rFonts w:ascii="Calibri" w:hAnsi="Calibri" w:cs="Calibri"/>
                <w:color w:val="FFFFFF" w:themeColor="background1"/>
                <w:sz w:val="16"/>
                <w:szCs w:val="24"/>
              </w:rPr>
            </w:pPr>
            <w:r w:rsidRPr="0070007A">
              <w:rPr>
                <w:rFonts w:ascii="Calibri" w:hAnsi="Calibri" w:cs="Calibri"/>
                <w:color w:val="FFFFFF" w:themeColor="background1"/>
                <w:sz w:val="16"/>
                <w:szCs w:val="24"/>
              </w:rPr>
              <w:t>Financial graphs</w:t>
            </w:r>
          </w:p>
        </w:tc>
        <w:tc>
          <w:tcPr>
            <w:tcW w:w="3942" w:type="dxa"/>
            <w:shd w:val="clear" w:color="auto" w:fill="auto"/>
            <w:vAlign w:val="center"/>
          </w:tcPr>
          <w:p w14:paraId="5D8E6824" w14:textId="3D8E93E4" w:rsidR="00E147E3" w:rsidRPr="0070007A" w:rsidRDefault="00E147E3" w:rsidP="00D14415">
            <w:pPr>
              <w:rPr>
                <w:rFonts w:ascii="Calibri" w:hAnsi="Calibri" w:cs="Calibri"/>
                <w:color w:val="FFFFFF" w:themeColor="background1"/>
                <w:sz w:val="16"/>
                <w:szCs w:val="24"/>
              </w:rPr>
            </w:pPr>
            <w:r w:rsidRPr="0070007A">
              <w:rPr>
                <w:rFonts w:ascii="Calibri" w:hAnsi="Calibri" w:cs="Calibri"/>
                <w:color w:val="FFFFFF" w:themeColor="background1"/>
                <w:sz w:val="16"/>
                <w:szCs w:val="24"/>
              </w:rPr>
              <w:t>of performance</w:t>
            </w:r>
          </w:p>
        </w:tc>
      </w:tr>
      <w:tr w:rsidR="00E147E3" w:rsidRPr="00B6615A" w14:paraId="7B90A70C" w14:textId="77777777" w:rsidTr="00D14415">
        <w:trPr>
          <w:trHeight w:val="283"/>
        </w:trPr>
        <w:tc>
          <w:tcPr>
            <w:tcW w:w="6406" w:type="dxa"/>
          </w:tcPr>
          <w:p w14:paraId="55BEB57D" w14:textId="77777777" w:rsidR="00E147E3" w:rsidRDefault="00E147E3" w:rsidP="00D14415">
            <w:pPr>
              <w:rPr>
                <w:rFonts w:ascii="Calibri" w:hAnsi="Calibri" w:cs="Calibri"/>
                <w:sz w:val="24"/>
                <w:szCs w:val="24"/>
              </w:rPr>
            </w:pPr>
            <w:r>
              <w:rPr>
                <w:rFonts w:ascii="Calibri" w:hAnsi="Calibri" w:cs="Calibri"/>
                <w:noProof/>
                <w:sz w:val="24"/>
                <w:szCs w:val="24"/>
                <w:lang w:eastAsia="en-GB"/>
              </w:rPr>
              <w:drawing>
                <wp:inline distT="0" distB="0" distL="0" distR="0" wp14:anchorId="025E303A" wp14:editId="57C8E910">
                  <wp:extent cx="4084320" cy="1743075"/>
                  <wp:effectExtent l="0" t="0" r="0" b="9525"/>
                  <wp:docPr id="9" name="Picture 9" title="Project Allocation Forecast Tra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104851" cy="1751837"/>
                          </a:xfrm>
                          <a:prstGeom prst="rect">
                            <a:avLst/>
                          </a:prstGeom>
                          <a:noFill/>
                        </pic:spPr>
                      </pic:pic>
                    </a:graphicData>
                  </a:graphic>
                </wp:inline>
              </w:drawing>
            </w:r>
          </w:p>
          <w:p w14:paraId="10457114" w14:textId="77777777" w:rsidR="00E147E3" w:rsidRPr="00B6615A" w:rsidRDefault="00E147E3" w:rsidP="00D14415">
            <w:pPr>
              <w:rPr>
                <w:rFonts w:ascii="Calibri" w:hAnsi="Calibri" w:cs="Calibri"/>
                <w:sz w:val="24"/>
                <w:szCs w:val="24"/>
              </w:rPr>
            </w:pPr>
            <w:r w:rsidRPr="00CD5A77">
              <w:rPr>
                <w:rFonts w:ascii="Calibri" w:hAnsi="Calibri" w:cs="Calibri"/>
                <w:noProof/>
                <w:sz w:val="24"/>
                <w:szCs w:val="24"/>
                <w:lang w:eastAsia="en-GB"/>
              </w:rPr>
              <w:drawing>
                <wp:inline distT="0" distB="0" distL="0" distR="0" wp14:anchorId="53149CB0" wp14:editId="58CC0026">
                  <wp:extent cx="4083050" cy="2038350"/>
                  <wp:effectExtent l="0" t="0" r="0" b="0"/>
                  <wp:docPr id="10" name="Picture 10" descr="C:\Users\ifgs1\AppData\Local\Microsoft\Windows\INetCache\Content.MSO\2C2B2F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fgs1\AppData\Local\Microsoft\Windows\INetCache\Content.MSO\2C2B2FB0.tmp"/>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02302" cy="2047961"/>
                          </a:xfrm>
                          <a:prstGeom prst="rect">
                            <a:avLst/>
                          </a:prstGeom>
                          <a:noFill/>
                          <a:ln>
                            <a:noFill/>
                          </a:ln>
                        </pic:spPr>
                      </pic:pic>
                    </a:graphicData>
                  </a:graphic>
                </wp:inline>
              </w:drawing>
            </w:r>
          </w:p>
        </w:tc>
        <w:tc>
          <w:tcPr>
            <w:tcW w:w="3942" w:type="dxa"/>
            <w:vAlign w:val="center"/>
          </w:tcPr>
          <w:p w14:paraId="01E10158" w14:textId="7446CC93" w:rsidR="00EE55EC" w:rsidRDefault="00EE55EC" w:rsidP="00D14415">
            <w:pPr>
              <w:rPr>
                <w:rFonts w:ascii="Calibri" w:hAnsi="Calibri" w:cs="Calibri"/>
              </w:rPr>
            </w:pPr>
            <w:r>
              <w:rPr>
                <w:rFonts w:ascii="Calibri" w:hAnsi="Calibri" w:cs="Calibri"/>
              </w:rPr>
              <w:t xml:space="preserve">Although the resource budget is on track, further pressure is expected from delayed project demand, additional paybill </w:t>
            </w:r>
            <w:r w:rsidR="00F44A4A">
              <w:rPr>
                <w:rFonts w:ascii="Calibri" w:hAnsi="Calibri" w:cs="Calibri"/>
              </w:rPr>
              <w:t>expense</w:t>
            </w:r>
            <w:r>
              <w:rPr>
                <w:rFonts w:ascii="Calibri" w:hAnsi="Calibri" w:cs="Calibri"/>
              </w:rPr>
              <w:t xml:space="preserve"> and cost of living / inflationary increas</w:t>
            </w:r>
            <w:r w:rsidR="00123F33">
              <w:rPr>
                <w:rFonts w:ascii="Calibri" w:hAnsi="Calibri" w:cs="Calibri"/>
              </w:rPr>
              <w:t>es</w:t>
            </w:r>
            <w:r>
              <w:rPr>
                <w:rFonts w:ascii="Calibri" w:hAnsi="Calibri" w:cs="Calibri"/>
              </w:rPr>
              <w:t xml:space="preserve">.  Slippage is expected on the indirect capital budget following recent peatland restoration estimates for the year. </w:t>
            </w:r>
          </w:p>
          <w:p w14:paraId="1EFD855A" w14:textId="77777777" w:rsidR="00EE55EC" w:rsidRDefault="00EE55EC" w:rsidP="00D14415">
            <w:pPr>
              <w:rPr>
                <w:rFonts w:ascii="Calibri" w:hAnsi="Calibri" w:cs="Calibri"/>
              </w:rPr>
            </w:pPr>
          </w:p>
          <w:p w14:paraId="06621372" w14:textId="475A72EF" w:rsidR="00E147E3" w:rsidRPr="00343ACD" w:rsidRDefault="00E147E3" w:rsidP="00EE55EC">
            <w:pPr>
              <w:rPr>
                <w:rFonts w:ascii="Calibri" w:hAnsi="Calibri" w:cs="Calibri"/>
              </w:rPr>
            </w:pPr>
            <w:r>
              <w:rPr>
                <w:rFonts w:ascii="Calibri" w:hAnsi="Calibri" w:cs="Calibri"/>
              </w:rPr>
              <w:t xml:space="preserve">The controllable project budget is based </w:t>
            </w:r>
            <w:r w:rsidR="00EE55EC">
              <w:rPr>
                <w:rFonts w:ascii="Calibri" w:hAnsi="Calibri" w:cs="Calibri"/>
              </w:rPr>
              <w:t>on a core paybill budget of £29.1</w:t>
            </w:r>
            <w:r>
              <w:rPr>
                <w:rFonts w:ascii="Calibri" w:hAnsi="Calibri" w:cs="Calibri"/>
              </w:rPr>
              <w:t>m</w:t>
            </w:r>
            <w:r w:rsidR="00EE55EC">
              <w:rPr>
                <w:rFonts w:ascii="Calibri" w:hAnsi="Calibri" w:cs="Calibri"/>
              </w:rPr>
              <w:t xml:space="preserve"> which</w:t>
            </w:r>
            <w:r>
              <w:rPr>
                <w:rFonts w:ascii="Calibri" w:hAnsi="Calibri" w:cs="Calibri"/>
              </w:rPr>
              <w:t xml:space="preserve"> was set £0.5m below the starting forecast </w:t>
            </w:r>
            <w:r w:rsidR="00EE55EC">
              <w:rPr>
                <w:rFonts w:ascii="Calibri" w:hAnsi="Calibri" w:cs="Calibri"/>
              </w:rPr>
              <w:t>to reflect</w:t>
            </w:r>
            <w:r>
              <w:rPr>
                <w:rFonts w:ascii="Calibri" w:hAnsi="Calibri" w:cs="Calibri"/>
              </w:rPr>
              <w:t xml:space="preserve"> savings to </w:t>
            </w:r>
            <w:r w:rsidR="00EE55EC">
              <w:rPr>
                <w:rFonts w:ascii="Calibri" w:hAnsi="Calibri" w:cs="Calibri"/>
              </w:rPr>
              <w:t>be realised through leavers/</w:t>
            </w:r>
            <w:r>
              <w:rPr>
                <w:rFonts w:ascii="Calibri" w:hAnsi="Calibri" w:cs="Calibri"/>
              </w:rPr>
              <w:t>vacancy gaps.</w:t>
            </w:r>
            <w:r w:rsidR="00EE55EC">
              <w:rPr>
                <w:rFonts w:ascii="Calibri" w:hAnsi="Calibri" w:cs="Calibri"/>
              </w:rPr>
              <w:t xml:space="preserve">  </w:t>
            </w:r>
            <w:r w:rsidRPr="004E4703">
              <w:rPr>
                <w:rFonts w:ascii="Calibri" w:hAnsi="Calibri" w:cs="Calibri"/>
              </w:rPr>
              <w:t>The paybill forecast is currently</w:t>
            </w:r>
            <w:r>
              <w:rPr>
                <w:rFonts w:ascii="Calibri" w:hAnsi="Calibri" w:cs="Calibri"/>
              </w:rPr>
              <w:t xml:space="preserve"> £0.3</w:t>
            </w:r>
            <w:r w:rsidRPr="004E4703">
              <w:rPr>
                <w:rFonts w:ascii="Calibri" w:hAnsi="Calibri" w:cs="Calibri"/>
              </w:rPr>
              <w:t>m above budget.</w:t>
            </w:r>
            <w:r>
              <w:rPr>
                <w:rFonts w:ascii="Calibri" w:hAnsi="Calibri" w:cs="Calibri"/>
              </w:rPr>
              <w:t xml:space="preserve"> </w:t>
            </w:r>
            <w:r w:rsidRPr="00343ACD">
              <w:rPr>
                <w:rFonts w:ascii="Calibri" w:hAnsi="Calibri" w:cs="Calibri"/>
              </w:rPr>
              <w:t xml:space="preserve"> </w:t>
            </w:r>
            <w:r w:rsidR="00EE55EC">
              <w:rPr>
                <w:rFonts w:ascii="Calibri" w:hAnsi="Calibri" w:cs="Calibri"/>
              </w:rPr>
              <w:t xml:space="preserve">Additional </w:t>
            </w:r>
            <w:r w:rsidRPr="00DF2EE7">
              <w:rPr>
                <w:rFonts w:ascii="Calibri" w:hAnsi="Calibri" w:cs="Calibri"/>
              </w:rPr>
              <w:t xml:space="preserve">savings </w:t>
            </w:r>
            <w:r w:rsidR="00EE55EC">
              <w:rPr>
                <w:rFonts w:ascii="Calibri" w:hAnsi="Calibri" w:cs="Calibri"/>
              </w:rPr>
              <w:t>and project surrenders are anticipated to allow expenditure to match the budget for the year.</w:t>
            </w:r>
          </w:p>
        </w:tc>
      </w:tr>
    </w:tbl>
    <w:p w14:paraId="77655EC2" w14:textId="77777777" w:rsidR="00E147E3" w:rsidRPr="00670ABC" w:rsidRDefault="00E147E3" w:rsidP="00E147E3">
      <w:pPr>
        <w:pStyle w:val="Heading2"/>
        <w:rPr>
          <w:rFonts w:ascii="Calibri" w:hAnsi="Calibri" w:cs="Calibri"/>
          <w:sz w:val="24"/>
        </w:rPr>
      </w:pPr>
      <w:r w:rsidRPr="00B6615A">
        <w:br w:type="page"/>
      </w:r>
      <w:r w:rsidRPr="00670ABC">
        <w:rPr>
          <w:rFonts w:ascii="Calibri" w:hAnsi="Calibri" w:cs="Calibri"/>
          <w:sz w:val="24"/>
        </w:rPr>
        <w:lastRenderedPageBreak/>
        <w:t>Finance</w:t>
      </w:r>
    </w:p>
    <w:p w14:paraId="06F12BCC" w14:textId="77777777" w:rsidR="00E147E3" w:rsidRPr="002336D3" w:rsidRDefault="00E147E3" w:rsidP="00E147E3">
      <w:pPr>
        <w:pStyle w:val="ListParagraph"/>
        <w:ind w:left="360"/>
        <w:rPr>
          <w:rFonts w:ascii="Calibri" w:hAnsi="Calibri" w:cs="Calibri"/>
          <w:sz w:val="24"/>
          <w:szCs w:val="24"/>
        </w:rPr>
      </w:pPr>
      <w:r>
        <w:rPr>
          <w:rFonts w:ascii="Calibri" w:hAnsi="Calibri" w:cs="Calibri"/>
          <w:b/>
          <w:sz w:val="24"/>
          <w:szCs w:val="24"/>
        </w:rPr>
        <w:t>Resource</w:t>
      </w:r>
      <w:r w:rsidRPr="002336D3">
        <w:rPr>
          <w:rFonts w:ascii="Calibri" w:hAnsi="Calibri" w:cs="Calibri"/>
          <w:b/>
          <w:sz w:val="24"/>
          <w:szCs w:val="24"/>
        </w:rPr>
        <w:t xml:space="preserve"> Budget Performance</w:t>
      </w:r>
    </w:p>
    <w:p w14:paraId="6D29D333" w14:textId="77777777" w:rsidR="00E147E3" w:rsidRPr="009D417E" w:rsidRDefault="00E147E3" w:rsidP="00E147E3">
      <w:pPr>
        <w:pStyle w:val="ListParagraph"/>
        <w:numPr>
          <w:ilvl w:val="0"/>
          <w:numId w:val="8"/>
        </w:numPr>
        <w:spacing w:after="200" w:line="276" w:lineRule="auto"/>
        <w:rPr>
          <w:rFonts w:ascii="Calibri" w:hAnsi="Calibri" w:cs="Calibri"/>
          <w:sz w:val="24"/>
          <w:szCs w:val="24"/>
        </w:rPr>
      </w:pPr>
      <w:proofErr w:type="gramStart"/>
      <w:r>
        <w:rPr>
          <w:rFonts w:ascii="Calibri" w:hAnsi="Calibri" w:cs="Calibri"/>
          <w:sz w:val="24"/>
          <w:szCs w:val="24"/>
        </w:rPr>
        <w:t>An overspend</w:t>
      </w:r>
      <w:proofErr w:type="gramEnd"/>
      <w:r>
        <w:rPr>
          <w:rFonts w:ascii="Calibri" w:hAnsi="Calibri" w:cs="Calibri"/>
          <w:sz w:val="24"/>
          <w:szCs w:val="24"/>
        </w:rPr>
        <w:t xml:space="preserve"> of £0.591</w:t>
      </w:r>
      <w:r w:rsidRPr="009D417E">
        <w:rPr>
          <w:rFonts w:ascii="Calibri" w:hAnsi="Calibri" w:cs="Calibri"/>
          <w:sz w:val="24"/>
          <w:szCs w:val="24"/>
        </w:rPr>
        <w:t>m is currently forecast on the Operating budget</w:t>
      </w:r>
      <w:r>
        <w:rPr>
          <w:rFonts w:ascii="Calibri" w:hAnsi="Calibri" w:cs="Calibri"/>
          <w:sz w:val="24"/>
          <w:szCs w:val="24"/>
        </w:rPr>
        <w:t>, however it is</w:t>
      </w:r>
      <w:r w:rsidRPr="009D417E">
        <w:rPr>
          <w:rFonts w:ascii="Calibri" w:hAnsi="Calibri" w:cs="Calibri"/>
          <w:sz w:val="24"/>
          <w:szCs w:val="24"/>
        </w:rPr>
        <w:t xml:space="preserve"> anticipated that we will end the year within our target outturn.  At the same point in 2021/22 </w:t>
      </w:r>
      <w:proofErr w:type="gramStart"/>
      <w:r w:rsidRPr="009D417E">
        <w:rPr>
          <w:rFonts w:ascii="Calibri" w:hAnsi="Calibri" w:cs="Calibri"/>
          <w:sz w:val="24"/>
          <w:szCs w:val="24"/>
        </w:rPr>
        <w:t>an overspend</w:t>
      </w:r>
      <w:proofErr w:type="gramEnd"/>
      <w:r w:rsidRPr="009D417E">
        <w:rPr>
          <w:rFonts w:ascii="Calibri" w:hAnsi="Calibri" w:cs="Calibri"/>
          <w:sz w:val="24"/>
          <w:szCs w:val="24"/>
        </w:rPr>
        <w:t xml:space="preserve"> of £</w:t>
      </w:r>
      <w:r>
        <w:rPr>
          <w:rFonts w:ascii="Calibri" w:hAnsi="Calibri" w:cs="Calibri"/>
          <w:sz w:val="24"/>
          <w:szCs w:val="24"/>
        </w:rPr>
        <w:t>0.338</w:t>
      </w:r>
      <w:r w:rsidRPr="009D417E">
        <w:rPr>
          <w:rFonts w:ascii="Calibri" w:hAnsi="Calibri" w:cs="Calibri"/>
          <w:sz w:val="24"/>
          <w:szCs w:val="24"/>
        </w:rPr>
        <w:t xml:space="preserve">m was forecast.  </w:t>
      </w:r>
    </w:p>
    <w:p w14:paraId="78983E2A" w14:textId="36EE7B1C" w:rsidR="00E147E3" w:rsidRPr="00EE55EC" w:rsidRDefault="00E147E3" w:rsidP="00E147E3">
      <w:pPr>
        <w:pStyle w:val="ListParagraph"/>
        <w:numPr>
          <w:ilvl w:val="0"/>
          <w:numId w:val="8"/>
        </w:numPr>
        <w:spacing w:line="276" w:lineRule="auto"/>
        <w:jc w:val="both"/>
        <w:rPr>
          <w:sz w:val="24"/>
          <w:szCs w:val="24"/>
        </w:rPr>
      </w:pPr>
      <w:r>
        <w:rPr>
          <w:rFonts w:ascii="Calibri" w:hAnsi="Calibri" w:cs="Calibri"/>
          <w:sz w:val="24"/>
          <w:szCs w:val="24"/>
        </w:rPr>
        <w:t xml:space="preserve">SG </w:t>
      </w:r>
      <w:r w:rsidR="00EE55EC">
        <w:rPr>
          <w:rFonts w:ascii="Calibri" w:hAnsi="Calibri" w:cs="Calibri"/>
          <w:sz w:val="24"/>
          <w:szCs w:val="24"/>
        </w:rPr>
        <w:t>have advised on</w:t>
      </w:r>
      <w:r>
        <w:rPr>
          <w:rFonts w:ascii="Calibri" w:hAnsi="Calibri" w:cs="Calibri"/>
          <w:sz w:val="24"/>
          <w:szCs w:val="24"/>
        </w:rPr>
        <w:t xml:space="preserve"> a</w:t>
      </w:r>
      <w:r w:rsidRPr="009D417E">
        <w:rPr>
          <w:rFonts w:ascii="Calibri" w:hAnsi="Calibri" w:cs="Calibri"/>
          <w:sz w:val="24"/>
          <w:szCs w:val="24"/>
        </w:rPr>
        <w:t>dditional budget</w:t>
      </w:r>
      <w:r w:rsidR="00F44A4A">
        <w:rPr>
          <w:rFonts w:ascii="Calibri" w:hAnsi="Calibri" w:cs="Calibri"/>
          <w:sz w:val="24"/>
          <w:szCs w:val="24"/>
        </w:rPr>
        <w:t xml:space="preserve"> al</w:t>
      </w:r>
      <w:r w:rsidR="00120ED1">
        <w:rPr>
          <w:rFonts w:ascii="Calibri" w:hAnsi="Calibri" w:cs="Calibri"/>
          <w:sz w:val="24"/>
          <w:szCs w:val="24"/>
        </w:rPr>
        <w:t>l</w:t>
      </w:r>
      <w:r w:rsidR="00F44A4A">
        <w:rPr>
          <w:rFonts w:ascii="Calibri" w:hAnsi="Calibri" w:cs="Calibri"/>
          <w:sz w:val="24"/>
          <w:szCs w:val="24"/>
        </w:rPr>
        <w:t>ocations</w:t>
      </w:r>
      <w:r w:rsidRPr="009D417E">
        <w:rPr>
          <w:rFonts w:ascii="Calibri" w:hAnsi="Calibri" w:cs="Calibri"/>
          <w:sz w:val="24"/>
          <w:szCs w:val="24"/>
        </w:rPr>
        <w:t xml:space="preserve"> </w:t>
      </w:r>
      <w:r w:rsidR="00EE55EC">
        <w:rPr>
          <w:rFonts w:ascii="Calibri" w:hAnsi="Calibri" w:cs="Calibri"/>
          <w:sz w:val="24"/>
          <w:szCs w:val="24"/>
        </w:rPr>
        <w:t>to be</w:t>
      </w:r>
      <w:r>
        <w:rPr>
          <w:rFonts w:ascii="Calibri" w:hAnsi="Calibri" w:cs="Calibri"/>
          <w:sz w:val="24"/>
          <w:szCs w:val="24"/>
        </w:rPr>
        <w:t xml:space="preserve"> receive</w:t>
      </w:r>
      <w:r w:rsidR="00EE55EC">
        <w:rPr>
          <w:rFonts w:ascii="Calibri" w:hAnsi="Calibri" w:cs="Calibri"/>
          <w:sz w:val="24"/>
          <w:szCs w:val="24"/>
        </w:rPr>
        <w:t>d</w:t>
      </w:r>
      <w:r>
        <w:rPr>
          <w:rFonts w:ascii="Calibri" w:hAnsi="Calibri" w:cs="Calibri"/>
          <w:sz w:val="24"/>
          <w:szCs w:val="24"/>
        </w:rPr>
        <w:t xml:space="preserve"> at ABR and SBR</w:t>
      </w:r>
      <w:r w:rsidR="00EE55EC">
        <w:rPr>
          <w:rFonts w:ascii="Calibri" w:hAnsi="Calibri" w:cs="Calibri"/>
          <w:sz w:val="24"/>
          <w:szCs w:val="24"/>
        </w:rPr>
        <w:t xml:space="preserve"> but full confirmation is awaited</w:t>
      </w:r>
      <w:r>
        <w:rPr>
          <w:rFonts w:ascii="Calibri" w:hAnsi="Calibri" w:cs="Calibri"/>
          <w:sz w:val="24"/>
          <w:szCs w:val="24"/>
        </w:rPr>
        <w:t>.  We are set to receive £17.</w:t>
      </w:r>
      <w:r w:rsidR="00123F33">
        <w:rPr>
          <w:rFonts w:ascii="Calibri" w:hAnsi="Calibri" w:cs="Calibri"/>
          <w:sz w:val="24"/>
          <w:szCs w:val="24"/>
        </w:rPr>
        <w:t>676m at ABR and £7.895m at SBR.</w:t>
      </w:r>
    </w:p>
    <w:p w14:paraId="0395CE2B" w14:textId="1C1E9D70" w:rsidR="00E147E3" w:rsidRPr="00EE55EC" w:rsidRDefault="00EE55EC" w:rsidP="00E147E3">
      <w:pPr>
        <w:pStyle w:val="ListParagraph"/>
        <w:numPr>
          <w:ilvl w:val="0"/>
          <w:numId w:val="8"/>
        </w:numPr>
        <w:spacing w:line="276" w:lineRule="auto"/>
        <w:jc w:val="both"/>
        <w:rPr>
          <w:rFonts w:ascii="Calibri" w:hAnsi="Calibri" w:cs="Calibri"/>
          <w:sz w:val="24"/>
          <w:szCs w:val="24"/>
        </w:rPr>
      </w:pPr>
      <w:r w:rsidRPr="00EE55EC">
        <w:rPr>
          <w:rFonts w:ascii="Calibri" w:hAnsi="Calibri" w:cs="Calibri"/>
          <w:sz w:val="24"/>
          <w:szCs w:val="24"/>
        </w:rPr>
        <w:t xml:space="preserve">Along with additional paybill costs and inflationary pressures, there is also upwards pressure on the forecast from delayed project demand yet to be allocated.  Whilst we are currently forecasting that expenditure will match budget for the year, these variables </w:t>
      </w:r>
      <w:r w:rsidR="00F44A4A">
        <w:rPr>
          <w:rFonts w:ascii="Calibri" w:hAnsi="Calibri" w:cs="Calibri"/>
          <w:sz w:val="24"/>
          <w:szCs w:val="24"/>
        </w:rPr>
        <w:t>and</w:t>
      </w:r>
      <w:r w:rsidRPr="00EE55EC">
        <w:rPr>
          <w:rFonts w:ascii="Calibri" w:hAnsi="Calibri" w:cs="Calibri"/>
          <w:sz w:val="24"/>
          <w:szCs w:val="24"/>
        </w:rPr>
        <w:t xml:space="preserve"> measure</w:t>
      </w:r>
      <w:r w:rsidR="00F44A4A">
        <w:rPr>
          <w:rFonts w:ascii="Calibri" w:hAnsi="Calibri" w:cs="Calibri"/>
          <w:sz w:val="24"/>
          <w:szCs w:val="24"/>
        </w:rPr>
        <w:t>s</w:t>
      </w:r>
      <w:r w:rsidRPr="00EE55EC">
        <w:rPr>
          <w:rFonts w:ascii="Calibri" w:hAnsi="Calibri" w:cs="Calibri"/>
          <w:sz w:val="24"/>
          <w:szCs w:val="24"/>
        </w:rPr>
        <w:t xml:space="preserve"> to address them are still to be resolved. </w:t>
      </w:r>
    </w:p>
    <w:p w14:paraId="2512F34E" w14:textId="77777777" w:rsidR="00E147E3" w:rsidRPr="002336D3" w:rsidRDefault="00E147E3" w:rsidP="00E147E3">
      <w:pPr>
        <w:pStyle w:val="ListParagraph"/>
        <w:numPr>
          <w:ilvl w:val="0"/>
          <w:numId w:val="8"/>
        </w:numPr>
        <w:spacing w:after="200" w:line="276" w:lineRule="auto"/>
        <w:rPr>
          <w:rFonts w:ascii="Calibri" w:hAnsi="Calibri" w:cs="Calibri"/>
          <w:sz w:val="24"/>
          <w:szCs w:val="24"/>
        </w:rPr>
      </w:pPr>
      <w:r w:rsidRPr="002336D3">
        <w:rPr>
          <w:rFonts w:ascii="Calibri" w:hAnsi="Calibri" w:cs="Calibri"/>
          <w:sz w:val="24"/>
          <w:szCs w:val="24"/>
        </w:rPr>
        <w:t>The budget</w:t>
      </w:r>
      <w:r>
        <w:rPr>
          <w:rFonts w:ascii="Calibri" w:hAnsi="Calibri" w:cs="Calibri"/>
          <w:sz w:val="24"/>
          <w:szCs w:val="24"/>
        </w:rPr>
        <w:t xml:space="preserve"> management</w:t>
      </w:r>
      <w:r w:rsidRPr="002336D3">
        <w:rPr>
          <w:rFonts w:ascii="Calibri" w:hAnsi="Calibri" w:cs="Calibri"/>
          <w:sz w:val="24"/>
          <w:szCs w:val="24"/>
        </w:rPr>
        <w:t xml:space="preserve"> exercise </w:t>
      </w:r>
      <w:r>
        <w:rPr>
          <w:rFonts w:ascii="Calibri" w:hAnsi="Calibri" w:cs="Calibri"/>
          <w:sz w:val="24"/>
          <w:szCs w:val="24"/>
        </w:rPr>
        <w:t>began</w:t>
      </w:r>
      <w:r w:rsidRPr="002336D3">
        <w:rPr>
          <w:rFonts w:ascii="Calibri" w:hAnsi="Calibri" w:cs="Calibri"/>
          <w:sz w:val="24"/>
          <w:szCs w:val="24"/>
        </w:rPr>
        <w:t xml:space="preserve"> in early Q2, challenging uncommitted budgets and ensuring that allocations are optimised with respect to high priority work consider</w:t>
      </w:r>
      <w:r>
        <w:rPr>
          <w:rFonts w:ascii="Calibri" w:hAnsi="Calibri" w:cs="Calibri"/>
          <w:sz w:val="24"/>
          <w:szCs w:val="24"/>
        </w:rPr>
        <w:t>ed achievable during the remainder of the year</w:t>
      </w:r>
      <w:r w:rsidRPr="002336D3">
        <w:rPr>
          <w:rFonts w:ascii="Calibri" w:hAnsi="Calibri" w:cs="Calibri"/>
          <w:sz w:val="24"/>
          <w:szCs w:val="24"/>
        </w:rPr>
        <w:t>.</w:t>
      </w:r>
    </w:p>
    <w:p w14:paraId="630CCD34" w14:textId="77777777" w:rsidR="00E147E3" w:rsidRPr="002336D3" w:rsidRDefault="00E147E3" w:rsidP="00E147E3">
      <w:pPr>
        <w:pStyle w:val="ListParagraph"/>
        <w:numPr>
          <w:ilvl w:val="0"/>
          <w:numId w:val="8"/>
        </w:numPr>
        <w:spacing w:after="200" w:line="276" w:lineRule="auto"/>
        <w:rPr>
          <w:rFonts w:ascii="Calibri" w:hAnsi="Calibri" w:cs="Calibri"/>
          <w:sz w:val="24"/>
          <w:szCs w:val="24"/>
        </w:rPr>
      </w:pPr>
      <w:r w:rsidRPr="002336D3">
        <w:rPr>
          <w:rFonts w:ascii="Calibri" w:hAnsi="Calibri" w:cs="Calibri"/>
          <w:sz w:val="24"/>
          <w:szCs w:val="24"/>
        </w:rPr>
        <w:t>We will continue to monitor project surrenders</w:t>
      </w:r>
      <w:r>
        <w:rPr>
          <w:rFonts w:ascii="Calibri" w:hAnsi="Calibri" w:cs="Calibri"/>
          <w:sz w:val="24"/>
          <w:szCs w:val="24"/>
        </w:rPr>
        <w:t xml:space="preserve"> throughout the year, using </w:t>
      </w:r>
      <w:r w:rsidRPr="002336D3">
        <w:rPr>
          <w:rFonts w:ascii="Calibri" w:hAnsi="Calibri" w:cs="Calibri"/>
          <w:sz w:val="24"/>
          <w:szCs w:val="24"/>
        </w:rPr>
        <w:t xml:space="preserve">our knowledge and experience of previous slippage patterns to ensure </w:t>
      </w:r>
      <w:r>
        <w:rPr>
          <w:rFonts w:ascii="Calibri" w:hAnsi="Calibri" w:cs="Calibri"/>
          <w:sz w:val="24"/>
          <w:szCs w:val="24"/>
        </w:rPr>
        <w:t xml:space="preserve">that appropriate </w:t>
      </w:r>
      <w:r w:rsidRPr="002336D3">
        <w:rPr>
          <w:rFonts w:ascii="Calibri" w:hAnsi="Calibri" w:cs="Calibri"/>
          <w:sz w:val="24"/>
          <w:szCs w:val="24"/>
        </w:rPr>
        <w:t xml:space="preserve">demand is ready to allocate when funds become available.  </w:t>
      </w:r>
    </w:p>
    <w:p w14:paraId="7D2923DF" w14:textId="77777777" w:rsidR="00E147E3" w:rsidRPr="00C14474" w:rsidRDefault="00E147E3" w:rsidP="00E147E3">
      <w:pPr>
        <w:pStyle w:val="ListParagraph"/>
        <w:numPr>
          <w:ilvl w:val="0"/>
          <w:numId w:val="8"/>
        </w:numPr>
        <w:spacing w:after="200" w:line="276" w:lineRule="auto"/>
        <w:rPr>
          <w:rFonts w:ascii="Calibri" w:hAnsi="Calibri" w:cs="Calibri"/>
          <w:sz w:val="24"/>
          <w:szCs w:val="24"/>
        </w:rPr>
      </w:pPr>
      <w:r w:rsidRPr="00C14474">
        <w:rPr>
          <w:rFonts w:ascii="Calibri" w:hAnsi="Calibri" w:cs="Calibri"/>
          <w:sz w:val="24"/>
          <w:szCs w:val="24"/>
        </w:rPr>
        <w:t>The paybill outturn is currently projected to exceed the budget by £0.365m.  This follows the early approval of staffing requirements for 2022/23 in response to identified resourcing pressures.  This proactive approach ensures that we can respond to the developing needs of the organisation in the right timeframe.  It is anticipated that additional savings will be achieved throughout the year.</w:t>
      </w:r>
    </w:p>
    <w:p w14:paraId="2E521601" w14:textId="77777777" w:rsidR="00E147E3" w:rsidRDefault="00E147E3" w:rsidP="00E147E3">
      <w:pPr>
        <w:keepNext/>
        <w:keepLines/>
        <w:ind w:left="360"/>
        <w:contextualSpacing/>
        <w:outlineLvl w:val="1"/>
        <w:rPr>
          <w:rFonts w:ascii="Calibri" w:eastAsia="Times New Roman" w:hAnsi="Calibri" w:cs="Calibri"/>
          <w:b/>
          <w:sz w:val="24"/>
          <w:szCs w:val="24"/>
        </w:rPr>
      </w:pPr>
      <w:r>
        <w:rPr>
          <w:rFonts w:ascii="Calibri" w:eastAsia="Times New Roman" w:hAnsi="Calibri" w:cs="Calibri"/>
          <w:b/>
          <w:sz w:val="24"/>
          <w:szCs w:val="24"/>
        </w:rPr>
        <w:t>Indirect Capital Funding Programmes (including Peatlands)</w:t>
      </w:r>
    </w:p>
    <w:p w14:paraId="1E22DEBC" w14:textId="3A66FE84" w:rsidR="00E147E3" w:rsidRPr="00F34A1D" w:rsidRDefault="00E147E3" w:rsidP="00E147E3">
      <w:pPr>
        <w:pStyle w:val="ListParagraph"/>
        <w:numPr>
          <w:ilvl w:val="0"/>
          <w:numId w:val="18"/>
        </w:numPr>
        <w:spacing w:after="200" w:line="259" w:lineRule="auto"/>
        <w:ind w:left="714" w:hanging="357"/>
        <w:rPr>
          <w:rFonts w:ascii="Calibri" w:hAnsi="Calibri" w:cs="Calibri"/>
          <w:sz w:val="24"/>
          <w:szCs w:val="24"/>
        </w:rPr>
      </w:pPr>
      <w:r w:rsidRPr="00F34A1D">
        <w:rPr>
          <w:rFonts w:ascii="Calibri" w:hAnsi="Calibri" w:cs="Calibri"/>
          <w:sz w:val="24"/>
          <w:szCs w:val="24"/>
        </w:rPr>
        <w:t>We are</w:t>
      </w:r>
      <w:r w:rsidR="00EE55EC">
        <w:rPr>
          <w:rFonts w:ascii="Calibri" w:hAnsi="Calibri" w:cs="Calibri"/>
          <w:sz w:val="24"/>
          <w:szCs w:val="24"/>
        </w:rPr>
        <w:t xml:space="preserve"> currently</w:t>
      </w:r>
      <w:r w:rsidRPr="00F34A1D">
        <w:rPr>
          <w:rFonts w:ascii="Calibri" w:hAnsi="Calibri" w:cs="Calibri"/>
          <w:sz w:val="24"/>
          <w:szCs w:val="24"/>
        </w:rPr>
        <w:t xml:space="preserve"> forecasting an overall underspend on Indirect Capital of £0.070m.  </w:t>
      </w:r>
    </w:p>
    <w:p w14:paraId="1640CDA0" w14:textId="7B23473D" w:rsidR="00E147E3" w:rsidRPr="00EE55EC" w:rsidRDefault="00E147E3" w:rsidP="00EE55EC">
      <w:pPr>
        <w:pStyle w:val="ListParagraph"/>
        <w:numPr>
          <w:ilvl w:val="0"/>
          <w:numId w:val="18"/>
        </w:numPr>
        <w:spacing w:after="200" w:line="259" w:lineRule="auto"/>
        <w:ind w:left="714" w:hanging="357"/>
        <w:rPr>
          <w:rFonts w:ascii="Calibri" w:hAnsi="Calibri" w:cs="Calibri"/>
          <w:sz w:val="24"/>
          <w:szCs w:val="24"/>
        </w:rPr>
      </w:pPr>
      <w:r>
        <w:rPr>
          <w:rFonts w:ascii="Calibri" w:hAnsi="Calibri" w:cs="Calibri"/>
          <w:sz w:val="24"/>
          <w:szCs w:val="24"/>
        </w:rPr>
        <w:t>SG have made £12.94</w:t>
      </w:r>
      <w:r w:rsidRPr="002336D3">
        <w:rPr>
          <w:rFonts w:ascii="Calibri" w:hAnsi="Calibri" w:cs="Calibri"/>
          <w:sz w:val="24"/>
          <w:szCs w:val="24"/>
        </w:rPr>
        <w:t xml:space="preserve">0m available to NatureScot to fund Peatland Action restoration, conservation, management and associated </w:t>
      </w:r>
      <w:r>
        <w:rPr>
          <w:rFonts w:ascii="Calibri" w:hAnsi="Calibri" w:cs="Calibri"/>
          <w:sz w:val="24"/>
          <w:szCs w:val="24"/>
        </w:rPr>
        <w:t>employee costs for 2022</w:t>
      </w:r>
      <w:r w:rsidRPr="002336D3">
        <w:rPr>
          <w:rFonts w:ascii="Calibri" w:hAnsi="Calibri" w:cs="Calibri"/>
          <w:sz w:val="24"/>
          <w:szCs w:val="24"/>
        </w:rPr>
        <w:t>/2</w:t>
      </w:r>
      <w:r w:rsidR="00F44A4A">
        <w:rPr>
          <w:rFonts w:ascii="Calibri" w:hAnsi="Calibri" w:cs="Calibri"/>
          <w:sz w:val="24"/>
          <w:szCs w:val="24"/>
        </w:rPr>
        <w:t>3.  T</w:t>
      </w:r>
      <w:r w:rsidRPr="00EE55EC">
        <w:rPr>
          <w:rFonts w:ascii="Calibri" w:hAnsi="Calibri" w:cs="Calibri"/>
          <w:sz w:val="24"/>
          <w:szCs w:val="24"/>
        </w:rPr>
        <w:t xml:space="preserve">he Peatlands forecast is </w:t>
      </w:r>
      <w:r w:rsidR="00EE55EC">
        <w:rPr>
          <w:rFonts w:ascii="Calibri" w:hAnsi="Calibri" w:cs="Calibri"/>
          <w:sz w:val="24"/>
          <w:szCs w:val="24"/>
        </w:rPr>
        <w:t xml:space="preserve">currently </w:t>
      </w:r>
      <w:r w:rsidRPr="00EE55EC">
        <w:rPr>
          <w:rFonts w:ascii="Calibri" w:hAnsi="Calibri" w:cs="Calibri"/>
          <w:sz w:val="24"/>
          <w:szCs w:val="24"/>
        </w:rPr>
        <w:t xml:space="preserve">being reviewed and </w:t>
      </w:r>
      <w:proofErr w:type="gramStart"/>
      <w:r w:rsidRPr="00EE55EC">
        <w:rPr>
          <w:rFonts w:ascii="Calibri" w:hAnsi="Calibri" w:cs="Calibri"/>
          <w:sz w:val="24"/>
          <w:szCs w:val="24"/>
        </w:rPr>
        <w:t>an underspe</w:t>
      </w:r>
      <w:r w:rsidR="00EE55EC">
        <w:rPr>
          <w:rFonts w:ascii="Calibri" w:hAnsi="Calibri" w:cs="Calibri"/>
          <w:sz w:val="24"/>
          <w:szCs w:val="24"/>
        </w:rPr>
        <w:t>nd</w:t>
      </w:r>
      <w:proofErr w:type="gramEnd"/>
      <w:r w:rsidR="00EE55EC">
        <w:rPr>
          <w:rFonts w:ascii="Calibri" w:hAnsi="Calibri" w:cs="Calibri"/>
          <w:sz w:val="24"/>
          <w:szCs w:val="24"/>
        </w:rPr>
        <w:t xml:space="preserve"> compared to budget is expected.</w:t>
      </w:r>
      <w:r w:rsidRPr="00EE55EC">
        <w:rPr>
          <w:rFonts w:ascii="Calibri" w:hAnsi="Calibri" w:cs="Calibri"/>
          <w:sz w:val="24"/>
          <w:szCs w:val="24"/>
        </w:rPr>
        <w:t> </w:t>
      </w:r>
    </w:p>
    <w:p w14:paraId="4F1D3D74" w14:textId="1370F031" w:rsidR="00E147E3" w:rsidRDefault="00E147E3" w:rsidP="00E147E3">
      <w:pPr>
        <w:pStyle w:val="ListParagraph"/>
        <w:numPr>
          <w:ilvl w:val="0"/>
          <w:numId w:val="8"/>
        </w:numPr>
        <w:spacing w:after="200" w:line="276" w:lineRule="auto"/>
        <w:rPr>
          <w:rFonts w:ascii="Calibri" w:hAnsi="Calibri" w:cs="Calibri"/>
          <w:sz w:val="24"/>
          <w:szCs w:val="24"/>
        </w:rPr>
      </w:pPr>
      <w:r w:rsidRPr="00F50C03">
        <w:rPr>
          <w:rFonts w:ascii="Calibri" w:hAnsi="Calibri" w:cs="Calibri"/>
          <w:sz w:val="24"/>
          <w:szCs w:val="24"/>
        </w:rPr>
        <w:t xml:space="preserve">Awards are being agreed for Nature Recovery Fund (NRF) with an over-allocation approach to ensure full budget spend is achieved, which will </w:t>
      </w:r>
      <w:r>
        <w:rPr>
          <w:rFonts w:ascii="Calibri" w:hAnsi="Calibri" w:cs="Calibri"/>
          <w:sz w:val="24"/>
          <w:szCs w:val="24"/>
        </w:rPr>
        <w:t>reduce</w:t>
      </w:r>
      <w:r w:rsidRPr="00F50C03">
        <w:rPr>
          <w:rFonts w:ascii="Calibri" w:hAnsi="Calibri" w:cs="Calibri"/>
          <w:sz w:val="24"/>
          <w:szCs w:val="24"/>
        </w:rPr>
        <w:t xml:space="preserve"> the current underspend.  </w:t>
      </w:r>
    </w:p>
    <w:p w14:paraId="2FCB6C2D" w14:textId="77777777" w:rsidR="00E147E3" w:rsidRPr="00C14474" w:rsidRDefault="00E147E3" w:rsidP="00E147E3">
      <w:pPr>
        <w:pStyle w:val="ListParagraph"/>
        <w:numPr>
          <w:ilvl w:val="0"/>
          <w:numId w:val="8"/>
        </w:numPr>
        <w:spacing w:after="200" w:line="276" w:lineRule="auto"/>
        <w:rPr>
          <w:rFonts w:ascii="Calibri" w:hAnsi="Calibri" w:cs="Calibri"/>
          <w:sz w:val="24"/>
          <w:szCs w:val="24"/>
        </w:rPr>
      </w:pPr>
      <w:r w:rsidRPr="00C14474">
        <w:rPr>
          <w:rFonts w:ascii="Calibri" w:hAnsi="Calibri" w:cs="Calibri"/>
          <w:sz w:val="24"/>
          <w:szCs w:val="24"/>
        </w:rPr>
        <w:t xml:space="preserve">Slippage from 2021/22 Biodiversity Challenge Fund (BCF) grants is being funded from the Nature Recovery Fund Indirect Capital budget (£0.341m).  </w:t>
      </w:r>
    </w:p>
    <w:p w14:paraId="2A01B671" w14:textId="77777777" w:rsidR="00E147E3" w:rsidRPr="008B131D" w:rsidRDefault="00E147E3" w:rsidP="00E147E3">
      <w:pPr>
        <w:pStyle w:val="ListParagraph"/>
        <w:numPr>
          <w:ilvl w:val="0"/>
          <w:numId w:val="8"/>
        </w:numPr>
        <w:spacing w:after="200" w:line="276" w:lineRule="auto"/>
        <w:rPr>
          <w:rFonts w:ascii="Calibri" w:hAnsi="Calibri" w:cs="Calibri"/>
          <w:sz w:val="24"/>
          <w:szCs w:val="24"/>
        </w:rPr>
      </w:pPr>
      <w:r>
        <w:rPr>
          <w:rFonts w:ascii="Calibri" w:hAnsi="Calibri" w:cs="Calibri"/>
          <w:sz w:val="24"/>
          <w:szCs w:val="24"/>
        </w:rPr>
        <w:t xml:space="preserve">The </w:t>
      </w:r>
      <w:r w:rsidRPr="00CD5A77">
        <w:rPr>
          <w:rFonts w:ascii="Calibri" w:hAnsi="Calibri" w:cs="Calibri"/>
          <w:sz w:val="24"/>
          <w:szCs w:val="24"/>
        </w:rPr>
        <w:t>Scottish Marine Environmental Enhancement Fund</w:t>
      </w:r>
      <w:r>
        <w:rPr>
          <w:rFonts w:ascii="Calibri" w:hAnsi="Calibri" w:cs="Calibri"/>
          <w:sz w:val="24"/>
          <w:szCs w:val="24"/>
        </w:rPr>
        <w:t xml:space="preserve"> is also being funded from the Nature Recovery Fund Indirect Capital budget this year (£0.666m).</w:t>
      </w:r>
    </w:p>
    <w:p w14:paraId="1EC0DA74" w14:textId="3050728F" w:rsidR="00E147E3" w:rsidRDefault="00E147E3" w:rsidP="00E147E3">
      <w:pPr>
        <w:pStyle w:val="ListParagraph"/>
        <w:numPr>
          <w:ilvl w:val="0"/>
          <w:numId w:val="8"/>
        </w:numPr>
        <w:spacing w:after="200" w:line="276" w:lineRule="auto"/>
        <w:rPr>
          <w:rFonts w:ascii="Calibri" w:hAnsi="Calibri" w:cs="Calibri"/>
          <w:sz w:val="24"/>
          <w:szCs w:val="24"/>
        </w:rPr>
      </w:pPr>
      <w:r w:rsidRPr="008A2BA4">
        <w:rPr>
          <w:rFonts w:ascii="Calibri" w:hAnsi="Calibri" w:cs="Calibri"/>
          <w:sz w:val="24"/>
          <w:szCs w:val="24"/>
        </w:rPr>
        <w:t xml:space="preserve">The impact of slippage on large value programmes such as </w:t>
      </w:r>
      <w:r w:rsidR="00EE55EC">
        <w:rPr>
          <w:rFonts w:ascii="Calibri" w:hAnsi="Calibri" w:cs="Calibri"/>
          <w:sz w:val="24"/>
          <w:szCs w:val="24"/>
        </w:rPr>
        <w:t>NRF</w:t>
      </w:r>
      <w:r w:rsidRPr="008A2BA4">
        <w:rPr>
          <w:rFonts w:ascii="Calibri" w:hAnsi="Calibri" w:cs="Calibri"/>
          <w:sz w:val="24"/>
          <w:szCs w:val="24"/>
        </w:rPr>
        <w:t xml:space="preserve"> presents a risk to spend leve</w:t>
      </w:r>
      <w:r>
        <w:rPr>
          <w:rFonts w:ascii="Calibri" w:hAnsi="Calibri" w:cs="Calibri"/>
          <w:sz w:val="24"/>
          <w:szCs w:val="24"/>
        </w:rPr>
        <w:t xml:space="preserve">ls.  The anticipated corporate slippage is 4% of the forecast outturn (£0.278m).  This is split against NRF/BCF/SMEEF Indirect Capital (£0.220m) and Resource (£0.056m) budgets. </w:t>
      </w:r>
    </w:p>
    <w:p w14:paraId="4329DFCA" w14:textId="0609879B" w:rsidR="007766E9" w:rsidRPr="007766E9" w:rsidRDefault="00E147E3" w:rsidP="007766E9">
      <w:pPr>
        <w:pStyle w:val="ListParagraph"/>
        <w:numPr>
          <w:ilvl w:val="0"/>
          <w:numId w:val="8"/>
        </w:numPr>
        <w:spacing w:after="200" w:line="276" w:lineRule="auto"/>
        <w:rPr>
          <w:rFonts w:ascii="Calibri" w:hAnsi="Calibri" w:cs="Calibri"/>
          <w:sz w:val="24"/>
          <w:szCs w:val="24"/>
        </w:rPr>
      </w:pPr>
      <w:r>
        <w:rPr>
          <w:rFonts w:ascii="Calibri" w:hAnsi="Calibri" w:cs="Calibri"/>
          <w:sz w:val="24"/>
          <w:szCs w:val="24"/>
        </w:rPr>
        <w:lastRenderedPageBreak/>
        <w:t xml:space="preserve">SG confirmed </w:t>
      </w:r>
      <w:r w:rsidRPr="00CD5A77">
        <w:rPr>
          <w:rFonts w:ascii="Calibri" w:hAnsi="Calibri" w:cs="Calibri"/>
          <w:sz w:val="24"/>
          <w:szCs w:val="24"/>
        </w:rPr>
        <w:t xml:space="preserve">they won’t be funding the </w:t>
      </w:r>
      <w:r>
        <w:rPr>
          <w:rFonts w:ascii="Calibri" w:hAnsi="Calibri" w:cs="Calibri"/>
          <w:sz w:val="24"/>
          <w:szCs w:val="24"/>
        </w:rPr>
        <w:t xml:space="preserve">21/22 slippage of </w:t>
      </w:r>
      <w:r w:rsidRPr="00CD5A77">
        <w:rPr>
          <w:rFonts w:ascii="Calibri" w:hAnsi="Calibri" w:cs="Calibri"/>
          <w:sz w:val="24"/>
          <w:szCs w:val="24"/>
        </w:rPr>
        <w:t xml:space="preserve">£0.150m for </w:t>
      </w:r>
      <w:proofErr w:type="spellStart"/>
      <w:r w:rsidRPr="00CD5A77">
        <w:rPr>
          <w:rFonts w:ascii="Calibri" w:hAnsi="Calibri" w:cs="Calibri"/>
          <w:sz w:val="24"/>
          <w:szCs w:val="24"/>
        </w:rPr>
        <w:t>GovTech</w:t>
      </w:r>
      <w:proofErr w:type="spellEnd"/>
      <w:r>
        <w:rPr>
          <w:rFonts w:ascii="Calibri" w:hAnsi="Calibri" w:cs="Calibri"/>
          <w:sz w:val="24"/>
          <w:szCs w:val="24"/>
        </w:rPr>
        <w:t xml:space="preserve">.  We are funding this from the anticipated corporate slippage.    </w:t>
      </w:r>
    </w:p>
    <w:p w14:paraId="1C33800B" w14:textId="77777777" w:rsidR="00E147E3" w:rsidRPr="002336D3" w:rsidRDefault="00E147E3" w:rsidP="00E147E3">
      <w:pPr>
        <w:keepNext/>
        <w:keepLines/>
        <w:ind w:left="360"/>
        <w:contextualSpacing/>
        <w:outlineLvl w:val="1"/>
        <w:rPr>
          <w:rFonts w:ascii="Calibri" w:eastAsia="Times New Roman" w:hAnsi="Calibri" w:cs="Calibri"/>
          <w:sz w:val="24"/>
          <w:szCs w:val="24"/>
        </w:rPr>
      </w:pPr>
      <w:r>
        <w:rPr>
          <w:rFonts w:ascii="Calibri" w:eastAsia="Times New Roman" w:hAnsi="Calibri" w:cs="Calibri"/>
          <w:b/>
          <w:sz w:val="24"/>
          <w:szCs w:val="24"/>
        </w:rPr>
        <w:t>Structural Funds Programmes</w:t>
      </w:r>
    </w:p>
    <w:p w14:paraId="7EC3DC64" w14:textId="28FC78D7" w:rsidR="00E147E3" w:rsidRPr="00F33339" w:rsidRDefault="00E147E3" w:rsidP="00E147E3">
      <w:pPr>
        <w:pStyle w:val="ListParagraph"/>
        <w:numPr>
          <w:ilvl w:val="0"/>
          <w:numId w:val="19"/>
        </w:numPr>
        <w:spacing w:after="120" w:line="276" w:lineRule="auto"/>
        <w:ind w:left="714" w:hanging="357"/>
        <w:jc w:val="both"/>
        <w:rPr>
          <w:rFonts w:ascii="Calibri" w:hAnsi="Calibri" w:cs="Calibri"/>
          <w:sz w:val="24"/>
          <w:szCs w:val="24"/>
        </w:rPr>
      </w:pPr>
      <w:r w:rsidRPr="00F33339">
        <w:rPr>
          <w:rFonts w:ascii="Calibri" w:hAnsi="Calibri" w:cs="Calibri"/>
          <w:sz w:val="24"/>
          <w:szCs w:val="24"/>
        </w:rPr>
        <w:t xml:space="preserve">Green Infrastructure claim </w:t>
      </w:r>
      <w:r w:rsidR="00F33339" w:rsidRPr="00F33339">
        <w:rPr>
          <w:rFonts w:ascii="Calibri" w:hAnsi="Calibri" w:cs="Calibri"/>
          <w:sz w:val="24"/>
          <w:szCs w:val="24"/>
        </w:rPr>
        <w:t xml:space="preserve">8 and </w:t>
      </w:r>
      <w:r w:rsidRPr="00F33339">
        <w:rPr>
          <w:rFonts w:ascii="Calibri" w:hAnsi="Calibri" w:cs="Calibri"/>
          <w:sz w:val="24"/>
          <w:szCs w:val="24"/>
        </w:rPr>
        <w:t xml:space="preserve">NCHF claim </w:t>
      </w:r>
      <w:r w:rsidR="00F33339" w:rsidRPr="00F33339">
        <w:rPr>
          <w:rFonts w:ascii="Calibri" w:hAnsi="Calibri" w:cs="Calibri"/>
          <w:sz w:val="24"/>
          <w:szCs w:val="24"/>
        </w:rPr>
        <w:t>1 were paid during Q2.  The next claims for each programme total</w:t>
      </w:r>
      <w:r w:rsidR="00F33339">
        <w:rPr>
          <w:rFonts w:ascii="Calibri" w:hAnsi="Calibri" w:cs="Calibri"/>
          <w:sz w:val="24"/>
          <w:szCs w:val="24"/>
        </w:rPr>
        <w:t>ling</w:t>
      </w:r>
      <w:r w:rsidR="00F33339" w:rsidRPr="00F33339">
        <w:rPr>
          <w:rFonts w:ascii="Calibri" w:hAnsi="Calibri" w:cs="Calibri"/>
          <w:sz w:val="24"/>
          <w:szCs w:val="24"/>
        </w:rPr>
        <w:t xml:space="preserve"> £3.2m will</w:t>
      </w:r>
      <w:r w:rsidR="00F33339">
        <w:rPr>
          <w:rFonts w:ascii="Calibri" w:hAnsi="Calibri" w:cs="Calibri"/>
          <w:sz w:val="24"/>
          <w:szCs w:val="24"/>
        </w:rPr>
        <w:t xml:space="preserve"> be submitted during Q3.  C</w:t>
      </w:r>
      <w:r w:rsidR="00F33339" w:rsidRPr="00F33339">
        <w:rPr>
          <w:rFonts w:ascii="Calibri" w:hAnsi="Calibri" w:cs="Calibri"/>
          <w:sz w:val="24"/>
          <w:szCs w:val="24"/>
        </w:rPr>
        <w:t xml:space="preserve">laimants </w:t>
      </w:r>
      <w:r w:rsidR="00F33339">
        <w:rPr>
          <w:rFonts w:ascii="Calibri" w:hAnsi="Calibri" w:cs="Calibri"/>
          <w:sz w:val="24"/>
          <w:szCs w:val="24"/>
        </w:rPr>
        <w:t xml:space="preserve">will be </w:t>
      </w:r>
      <w:r w:rsidR="00F33339" w:rsidRPr="00F33339">
        <w:rPr>
          <w:rFonts w:ascii="Calibri" w:hAnsi="Calibri" w:cs="Calibri"/>
          <w:sz w:val="24"/>
          <w:szCs w:val="24"/>
        </w:rPr>
        <w:t xml:space="preserve">reimbursed by NatureScot in advance of this submission to SG.  Discussions are ongoing with Sponsor around an arrangement to provide cover for </w:t>
      </w:r>
      <w:r w:rsidR="00F33339">
        <w:rPr>
          <w:rFonts w:ascii="Calibri" w:hAnsi="Calibri" w:cs="Calibri"/>
          <w:sz w:val="24"/>
          <w:szCs w:val="24"/>
        </w:rPr>
        <w:t xml:space="preserve">the risk of </w:t>
      </w:r>
      <w:r w:rsidR="00F33339" w:rsidRPr="00F33339">
        <w:rPr>
          <w:rFonts w:ascii="Calibri" w:hAnsi="Calibri" w:cs="Calibri"/>
          <w:sz w:val="24"/>
          <w:szCs w:val="24"/>
        </w:rPr>
        <w:t>de</w:t>
      </w:r>
      <w:r w:rsidR="00120ED1">
        <w:rPr>
          <w:rFonts w:ascii="Calibri" w:hAnsi="Calibri" w:cs="Calibri"/>
          <w:sz w:val="24"/>
          <w:szCs w:val="24"/>
        </w:rPr>
        <w:t>-</w:t>
      </w:r>
      <w:r w:rsidR="00F33339" w:rsidRPr="00F33339">
        <w:rPr>
          <w:rFonts w:ascii="Calibri" w:hAnsi="Calibri" w:cs="Calibri"/>
          <w:sz w:val="24"/>
          <w:szCs w:val="24"/>
        </w:rPr>
        <w:t>commitment</w:t>
      </w:r>
      <w:r w:rsidR="00F33339">
        <w:rPr>
          <w:rFonts w:ascii="Calibri" w:hAnsi="Calibri" w:cs="Calibri"/>
          <w:sz w:val="24"/>
          <w:szCs w:val="24"/>
        </w:rPr>
        <w:t xml:space="preserve"> over the remainder of the programme</w:t>
      </w:r>
      <w:r w:rsidR="00F33339" w:rsidRPr="00F33339">
        <w:rPr>
          <w:rFonts w:ascii="Calibri" w:hAnsi="Calibri" w:cs="Calibri"/>
          <w:sz w:val="24"/>
          <w:szCs w:val="24"/>
        </w:rPr>
        <w:t>.</w:t>
      </w:r>
    </w:p>
    <w:p w14:paraId="3AEAE396" w14:textId="77777777" w:rsidR="00E147E3" w:rsidRDefault="00E147E3" w:rsidP="00E147E3">
      <w:pPr>
        <w:pStyle w:val="ListParagraph"/>
        <w:spacing w:after="120" w:line="276" w:lineRule="auto"/>
        <w:ind w:left="714"/>
        <w:jc w:val="both"/>
        <w:rPr>
          <w:rFonts w:ascii="Calibri" w:hAnsi="Calibri" w:cs="Calibri"/>
          <w:sz w:val="24"/>
          <w:szCs w:val="24"/>
          <w:highlight w:val="yellow"/>
        </w:rPr>
      </w:pPr>
    </w:p>
    <w:p w14:paraId="6029C3B0" w14:textId="77777777" w:rsidR="00E147E3" w:rsidRPr="002336D3" w:rsidRDefault="00E147E3" w:rsidP="00E147E3">
      <w:pPr>
        <w:keepNext/>
        <w:keepLines/>
        <w:ind w:left="360"/>
        <w:contextualSpacing/>
        <w:outlineLvl w:val="1"/>
        <w:rPr>
          <w:rFonts w:ascii="Calibri" w:eastAsia="Times New Roman" w:hAnsi="Calibri" w:cs="Calibri"/>
          <w:sz w:val="24"/>
          <w:szCs w:val="24"/>
        </w:rPr>
      </w:pPr>
      <w:r w:rsidRPr="002336D3">
        <w:rPr>
          <w:rFonts w:ascii="Calibri" w:eastAsia="Times New Roman" w:hAnsi="Calibri" w:cs="Calibri"/>
          <w:b/>
          <w:sz w:val="24"/>
          <w:szCs w:val="24"/>
        </w:rPr>
        <w:t>Capital Budget Performance</w:t>
      </w:r>
    </w:p>
    <w:p w14:paraId="3D451ABE" w14:textId="77777777" w:rsidR="00E147E3" w:rsidRDefault="00E147E3" w:rsidP="00E147E3">
      <w:pPr>
        <w:pStyle w:val="ListParagraph"/>
        <w:numPr>
          <w:ilvl w:val="0"/>
          <w:numId w:val="8"/>
        </w:numPr>
        <w:spacing w:after="200" w:line="276" w:lineRule="auto"/>
        <w:jc w:val="both"/>
        <w:rPr>
          <w:rFonts w:ascii="Calibri" w:hAnsi="Calibri" w:cs="Calibri"/>
          <w:sz w:val="24"/>
          <w:szCs w:val="24"/>
        </w:rPr>
      </w:pPr>
      <w:proofErr w:type="gramStart"/>
      <w:r w:rsidRPr="002C0D29">
        <w:rPr>
          <w:rFonts w:ascii="Calibri" w:hAnsi="Calibri" w:cs="Calibri"/>
          <w:sz w:val="24"/>
          <w:szCs w:val="24"/>
        </w:rPr>
        <w:t xml:space="preserve">An </w:t>
      </w:r>
      <w:r>
        <w:rPr>
          <w:rFonts w:ascii="Calibri" w:hAnsi="Calibri" w:cs="Calibri"/>
          <w:sz w:val="24"/>
          <w:szCs w:val="24"/>
        </w:rPr>
        <w:t>underspend</w:t>
      </w:r>
      <w:proofErr w:type="gramEnd"/>
      <w:r>
        <w:rPr>
          <w:rFonts w:ascii="Calibri" w:hAnsi="Calibri" w:cs="Calibri"/>
          <w:sz w:val="24"/>
          <w:szCs w:val="24"/>
        </w:rPr>
        <w:t xml:space="preserve"> of £0.019</w:t>
      </w:r>
      <w:r w:rsidRPr="002C0D29">
        <w:rPr>
          <w:rFonts w:ascii="Calibri" w:hAnsi="Calibri" w:cs="Calibri"/>
          <w:sz w:val="24"/>
          <w:szCs w:val="24"/>
        </w:rPr>
        <w:t>m is forecast on the capital budget</w:t>
      </w:r>
      <w:r>
        <w:rPr>
          <w:rFonts w:ascii="Calibri" w:hAnsi="Calibri" w:cs="Calibri"/>
          <w:sz w:val="24"/>
          <w:szCs w:val="24"/>
        </w:rPr>
        <w:t xml:space="preserve">. </w:t>
      </w:r>
    </w:p>
    <w:p w14:paraId="207FA795" w14:textId="56F5F16F" w:rsidR="00E147E3" w:rsidRDefault="00E147E3" w:rsidP="00E147E3">
      <w:pPr>
        <w:pStyle w:val="ListParagraph"/>
        <w:numPr>
          <w:ilvl w:val="0"/>
          <w:numId w:val="8"/>
        </w:numPr>
        <w:spacing w:after="120" w:line="276" w:lineRule="auto"/>
        <w:jc w:val="both"/>
        <w:rPr>
          <w:rFonts w:ascii="Calibri" w:hAnsi="Calibri" w:cs="Calibri"/>
          <w:sz w:val="24"/>
          <w:szCs w:val="24"/>
        </w:rPr>
      </w:pPr>
      <w:r w:rsidRPr="009D417E">
        <w:rPr>
          <w:rFonts w:ascii="Calibri" w:hAnsi="Calibri" w:cs="Calibri"/>
          <w:sz w:val="24"/>
          <w:szCs w:val="24"/>
        </w:rPr>
        <w:t xml:space="preserve">We have included the sale of </w:t>
      </w:r>
      <w:proofErr w:type="spellStart"/>
      <w:r w:rsidRPr="009D417E">
        <w:rPr>
          <w:rFonts w:ascii="Calibri" w:hAnsi="Calibri" w:cs="Calibri"/>
          <w:sz w:val="24"/>
          <w:szCs w:val="24"/>
        </w:rPr>
        <w:t>Glencripesdale</w:t>
      </w:r>
      <w:proofErr w:type="spellEnd"/>
      <w:r w:rsidRPr="009D417E">
        <w:rPr>
          <w:rFonts w:ascii="Calibri" w:hAnsi="Calibri" w:cs="Calibri"/>
          <w:sz w:val="24"/>
          <w:szCs w:val="24"/>
        </w:rPr>
        <w:t xml:space="preserve"> in the NBV figures which increases our ability to spend on Capital projects</w:t>
      </w:r>
      <w:r>
        <w:rPr>
          <w:rFonts w:ascii="Calibri" w:hAnsi="Calibri" w:cs="Calibri"/>
          <w:sz w:val="24"/>
          <w:szCs w:val="24"/>
        </w:rPr>
        <w:t xml:space="preserve"> by £0.750m</w:t>
      </w:r>
      <w:r w:rsidRPr="009D417E">
        <w:rPr>
          <w:rFonts w:ascii="Calibri" w:hAnsi="Calibri" w:cs="Calibri"/>
          <w:sz w:val="24"/>
          <w:szCs w:val="24"/>
        </w:rPr>
        <w:t xml:space="preserve">.  </w:t>
      </w:r>
      <w:r w:rsidR="00EE55EC">
        <w:rPr>
          <w:rFonts w:ascii="Calibri" w:hAnsi="Calibri" w:cs="Calibri"/>
          <w:sz w:val="24"/>
          <w:szCs w:val="24"/>
        </w:rPr>
        <w:t>SG have yet to provide approval this year that we can retail the proceeds for the sale</w:t>
      </w:r>
      <w:r w:rsidR="00F44A4A">
        <w:rPr>
          <w:rFonts w:ascii="Calibri" w:hAnsi="Calibri" w:cs="Calibri"/>
          <w:sz w:val="24"/>
          <w:szCs w:val="24"/>
        </w:rPr>
        <w:t xml:space="preserve"> (although it was agreed for 21/22)</w:t>
      </w:r>
      <w:r w:rsidR="00EE55EC">
        <w:rPr>
          <w:rFonts w:ascii="Calibri" w:hAnsi="Calibri" w:cs="Calibri"/>
          <w:sz w:val="24"/>
          <w:szCs w:val="24"/>
        </w:rPr>
        <w:t>.  This does present a risk as com</w:t>
      </w:r>
      <w:r w:rsidR="00F44A4A">
        <w:rPr>
          <w:rFonts w:ascii="Calibri" w:hAnsi="Calibri" w:cs="Calibri"/>
          <w:sz w:val="24"/>
          <w:szCs w:val="24"/>
        </w:rPr>
        <w:t>mitments to capital projects have</w:t>
      </w:r>
      <w:r w:rsidR="00EE55EC">
        <w:rPr>
          <w:rFonts w:ascii="Calibri" w:hAnsi="Calibri" w:cs="Calibri"/>
          <w:sz w:val="24"/>
          <w:szCs w:val="24"/>
        </w:rPr>
        <w:t xml:space="preserve"> already been made.  </w:t>
      </w:r>
    </w:p>
    <w:p w14:paraId="5C4CB274" w14:textId="1ADE90D3" w:rsidR="00E147E3" w:rsidRDefault="00E147E3" w:rsidP="00E147E3">
      <w:pPr>
        <w:pStyle w:val="ListParagraph"/>
        <w:numPr>
          <w:ilvl w:val="0"/>
          <w:numId w:val="8"/>
        </w:numPr>
        <w:spacing w:after="120" w:line="276" w:lineRule="auto"/>
        <w:jc w:val="both"/>
        <w:rPr>
          <w:rFonts w:ascii="Calibri" w:hAnsi="Calibri" w:cs="Calibri"/>
          <w:sz w:val="24"/>
          <w:szCs w:val="24"/>
        </w:rPr>
      </w:pPr>
      <w:r w:rsidRPr="009D417E">
        <w:rPr>
          <w:rFonts w:ascii="Calibri" w:hAnsi="Calibri" w:cs="Calibri"/>
          <w:sz w:val="24"/>
          <w:szCs w:val="24"/>
        </w:rPr>
        <w:t xml:space="preserve">The potential proceeds of the sale of Kinloch Castle are not currently reflected in the </w:t>
      </w:r>
      <w:r w:rsidR="00F44A4A">
        <w:rPr>
          <w:rFonts w:ascii="Calibri" w:hAnsi="Calibri" w:cs="Calibri"/>
          <w:sz w:val="24"/>
          <w:szCs w:val="24"/>
        </w:rPr>
        <w:t>financial position</w:t>
      </w:r>
      <w:r w:rsidRPr="009D417E">
        <w:rPr>
          <w:rFonts w:ascii="Calibri" w:hAnsi="Calibri" w:cs="Calibri"/>
          <w:sz w:val="24"/>
          <w:szCs w:val="24"/>
        </w:rPr>
        <w:t xml:space="preserve"> but </w:t>
      </w:r>
      <w:r w:rsidR="00F44A4A">
        <w:rPr>
          <w:rFonts w:ascii="Calibri" w:hAnsi="Calibri" w:cs="Calibri"/>
          <w:sz w:val="24"/>
          <w:szCs w:val="24"/>
        </w:rPr>
        <w:t>would</w:t>
      </w:r>
      <w:r w:rsidRPr="009D417E">
        <w:rPr>
          <w:rFonts w:ascii="Calibri" w:hAnsi="Calibri" w:cs="Calibri"/>
          <w:sz w:val="24"/>
          <w:szCs w:val="24"/>
        </w:rPr>
        <w:t xml:space="preserve"> be considered in </w:t>
      </w:r>
      <w:r>
        <w:rPr>
          <w:rFonts w:ascii="Calibri" w:hAnsi="Calibri" w:cs="Calibri"/>
          <w:sz w:val="24"/>
          <w:szCs w:val="24"/>
        </w:rPr>
        <w:t>any</w:t>
      </w:r>
      <w:r w:rsidRPr="009D417E">
        <w:rPr>
          <w:rFonts w:ascii="Calibri" w:hAnsi="Calibri" w:cs="Calibri"/>
          <w:sz w:val="24"/>
          <w:szCs w:val="24"/>
        </w:rPr>
        <w:t xml:space="preserve"> additional capital expenditure plans.</w:t>
      </w:r>
    </w:p>
    <w:p w14:paraId="0566F63E" w14:textId="77777777" w:rsidR="00E147E3" w:rsidRPr="00343ACD" w:rsidRDefault="00E147E3" w:rsidP="00E147E3">
      <w:pPr>
        <w:spacing w:after="120" w:line="276" w:lineRule="auto"/>
        <w:ind w:left="360"/>
        <w:jc w:val="both"/>
        <w:rPr>
          <w:rFonts w:ascii="Calibri" w:hAnsi="Calibri" w:cs="Calibri"/>
          <w:sz w:val="24"/>
          <w:szCs w:val="24"/>
        </w:rPr>
      </w:pPr>
    </w:p>
    <w:p w14:paraId="5A0163CA" w14:textId="77777777" w:rsidR="00E147E3" w:rsidRPr="001D66FE" w:rsidRDefault="00E147E3" w:rsidP="00E147E3">
      <w:pPr>
        <w:pStyle w:val="ListParagraph"/>
        <w:spacing w:after="200" w:line="276" w:lineRule="auto"/>
      </w:pPr>
    </w:p>
    <w:p w14:paraId="222CD0EA" w14:textId="77777777" w:rsidR="00E47901" w:rsidRPr="00343ACD" w:rsidRDefault="00E47901" w:rsidP="00E47901">
      <w:pPr>
        <w:spacing w:after="120" w:line="276" w:lineRule="auto"/>
        <w:ind w:left="360"/>
        <w:jc w:val="both"/>
        <w:rPr>
          <w:rFonts w:ascii="Calibri" w:hAnsi="Calibri" w:cs="Calibri"/>
          <w:sz w:val="24"/>
          <w:szCs w:val="24"/>
        </w:rPr>
      </w:pPr>
    </w:p>
    <w:p w14:paraId="2C575F93" w14:textId="77777777" w:rsidR="008640A7" w:rsidRPr="001D66FE" w:rsidRDefault="008640A7" w:rsidP="008640A7">
      <w:pPr>
        <w:pStyle w:val="ListParagraph"/>
        <w:spacing w:after="200" w:line="276" w:lineRule="auto"/>
      </w:pPr>
    </w:p>
    <w:p w14:paraId="2EFA5794" w14:textId="77777777" w:rsidR="008640A7" w:rsidRDefault="008640A7">
      <w:pPr>
        <w:spacing w:after="160" w:line="259" w:lineRule="auto"/>
        <w:rPr>
          <w:rFonts w:ascii="Calibri" w:hAnsi="Calibri" w:cs="Calibri"/>
          <w:b/>
          <w:color w:val="5E8CC0"/>
          <w:sz w:val="24"/>
          <w:szCs w:val="24"/>
        </w:rPr>
      </w:pPr>
      <w:r>
        <w:rPr>
          <w:rFonts w:ascii="Calibri" w:hAnsi="Calibri" w:cs="Calibri"/>
          <w:b/>
          <w:color w:val="5E8CC0"/>
          <w:sz w:val="24"/>
          <w:szCs w:val="24"/>
        </w:rPr>
        <w:br w:type="page"/>
      </w:r>
    </w:p>
    <w:p w14:paraId="54FEA60D" w14:textId="77777777" w:rsidR="006639CD" w:rsidRPr="000E0B5A" w:rsidRDefault="006639CD" w:rsidP="000E0B5A">
      <w:pPr>
        <w:pStyle w:val="Heading1"/>
        <w:rPr>
          <w:rFonts w:ascii="Calibri" w:eastAsiaTheme="minorHAnsi" w:hAnsi="Calibri" w:cs="Calibri"/>
          <w:caps w:val="0"/>
          <w:color w:val="5E8CC0"/>
          <w:szCs w:val="22"/>
        </w:rPr>
      </w:pPr>
      <w:r w:rsidRPr="000E0B5A">
        <w:rPr>
          <w:rFonts w:ascii="Calibri" w:eastAsiaTheme="minorHAnsi" w:hAnsi="Calibri" w:cs="Calibri"/>
          <w:caps w:val="0"/>
          <w:color w:val="5E8CC0"/>
          <w:szCs w:val="22"/>
        </w:rPr>
        <w:lastRenderedPageBreak/>
        <w:t>RISK</w:t>
      </w:r>
    </w:p>
    <w:tbl>
      <w:tblPr>
        <w:tblStyle w:val="GridTable4-Accent11"/>
        <w:tblW w:w="0" w:type="auto"/>
        <w:tblInd w:w="5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Corporate Risks"/>
      </w:tblPr>
      <w:tblGrid>
        <w:gridCol w:w="5240"/>
        <w:gridCol w:w="200"/>
        <w:gridCol w:w="3043"/>
      </w:tblGrid>
      <w:tr w:rsidR="00E300C4" w:rsidRPr="00D52779" w14:paraId="4FA6E9F4" w14:textId="77777777" w:rsidTr="0042261E">
        <w:trPr>
          <w:cnfStyle w:val="100000000000" w:firstRow="1" w:lastRow="0" w:firstColumn="0" w:lastColumn="0" w:oddVBand="0" w:evenVBand="0" w:oddHBand="0" w:evenHBand="0" w:firstRowFirstColumn="0" w:firstRowLastColumn="0" w:lastRowFirstColumn="0" w:lastRowLastColumn="0"/>
          <w:trHeight w:val="245"/>
          <w:tblHeader/>
        </w:trPr>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5E8CC0"/>
          </w:tcPr>
          <w:p w14:paraId="48352008" w14:textId="77777777" w:rsidR="00FF41A8" w:rsidRPr="00FE4730" w:rsidRDefault="00FF41A8" w:rsidP="000E0B5A">
            <w:pPr>
              <w:rPr>
                <w:rFonts w:ascii="Calibri" w:hAnsi="Calibri" w:cs="Calibri"/>
                <w:color w:val="1F497D" w:themeColor="text2"/>
                <w:sz w:val="24"/>
                <w:szCs w:val="24"/>
                <w:highlight w:val="yellow"/>
              </w:rPr>
            </w:pPr>
            <w:r w:rsidRPr="00FE4730">
              <w:rPr>
                <w:rFonts w:ascii="Calibri" w:hAnsi="Calibri" w:cs="Calibri"/>
                <w:color w:val="1F497D" w:themeColor="text2"/>
                <w:sz w:val="24"/>
                <w:szCs w:val="24"/>
              </w:rPr>
              <w:t>Corporate Risks</w:t>
            </w:r>
          </w:p>
        </w:tc>
        <w:tc>
          <w:tcPr>
            <w:tcW w:w="3952" w:type="dxa"/>
            <w:shd w:val="clear" w:color="auto" w:fill="5E8CC0"/>
          </w:tcPr>
          <w:p w14:paraId="391AAE8B" w14:textId="77777777" w:rsidR="00FF41A8" w:rsidRPr="00FE4730" w:rsidRDefault="00FF41A8" w:rsidP="000E0B5A">
            <w:pPr>
              <w:cnfStyle w:val="100000000000" w:firstRow="1" w:lastRow="0" w:firstColumn="0" w:lastColumn="0" w:oddVBand="0" w:evenVBand="0" w:oddHBand="0" w:evenHBand="0" w:firstRowFirstColumn="0" w:firstRowLastColumn="0" w:lastRowFirstColumn="0" w:lastRowLastColumn="0"/>
              <w:rPr>
                <w:rFonts w:ascii="Calibri" w:hAnsi="Calibri" w:cs="Calibri"/>
                <w:color w:val="1F497D" w:themeColor="text2"/>
                <w:sz w:val="24"/>
                <w:szCs w:val="24"/>
                <w:highlight w:val="yellow"/>
              </w:rPr>
            </w:pPr>
            <w:r w:rsidRPr="00FE4730">
              <w:rPr>
                <w:rFonts w:ascii="Calibri" w:hAnsi="Calibri" w:cs="Calibri"/>
                <w:color w:val="1F497D" w:themeColor="text2"/>
                <w:sz w:val="24"/>
                <w:szCs w:val="24"/>
              </w:rPr>
              <w:t>Risk Changes</w:t>
            </w:r>
          </w:p>
        </w:tc>
      </w:tr>
      <w:tr w:rsidR="00E300C4" w:rsidRPr="004D18D9" w14:paraId="68FB58C7" w14:textId="77777777" w:rsidTr="0042261E">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4241" w:type="dxa"/>
          </w:tcPr>
          <w:tbl>
            <w:tblPr>
              <w:tblW w:w="4824" w:type="dxa"/>
              <w:tblLook w:val="04A0" w:firstRow="1" w:lastRow="0" w:firstColumn="1" w:lastColumn="0" w:noHBand="0" w:noVBand="1"/>
              <w:tblCaption w:val="Corporate Risk"/>
            </w:tblPr>
            <w:tblGrid>
              <w:gridCol w:w="976"/>
              <w:gridCol w:w="1396"/>
              <w:gridCol w:w="1676"/>
              <w:gridCol w:w="976"/>
            </w:tblGrid>
            <w:tr w:rsidR="00FE4730" w:rsidRPr="00FE4730" w14:paraId="4FB368EB" w14:textId="77777777" w:rsidTr="00FE4730">
              <w:trPr>
                <w:trHeight w:val="300"/>
              </w:trPr>
              <w:tc>
                <w:tcPr>
                  <w:tcW w:w="776" w:type="dxa"/>
                  <w:tcBorders>
                    <w:top w:val="nil"/>
                    <w:left w:val="nil"/>
                    <w:bottom w:val="nil"/>
                    <w:right w:val="nil"/>
                  </w:tcBorders>
                  <w:shd w:val="clear" w:color="auto" w:fill="auto"/>
                  <w:noWrap/>
                  <w:vAlign w:val="bottom"/>
                  <w:hideMark/>
                </w:tcPr>
                <w:p w14:paraId="516A1F37" w14:textId="77777777" w:rsidR="00FE4730" w:rsidRPr="00FE4730" w:rsidRDefault="00FE4730" w:rsidP="00FE4730">
                  <w:pPr>
                    <w:rPr>
                      <w:rFonts w:ascii="Calibri" w:eastAsia="Times New Roman" w:hAnsi="Calibri" w:cs="Calibri"/>
                      <w:color w:val="000000"/>
                      <w:lang w:eastAsia="en-GB"/>
                    </w:rPr>
                  </w:pPr>
                  <w:r w:rsidRPr="00FE4730">
                    <w:rPr>
                      <w:rFonts w:ascii="Calibri" w:eastAsia="Times New Roman" w:hAnsi="Calibri" w:cs="Calibri"/>
                      <w:noProof/>
                      <w:color w:val="000000"/>
                      <w:lang w:eastAsia="en-GB"/>
                    </w:rPr>
                    <w:drawing>
                      <wp:anchor distT="0" distB="0" distL="114300" distR="114300" simplePos="0" relativeHeight="251658240" behindDoc="0" locked="0" layoutInCell="1" allowOverlap="1" wp14:anchorId="123C82DE" wp14:editId="36752F0E">
                        <wp:simplePos x="0" y="0"/>
                        <wp:positionH relativeFrom="column">
                          <wp:posOffset>-7620</wp:posOffset>
                        </wp:positionH>
                        <wp:positionV relativeFrom="paragraph">
                          <wp:posOffset>84455</wp:posOffset>
                        </wp:positionV>
                        <wp:extent cx="3073400" cy="1842770"/>
                        <wp:effectExtent l="0" t="0" r="0" b="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Caption w:val="Corporate Risk "/>
                  </w:tblPr>
                  <w:tblGrid>
                    <w:gridCol w:w="760"/>
                  </w:tblGrid>
                  <w:tr w:rsidR="00FE4730" w:rsidRPr="00FE4730" w14:paraId="7910607C" w14:textId="77777777">
                    <w:trPr>
                      <w:trHeight w:val="300"/>
                      <w:tblCellSpacing w:w="0" w:type="dxa"/>
                    </w:trPr>
                    <w:tc>
                      <w:tcPr>
                        <w:tcW w:w="760" w:type="dxa"/>
                        <w:tcBorders>
                          <w:top w:val="nil"/>
                          <w:left w:val="nil"/>
                          <w:bottom w:val="nil"/>
                          <w:right w:val="nil"/>
                        </w:tcBorders>
                        <w:shd w:val="clear" w:color="auto" w:fill="auto"/>
                        <w:noWrap/>
                        <w:vAlign w:val="bottom"/>
                        <w:hideMark/>
                      </w:tcPr>
                      <w:p w14:paraId="6F3C5832" w14:textId="77777777" w:rsidR="00FE4730" w:rsidRPr="00FE4730" w:rsidRDefault="00FE4730" w:rsidP="00FE4730">
                        <w:pPr>
                          <w:rPr>
                            <w:rFonts w:ascii="Calibri" w:eastAsia="Times New Roman" w:hAnsi="Calibri" w:cs="Calibri"/>
                            <w:color w:val="000000"/>
                            <w:lang w:eastAsia="en-GB"/>
                          </w:rPr>
                        </w:pPr>
                      </w:p>
                    </w:tc>
                  </w:tr>
                </w:tbl>
                <w:p w14:paraId="04526BAA" w14:textId="77777777" w:rsidR="00FE4730" w:rsidRPr="00FE4730" w:rsidRDefault="00FE4730" w:rsidP="00FE4730">
                  <w:pPr>
                    <w:rPr>
                      <w:rFonts w:ascii="Calibri" w:eastAsia="Times New Roman" w:hAnsi="Calibri" w:cs="Calibri"/>
                      <w:color w:val="000000"/>
                      <w:lang w:eastAsia="en-GB"/>
                    </w:rPr>
                  </w:pPr>
                </w:p>
              </w:tc>
              <w:tc>
                <w:tcPr>
                  <w:tcW w:w="1396" w:type="dxa"/>
                  <w:tcBorders>
                    <w:top w:val="nil"/>
                    <w:left w:val="nil"/>
                    <w:bottom w:val="nil"/>
                    <w:right w:val="nil"/>
                  </w:tcBorders>
                  <w:shd w:val="clear" w:color="auto" w:fill="auto"/>
                  <w:noWrap/>
                  <w:vAlign w:val="bottom"/>
                  <w:hideMark/>
                </w:tcPr>
                <w:p w14:paraId="68F8FA8C" w14:textId="77777777" w:rsidR="00FE4730" w:rsidRPr="00FE4730" w:rsidRDefault="00FE4730" w:rsidP="00FE4730">
                  <w:pPr>
                    <w:rPr>
                      <w:rFonts w:ascii="Times New Roman" w:eastAsia="Times New Roman" w:hAnsi="Times New Roman" w:cs="Times New Roman"/>
                      <w:sz w:val="20"/>
                      <w:szCs w:val="20"/>
                      <w:lang w:eastAsia="en-GB"/>
                    </w:rPr>
                  </w:pPr>
                </w:p>
              </w:tc>
              <w:tc>
                <w:tcPr>
                  <w:tcW w:w="1676" w:type="dxa"/>
                  <w:tcBorders>
                    <w:top w:val="nil"/>
                    <w:left w:val="nil"/>
                    <w:bottom w:val="nil"/>
                    <w:right w:val="nil"/>
                  </w:tcBorders>
                  <w:shd w:val="clear" w:color="auto" w:fill="auto"/>
                  <w:noWrap/>
                  <w:vAlign w:val="bottom"/>
                  <w:hideMark/>
                </w:tcPr>
                <w:p w14:paraId="32B0C9FE" w14:textId="77777777" w:rsidR="00FE4730" w:rsidRPr="00FE4730" w:rsidRDefault="00FE4730" w:rsidP="00FE4730">
                  <w:pP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341D5C9" w14:textId="77777777" w:rsidR="00FE4730" w:rsidRPr="00FE4730" w:rsidRDefault="00FE4730" w:rsidP="00FE4730">
                  <w:pPr>
                    <w:rPr>
                      <w:rFonts w:ascii="Times New Roman" w:eastAsia="Times New Roman" w:hAnsi="Times New Roman" w:cs="Times New Roman"/>
                      <w:sz w:val="20"/>
                      <w:szCs w:val="20"/>
                      <w:lang w:eastAsia="en-GB"/>
                    </w:rPr>
                  </w:pPr>
                </w:p>
              </w:tc>
            </w:tr>
            <w:tr w:rsidR="00FE4730" w:rsidRPr="00FE4730" w14:paraId="24363DE0" w14:textId="77777777" w:rsidTr="00FE4730">
              <w:trPr>
                <w:trHeight w:val="300"/>
              </w:trPr>
              <w:tc>
                <w:tcPr>
                  <w:tcW w:w="776" w:type="dxa"/>
                  <w:tcBorders>
                    <w:top w:val="nil"/>
                    <w:left w:val="nil"/>
                    <w:bottom w:val="nil"/>
                    <w:right w:val="nil"/>
                  </w:tcBorders>
                  <w:shd w:val="clear" w:color="auto" w:fill="auto"/>
                  <w:noWrap/>
                  <w:vAlign w:val="bottom"/>
                  <w:hideMark/>
                </w:tcPr>
                <w:p w14:paraId="30CCE49A" w14:textId="77777777" w:rsidR="00FE4730" w:rsidRPr="00FE4730" w:rsidRDefault="00FE4730" w:rsidP="00FE4730">
                  <w:pPr>
                    <w:rPr>
                      <w:rFonts w:ascii="Times New Roman" w:eastAsia="Times New Roman" w:hAnsi="Times New Roman" w:cs="Times New Roman"/>
                      <w:sz w:val="20"/>
                      <w:szCs w:val="20"/>
                      <w:lang w:eastAsia="en-GB"/>
                    </w:rPr>
                  </w:pPr>
                </w:p>
              </w:tc>
              <w:tc>
                <w:tcPr>
                  <w:tcW w:w="1396" w:type="dxa"/>
                  <w:tcBorders>
                    <w:top w:val="nil"/>
                    <w:left w:val="nil"/>
                    <w:bottom w:val="nil"/>
                    <w:right w:val="nil"/>
                  </w:tcBorders>
                  <w:shd w:val="clear" w:color="auto" w:fill="auto"/>
                  <w:noWrap/>
                  <w:vAlign w:val="bottom"/>
                  <w:hideMark/>
                </w:tcPr>
                <w:p w14:paraId="3F6AAAA2" w14:textId="77777777" w:rsidR="00FE4730" w:rsidRPr="00FE4730" w:rsidRDefault="00FE4730" w:rsidP="00FE4730">
                  <w:pPr>
                    <w:rPr>
                      <w:rFonts w:ascii="Times New Roman" w:eastAsia="Times New Roman" w:hAnsi="Times New Roman" w:cs="Times New Roman"/>
                      <w:sz w:val="20"/>
                      <w:szCs w:val="20"/>
                      <w:lang w:eastAsia="en-GB"/>
                    </w:rPr>
                  </w:pPr>
                </w:p>
              </w:tc>
              <w:tc>
                <w:tcPr>
                  <w:tcW w:w="1676" w:type="dxa"/>
                  <w:tcBorders>
                    <w:top w:val="nil"/>
                    <w:left w:val="nil"/>
                    <w:bottom w:val="nil"/>
                    <w:right w:val="nil"/>
                  </w:tcBorders>
                  <w:shd w:val="clear" w:color="auto" w:fill="auto"/>
                  <w:noWrap/>
                  <w:vAlign w:val="bottom"/>
                  <w:hideMark/>
                </w:tcPr>
                <w:p w14:paraId="7A20D5A6" w14:textId="77777777" w:rsidR="00FE4730" w:rsidRPr="00FE4730" w:rsidRDefault="00FE4730" w:rsidP="00FE4730">
                  <w:pP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8B14879" w14:textId="77777777" w:rsidR="00FE4730" w:rsidRPr="00FE4730" w:rsidRDefault="00FE4730" w:rsidP="00FE4730">
                  <w:pPr>
                    <w:rPr>
                      <w:rFonts w:ascii="Times New Roman" w:eastAsia="Times New Roman" w:hAnsi="Times New Roman" w:cs="Times New Roman"/>
                      <w:sz w:val="20"/>
                      <w:szCs w:val="20"/>
                      <w:lang w:eastAsia="en-GB"/>
                    </w:rPr>
                  </w:pPr>
                </w:p>
              </w:tc>
            </w:tr>
            <w:tr w:rsidR="00FE4730" w:rsidRPr="00FE4730" w14:paraId="316FDC4E" w14:textId="77777777" w:rsidTr="00FE4730">
              <w:trPr>
                <w:trHeight w:val="300"/>
              </w:trPr>
              <w:tc>
                <w:tcPr>
                  <w:tcW w:w="776" w:type="dxa"/>
                  <w:tcBorders>
                    <w:top w:val="nil"/>
                    <w:left w:val="nil"/>
                    <w:bottom w:val="nil"/>
                    <w:right w:val="nil"/>
                  </w:tcBorders>
                  <w:shd w:val="clear" w:color="auto" w:fill="auto"/>
                  <w:noWrap/>
                  <w:vAlign w:val="bottom"/>
                  <w:hideMark/>
                </w:tcPr>
                <w:p w14:paraId="4FF06DC6" w14:textId="77777777" w:rsidR="00FE4730" w:rsidRPr="00FE4730" w:rsidRDefault="00FE4730" w:rsidP="00FE4730">
                  <w:pPr>
                    <w:rPr>
                      <w:rFonts w:ascii="Times New Roman" w:eastAsia="Times New Roman" w:hAnsi="Times New Roman" w:cs="Times New Roman"/>
                      <w:sz w:val="20"/>
                      <w:szCs w:val="20"/>
                      <w:lang w:eastAsia="en-GB"/>
                    </w:rPr>
                  </w:pPr>
                </w:p>
              </w:tc>
              <w:tc>
                <w:tcPr>
                  <w:tcW w:w="1396" w:type="dxa"/>
                  <w:tcBorders>
                    <w:top w:val="nil"/>
                    <w:left w:val="nil"/>
                    <w:bottom w:val="nil"/>
                    <w:right w:val="nil"/>
                  </w:tcBorders>
                  <w:shd w:val="clear" w:color="auto" w:fill="auto"/>
                  <w:noWrap/>
                  <w:vAlign w:val="bottom"/>
                  <w:hideMark/>
                </w:tcPr>
                <w:p w14:paraId="55B035FF" w14:textId="77777777" w:rsidR="00FE4730" w:rsidRPr="00FE4730" w:rsidRDefault="00FE4730" w:rsidP="00FE4730">
                  <w:pPr>
                    <w:rPr>
                      <w:rFonts w:ascii="Times New Roman" w:eastAsia="Times New Roman" w:hAnsi="Times New Roman" w:cs="Times New Roman"/>
                      <w:sz w:val="20"/>
                      <w:szCs w:val="20"/>
                      <w:lang w:eastAsia="en-GB"/>
                    </w:rPr>
                  </w:pPr>
                </w:p>
              </w:tc>
              <w:tc>
                <w:tcPr>
                  <w:tcW w:w="1676" w:type="dxa"/>
                  <w:tcBorders>
                    <w:top w:val="nil"/>
                    <w:left w:val="nil"/>
                    <w:bottom w:val="nil"/>
                    <w:right w:val="nil"/>
                  </w:tcBorders>
                  <w:shd w:val="clear" w:color="auto" w:fill="auto"/>
                  <w:noWrap/>
                  <w:vAlign w:val="bottom"/>
                  <w:hideMark/>
                </w:tcPr>
                <w:p w14:paraId="64145525" w14:textId="77777777" w:rsidR="00FE4730" w:rsidRPr="00FE4730" w:rsidRDefault="00FE4730" w:rsidP="00FE4730">
                  <w:pP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B1360A7" w14:textId="77777777" w:rsidR="00FE4730" w:rsidRPr="00FE4730" w:rsidRDefault="00FE4730" w:rsidP="00FE4730">
                  <w:pPr>
                    <w:rPr>
                      <w:rFonts w:ascii="Times New Roman" w:eastAsia="Times New Roman" w:hAnsi="Times New Roman" w:cs="Times New Roman"/>
                      <w:sz w:val="20"/>
                      <w:szCs w:val="20"/>
                      <w:lang w:eastAsia="en-GB"/>
                    </w:rPr>
                  </w:pPr>
                </w:p>
              </w:tc>
            </w:tr>
            <w:tr w:rsidR="00FE4730" w:rsidRPr="00FE4730" w14:paraId="07014A64" w14:textId="77777777" w:rsidTr="00FE4730">
              <w:trPr>
                <w:trHeight w:val="300"/>
              </w:trPr>
              <w:tc>
                <w:tcPr>
                  <w:tcW w:w="776" w:type="dxa"/>
                  <w:tcBorders>
                    <w:top w:val="nil"/>
                    <w:left w:val="nil"/>
                    <w:bottom w:val="nil"/>
                    <w:right w:val="nil"/>
                  </w:tcBorders>
                  <w:shd w:val="clear" w:color="auto" w:fill="auto"/>
                  <w:noWrap/>
                  <w:vAlign w:val="bottom"/>
                  <w:hideMark/>
                </w:tcPr>
                <w:p w14:paraId="2B637D12" w14:textId="77777777" w:rsidR="00FE4730" w:rsidRPr="00FE4730" w:rsidRDefault="00FE4730" w:rsidP="00FE4730">
                  <w:pPr>
                    <w:rPr>
                      <w:rFonts w:ascii="Times New Roman" w:eastAsia="Times New Roman" w:hAnsi="Times New Roman" w:cs="Times New Roman"/>
                      <w:sz w:val="20"/>
                      <w:szCs w:val="20"/>
                      <w:lang w:eastAsia="en-GB"/>
                    </w:rPr>
                  </w:pPr>
                </w:p>
              </w:tc>
              <w:tc>
                <w:tcPr>
                  <w:tcW w:w="1396" w:type="dxa"/>
                  <w:tcBorders>
                    <w:top w:val="nil"/>
                    <w:left w:val="nil"/>
                    <w:bottom w:val="nil"/>
                    <w:right w:val="nil"/>
                  </w:tcBorders>
                  <w:shd w:val="clear" w:color="auto" w:fill="auto"/>
                  <w:noWrap/>
                  <w:vAlign w:val="bottom"/>
                  <w:hideMark/>
                </w:tcPr>
                <w:p w14:paraId="22C1E220" w14:textId="77777777" w:rsidR="00FE4730" w:rsidRPr="00FE4730" w:rsidRDefault="00FE4730" w:rsidP="00FE4730">
                  <w:pPr>
                    <w:rPr>
                      <w:rFonts w:ascii="Times New Roman" w:eastAsia="Times New Roman" w:hAnsi="Times New Roman" w:cs="Times New Roman"/>
                      <w:sz w:val="20"/>
                      <w:szCs w:val="20"/>
                      <w:lang w:eastAsia="en-GB"/>
                    </w:rPr>
                  </w:pPr>
                </w:p>
              </w:tc>
              <w:tc>
                <w:tcPr>
                  <w:tcW w:w="1676" w:type="dxa"/>
                  <w:tcBorders>
                    <w:top w:val="nil"/>
                    <w:left w:val="nil"/>
                    <w:bottom w:val="nil"/>
                    <w:right w:val="nil"/>
                  </w:tcBorders>
                  <w:shd w:val="clear" w:color="auto" w:fill="auto"/>
                  <w:noWrap/>
                  <w:vAlign w:val="bottom"/>
                  <w:hideMark/>
                </w:tcPr>
                <w:p w14:paraId="030C9D27" w14:textId="77777777" w:rsidR="00FE4730" w:rsidRPr="00FE4730" w:rsidRDefault="00FE4730" w:rsidP="00FE4730">
                  <w:pP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5F58523" w14:textId="77777777" w:rsidR="00FE4730" w:rsidRPr="00FE4730" w:rsidRDefault="00FE4730" w:rsidP="00FE4730">
                  <w:pPr>
                    <w:rPr>
                      <w:rFonts w:ascii="Times New Roman" w:eastAsia="Times New Roman" w:hAnsi="Times New Roman" w:cs="Times New Roman"/>
                      <w:sz w:val="20"/>
                      <w:szCs w:val="20"/>
                      <w:lang w:eastAsia="en-GB"/>
                    </w:rPr>
                  </w:pPr>
                </w:p>
              </w:tc>
            </w:tr>
            <w:tr w:rsidR="00FE4730" w:rsidRPr="00FE4730" w14:paraId="7C6882AA" w14:textId="77777777" w:rsidTr="00FE4730">
              <w:trPr>
                <w:trHeight w:val="300"/>
              </w:trPr>
              <w:tc>
                <w:tcPr>
                  <w:tcW w:w="776" w:type="dxa"/>
                  <w:tcBorders>
                    <w:top w:val="nil"/>
                    <w:left w:val="nil"/>
                    <w:bottom w:val="nil"/>
                    <w:right w:val="nil"/>
                  </w:tcBorders>
                  <w:shd w:val="clear" w:color="auto" w:fill="auto"/>
                  <w:noWrap/>
                  <w:vAlign w:val="bottom"/>
                  <w:hideMark/>
                </w:tcPr>
                <w:p w14:paraId="578F8B0F" w14:textId="77777777" w:rsidR="00FE4730" w:rsidRPr="00FE4730" w:rsidRDefault="00FE4730" w:rsidP="00FE4730">
                  <w:pPr>
                    <w:rPr>
                      <w:rFonts w:ascii="Times New Roman" w:eastAsia="Times New Roman" w:hAnsi="Times New Roman" w:cs="Times New Roman"/>
                      <w:sz w:val="20"/>
                      <w:szCs w:val="20"/>
                      <w:lang w:eastAsia="en-GB"/>
                    </w:rPr>
                  </w:pPr>
                </w:p>
              </w:tc>
              <w:tc>
                <w:tcPr>
                  <w:tcW w:w="1396" w:type="dxa"/>
                  <w:tcBorders>
                    <w:top w:val="nil"/>
                    <w:left w:val="nil"/>
                    <w:bottom w:val="nil"/>
                    <w:right w:val="nil"/>
                  </w:tcBorders>
                  <w:shd w:val="clear" w:color="auto" w:fill="auto"/>
                  <w:noWrap/>
                  <w:vAlign w:val="bottom"/>
                  <w:hideMark/>
                </w:tcPr>
                <w:p w14:paraId="38D6A926" w14:textId="77777777" w:rsidR="00FE4730" w:rsidRPr="00FE4730" w:rsidRDefault="00FE4730" w:rsidP="00FE4730">
                  <w:pPr>
                    <w:rPr>
                      <w:rFonts w:ascii="Times New Roman" w:eastAsia="Times New Roman" w:hAnsi="Times New Roman" w:cs="Times New Roman"/>
                      <w:sz w:val="20"/>
                      <w:szCs w:val="20"/>
                      <w:lang w:eastAsia="en-GB"/>
                    </w:rPr>
                  </w:pPr>
                </w:p>
              </w:tc>
              <w:tc>
                <w:tcPr>
                  <w:tcW w:w="1676" w:type="dxa"/>
                  <w:tcBorders>
                    <w:top w:val="nil"/>
                    <w:left w:val="nil"/>
                    <w:bottom w:val="nil"/>
                    <w:right w:val="nil"/>
                  </w:tcBorders>
                  <w:shd w:val="clear" w:color="auto" w:fill="auto"/>
                  <w:noWrap/>
                  <w:vAlign w:val="bottom"/>
                  <w:hideMark/>
                </w:tcPr>
                <w:p w14:paraId="1E23E375" w14:textId="77777777" w:rsidR="00FE4730" w:rsidRPr="00FE4730" w:rsidRDefault="00FE4730" w:rsidP="00FE4730">
                  <w:pP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1D9D25F" w14:textId="77777777" w:rsidR="00FE4730" w:rsidRPr="00FE4730" w:rsidRDefault="00FE4730" w:rsidP="00FE4730">
                  <w:pPr>
                    <w:rPr>
                      <w:rFonts w:ascii="Times New Roman" w:eastAsia="Times New Roman" w:hAnsi="Times New Roman" w:cs="Times New Roman"/>
                      <w:sz w:val="20"/>
                      <w:szCs w:val="20"/>
                      <w:lang w:eastAsia="en-GB"/>
                    </w:rPr>
                  </w:pPr>
                </w:p>
              </w:tc>
            </w:tr>
            <w:tr w:rsidR="00FE4730" w:rsidRPr="00FE4730" w14:paraId="0EDF0A7B" w14:textId="77777777" w:rsidTr="00FE4730">
              <w:trPr>
                <w:trHeight w:val="300"/>
              </w:trPr>
              <w:tc>
                <w:tcPr>
                  <w:tcW w:w="776" w:type="dxa"/>
                  <w:tcBorders>
                    <w:top w:val="nil"/>
                    <w:left w:val="nil"/>
                    <w:bottom w:val="nil"/>
                    <w:right w:val="nil"/>
                  </w:tcBorders>
                  <w:shd w:val="clear" w:color="auto" w:fill="auto"/>
                  <w:noWrap/>
                  <w:vAlign w:val="bottom"/>
                  <w:hideMark/>
                </w:tcPr>
                <w:p w14:paraId="5069B323" w14:textId="77777777" w:rsidR="00FE4730" w:rsidRPr="00FE4730" w:rsidRDefault="00FE4730" w:rsidP="00FE4730">
                  <w:pPr>
                    <w:rPr>
                      <w:rFonts w:ascii="Times New Roman" w:eastAsia="Times New Roman" w:hAnsi="Times New Roman" w:cs="Times New Roman"/>
                      <w:sz w:val="20"/>
                      <w:szCs w:val="20"/>
                      <w:lang w:eastAsia="en-GB"/>
                    </w:rPr>
                  </w:pPr>
                </w:p>
              </w:tc>
              <w:tc>
                <w:tcPr>
                  <w:tcW w:w="1396" w:type="dxa"/>
                  <w:tcBorders>
                    <w:top w:val="nil"/>
                    <w:left w:val="nil"/>
                    <w:bottom w:val="nil"/>
                    <w:right w:val="nil"/>
                  </w:tcBorders>
                  <w:shd w:val="clear" w:color="auto" w:fill="auto"/>
                  <w:noWrap/>
                  <w:vAlign w:val="bottom"/>
                  <w:hideMark/>
                </w:tcPr>
                <w:p w14:paraId="020A1777" w14:textId="77777777" w:rsidR="00FE4730" w:rsidRPr="00FE4730" w:rsidRDefault="00FE4730" w:rsidP="00FE4730">
                  <w:pPr>
                    <w:rPr>
                      <w:rFonts w:ascii="Times New Roman" w:eastAsia="Times New Roman" w:hAnsi="Times New Roman" w:cs="Times New Roman"/>
                      <w:sz w:val="20"/>
                      <w:szCs w:val="20"/>
                      <w:lang w:eastAsia="en-GB"/>
                    </w:rPr>
                  </w:pPr>
                </w:p>
              </w:tc>
              <w:tc>
                <w:tcPr>
                  <w:tcW w:w="1676" w:type="dxa"/>
                  <w:tcBorders>
                    <w:top w:val="nil"/>
                    <w:left w:val="nil"/>
                    <w:bottom w:val="nil"/>
                    <w:right w:val="nil"/>
                  </w:tcBorders>
                  <w:shd w:val="clear" w:color="auto" w:fill="auto"/>
                  <w:noWrap/>
                  <w:vAlign w:val="bottom"/>
                  <w:hideMark/>
                </w:tcPr>
                <w:p w14:paraId="5832EA39" w14:textId="77777777" w:rsidR="00FE4730" w:rsidRPr="00FE4730" w:rsidRDefault="00FE4730" w:rsidP="00FE4730">
                  <w:pP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4507D2E" w14:textId="77777777" w:rsidR="00FE4730" w:rsidRPr="00FE4730" w:rsidRDefault="00FE4730" w:rsidP="00FE4730">
                  <w:pPr>
                    <w:rPr>
                      <w:rFonts w:ascii="Times New Roman" w:eastAsia="Times New Roman" w:hAnsi="Times New Roman" w:cs="Times New Roman"/>
                      <w:sz w:val="20"/>
                      <w:szCs w:val="20"/>
                      <w:lang w:eastAsia="en-GB"/>
                    </w:rPr>
                  </w:pPr>
                </w:p>
              </w:tc>
            </w:tr>
            <w:tr w:rsidR="00FE4730" w:rsidRPr="00FE4730" w14:paraId="76D7B6D6" w14:textId="77777777" w:rsidTr="00FE4730">
              <w:trPr>
                <w:trHeight w:val="300"/>
              </w:trPr>
              <w:tc>
                <w:tcPr>
                  <w:tcW w:w="776" w:type="dxa"/>
                  <w:tcBorders>
                    <w:top w:val="nil"/>
                    <w:left w:val="nil"/>
                    <w:bottom w:val="nil"/>
                    <w:right w:val="nil"/>
                  </w:tcBorders>
                  <w:shd w:val="clear" w:color="auto" w:fill="auto"/>
                  <w:noWrap/>
                  <w:vAlign w:val="bottom"/>
                  <w:hideMark/>
                </w:tcPr>
                <w:p w14:paraId="1DA1D013" w14:textId="77777777" w:rsidR="00FE4730" w:rsidRPr="00FE4730" w:rsidRDefault="00FE4730" w:rsidP="00FE4730">
                  <w:pPr>
                    <w:rPr>
                      <w:rFonts w:ascii="Times New Roman" w:eastAsia="Times New Roman" w:hAnsi="Times New Roman" w:cs="Times New Roman"/>
                      <w:sz w:val="20"/>
                      <w:szCs w:val="20"/>
                      <w:lang w:eastAsia="en-GB"/>
                    </w:rPr>
                  </w:pPr>
                </w:p>
              </w:tc>
              <w:tc>
                <w:tcPr>
                  <w:tcW w:w="1396" w:type="dxa"/>
                  <w:tcBorders>
                    <w:top w:val="nil"/>
                    <w:left w:val="nil"/>
                    <w:bottom w:val="nil"/>
                    <w:right w:val="nil"/>
                  </w:tcBorders>
                  <w:shd w:val="clear" w:color="auto" w:fill="auto"/>
                  <w:noWrap/>
                  <w:vAlign w:val="bottom"/>
                  <w:hideMark/>
                </w:tcPr>
                <w:p w14:paraId="63B83600" w14:textId="77777777" w:rsidR="00FE4730" w:rsidRPr="00FE4730" w:rsidRDefault="00FE4730" w:rsidP="00FE4730">
                  <w:pPr>
                    <w:rPr>
                      <w:rFonts w:ascii="Times New Roman" w:eastAsia="Times New Roman" w:hAnsi="Times New Roman" w:cs="Times New Roman"/>
                      <w:sz w:val="20"/>
                      <w:szCs w:val="20"/>
                      <w:lang w:eastAsia="en-GB"/>
                    </w:rPr>
                  </w:pPr>
                </w:p>
              </w:tc>
              <w:tc>
                <w:tcPr>
                  <w:tcW w:w="1676" w:type="dxa"/>
                  <w:tcBorders>
                    <w:top w:val="nil"/>
                    <w:left w:val="nil"/>
                    <w:bottom w:val="nil"/>
                    <w:right w:val="nil"/>
                  </w:tcBorders>
                  <w:shd w:val="clear" w:color="auto" w:fill="auto"/>
                  <w:noWrap/>
                  <w:vAlign w:val="bottom"/>
                  <w:hideMark/>
                </w:tcPr>
                <w:p w14:paraId="2CFC9AAF" w14:textId="77777777" w:rsidR="00FE4730" w:rsidRPr="00FE4730" w:rsidRDefault="00FE4730" w:rsidP="00FE4730">
                  <w:pP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1C6E8A3" w14:textId="77777777" w:rsidR="00FE4730" w:rsidRPr="00FE4730" w:rsidRDefault="00FE4730" w:rsidP="00FE4730">
                  <w:pPr>
                    <w:rPr>
                      <w:rFonts w:ascii="Times New Roman" w:eastAsia="Times New Roman" w:hAnsi="Times New Roman" w:cs="Times New Roman"/>
                      <w:sz w:val="20"/>
                      <w:szCs w:val="20"/>
                      <w:lang w:eastAsia="en-GB"/>
                    </w:rPr>
                  </w:pPr>
                </w:p>
              </w:tc>
            </w:tr>
            <w:tr w:rsidR="00FE4730" w:rsidRPr="00FE4730" w14:paraId="3628733A" w14:textId="77777777" w:rsidTr="00FE4730">
              <w:trPr>
                <w:trHeight w:val="300"/>
              </w:trPr>
              <w:tc>
                <w:tcPr>
                  <w:tcW w:w="776" w:type="dxa"/>
                  <w:tcBorders>
                    <w:top w:val="nil"/>
                    <w:left w:val="nil"/>
                    <w:bottom w:val="nil"/>
                    <w:right w:val="nil"/>
                  </w:tcBorders>
                  <w:shd w:val="clear" w:color="auto" w:fill="auto"/>
                  <w:noWrap/>
                  <w:vAlign w:val="bottom"/>
                  <w:hideMark/>
                </w:tcPr>
                <w:p w14:paraId="4C8E393C" w14:textId="77777777" w:rsidR="00FE4730" w:rsidRPr="00FE4730" w:rsidRDefault="00FE4730" w:rsidP="00FE4730">
                  <w:pPr>
                    <w:rPr>
                      <w:rFonts w:ascii="Times New Roman" w:eastAsia="Times New Roman" w:hAnsi="Times New Roman" w:cs="Times New Roman"/>
                      <w:sz w:val="20"/>
                      <w:szCs w:val="20"/>
                      <w:lang w:eastAsia="en-GB"/>
                    </w:rPr>
                  </w:pPr>
                </w:p>
              </w:tc>
              <w:tc>
                <w:tcPr>
                  <w:tcW w:w="1396" w:type="dxa"/>
                  <w:tcBorders>
                    <w:top w:val="nil"/>
                    <w:left w:val="nil"/>
                    <w:bottom w:val="nil"/>
                    <w:right w:val="nil"/>
                  </w:tcBorders>
                  <w:shd w:val="clear" w:color="auto" w:fill="auto"/>
                  <w:noWrap/>
                  <w:vAlign w:val="bottom"/>
                  <w:hideMark/>
                </w:tcPr>
                <w:p w14:paraId="073698A1" w14:textId="77777777" w:rsidR="00FE4730" w:rsidRPr="00FE4730" w:rsidRDefault="00FE4730" w:rsidP="00FE4730">
                  <w:pPr>
                    <w:rPr>
                      <w:rFonts w:ascii="Times New Roman" w:eastAsia="Times New Roman" w:hAnsi="Times New Roman" w:cs="Times New Roman"/>
                      <w:sz w:val="20"/>
                      <w:szCs w:val="20"/>
                      <w:lang w:eastAsia="en-GB"/>
                    </w:rPr>
                  </w:pPr>
                </w:p>
              </w:tc>
              <w:tc>
                <w:tcPr>
                  <w:tcW w:w="1676" w:type="dxa"/>
                  <w:tcBorders>
                    <w:top w:val="nil"/>
                    <w:left w:val="nil"/>
                    <w:bottom w:val="nil"/>
                    <w:right w:val="nil"/>
                  </w:tcBorders>
                  <w:shd w:val="clear" w:color="auto" w:fill="auto"/>
                  <w:noWrap/>
                  <w:vAlign w:val="bottom"/>
                  <w:hideMark/>
                </w:tcPr>
                <w:p w14:paraId="548A0632" w14:textId="77777777" w:rsidR="00FE4730" w:rsidRPr="00FE4730" w:rsidRDefault="00FE4730" w:rsidP="00FE4730">
                  <w:pP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E1C7E5C" w14:textId="77777777" w:rsidR="00FE4730" w:rsidRPr="00FE4730" w:rsidRDefault="00FE4730" w:rsidP="00FE4730">
                  <w:pPr>
                    <w:rPr>
                      <w:rFonts w:ascii="Times New Roman" w:eastAsia="Times New Roman" w:hAnsi="Times New Roman" w:cs="Times New Roman"/>
                      <w:sz w:val="20"/>
                      <w:szCs w:val="20"/>
                      <w:lang w:eastAsia="en-GB"/>
                    </w:rPr>
                  </w:pPr>
                </w:p>
              </w:tc>
            </w:tr>
            <w:tr w:rsidR="00FE4730" w:rsidRPr="00FE4730" w14:paraId="59BD5E96" w14:textId="77777777" w:rsidTr="00FE4730">
              <w:trPr>
                <w:trHeight w:val="300"/>
              </w:trPr>
              <w:tc>
                <w:tcPr>
                  <w:tcW w:w="776" w:type="dxa"/>
                  <w:tcBorders>
                    <w:top w:val="nil"/>
                    <w:left w:val="nil"/>
                    <w:bottom w:val="nil"/>
                    <w:right w:val="nil"/>
                  </w:tcBorders>
                  <w:shd w:val="clear" w:color="auto" w:fill="auto"/>
                  <w:noWrap/>
                  <w:vAlign w:val="bottom"/>
                  <w:hideMark/>
                </w:tcPr>
                <w:p w14:paraId="48D94FD0" w14:textId="77777777" w:rsidR="00FE4730" w:rsidRPr="00FE4730" w:rsidRDefault="00FE4730" w:rsidP="00FE4730">
                  <w:pPr>
                    <w:rPr>
                      <w:rFonts w:ascii="Times New Roman" w:eastAsia="Times New Roman" w:hAnsi="Times New Roman" w:cs="Times New Roman"/>
                      <w:sz w:val="20"/>
                      <w:szCs w:val="20"/>
                      <w:lang w:eastAsia="en-GB"/>
                    </w:rPr>
                  </w:pPr>
                </w:p>
              </w:tc>
              <w:tc>
                <w:tcPr>
                  <w:tcW w:w="1396" w:type="dxa"/>
                  <w:tcBorders>
                    <w:top w:val="nil"/>
                    <w:left w:val="nil"/>
                    <w:bottom w:val="nil"/>
                    <w:right w:val="nil"/>
                  </w:tcBorders>
                  <w:shd w:val="clear" w:color="auto" w:fill="auto"/>
                  <w:noWrap/>
                  <w:vAlign w:val="bottom"/>
                  <w:hideMark/>
                </w:tcPr>
                <w:p w14:paraId="53D7ACF0" w14:textId="77777777" w:rsidR="00FE4730" w:rsidRPr="00FE4730" w:rsidRDefault="00FE4730" w:rsidP="00FE4730">
                  <w:pPr>
                    <w:rPr>
                      <w:rFonts w:ascii="Times New Roman" w:eastAsia="Times New Roman" w:hAnsi="Times New Roman" w:cs="Times New Roman"/>
                      <w:sz w:val="20"/>
                      <w:szCs w:val="20"/>
                      <w:lang w:eastAsia="en-GB"/>
                    </w:rPr>
                  </w:pPr>
                </w:p>
              </w:tc>
              <w:tc>
                <w:tcPr>
                  <w:tcW w:w="1676" w:type="dxa"/>
                  <w:tcBorders>
                    <w:top w:val="nil"/>
                    <w:left w:val="nil"/>
                    <w:bottom w:val="nil"/>
                    <w:right w:val="nil"/>
                  </w:tcBorders>
                  <w:shd w:val="clear" w:color="auto" w:fill="auto"/>
                  <w:noWrap/>
                  <w:vAlign w:val="bottom"/>
                  <w:hideMark/>
                </w:tcPr>
                <w:p w14:paraId="14124CE1" w14:textId="77777777" w:rsidR="00FE4730" w:rsidRPr="00FE4730" w:rsidRDefault="00FE4730" w:rsidP="00FE4730">
                  <w:pP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D1C177A" w14:textId="77777777" w:rsidR="00FE4730" w:rsidRPr="00FE4730" w:rsidRDefault="00FE4730" w:rsidP="00FE4730">
                  <w:pPr>
                    <w:rPr>
                      <w:rFonts w:ascii="Times New Roman" w:eastAsia="Times New Roman" w:hAnsi="Times New Roman" w:cs="Times New Roman"/>
                      <w:sz w:val="20"/>
                      <w:szCs w:val="20"/>
                      <w:lang w:eastAsia="en-GB"/>
                    </w:rPr>
                  </w:pPr>
                </w:p>
              </w:tc>
            </w:tr>
            <w:tr w:rsidR="00FE4730" w:rsidRPr="00FE4730" w14:paraId="31964E36" w14:textId="77777777" w:rsidTr="00FE4730">
              <w:trPr>
                <w:trHeight w:val="300"/>
              </w:trPr>
              <w:tc>
                <w:tcPr>
                  <w:tcW w:w="776" w:type="dxa"/>
                  <w:tcBorders>
                    <w:top w:val="nil"/>
                    <w:left w:val="nil"/>
                    <w:bottom w:val="nil"/>
                    <w:right w:val="nil"/>
                  </w:tcBorders>
                  <w:shd w:val="clear" w:color="auto" w:fill="auto"/>
                  <w:noWrap/>
                  <w:vAlign w:val="bottom"/>
                  <w:hideMark/>
                </w:tcPr>
                <w:p w14:paraId="50E29455" w14:textId="77777777" w:rsidR="00FE4730" w:rsidRPr="00FE4730" w:rsidRDefault="00FE4730" w:rsidP="00FE4730">
                  <w:pPr>
                    <w:rPr>
                      <w:rFonts w:ascii="Times New Roman" w:eastAsia="Times New Roman" w:hAnsi="Times New Roman" w:cs="Times New Roman"/>
                      <w:sz w:val="20"/>
                      <w:szCs w:val="20"/>
                      <w:lang w:eastAsia="en-GB"/>
                    </w:rPr>
                  </w:pPr>
                </w:p>
              </w:tc>
              <w:tc>
                <w:tcPr>
                  <w:tcW w:w="1396" w:type="dxa"/>
                  <w:tcBorders>
                    <w:top w:val="nil"/>
                    <w:left w:val="nil"/>
                    <w:bottom w:val="nil"/>
                    <w:right w:val="nil"/>
                  </w:tcBorders>
                  <w:shd w:val="clear" w:color="auto" w:fill="auto"/>
                  <w:noWrap/>
                  <w:vAlign w:val="bottom"/>
                  <w:hideMark/>
                </w:tcPr>
                <w:p w14:paraId="1F6153AD" w14:textId="77777777" w:rsidR="00FE4730" w:rsidRPr="00FE4730" w:rsidRDefault="00FE4730" w:rsidP="00FE4730">
                  <w:pPr>
                    <w:rPr>
                      <w:rFonts w:ascii="Times New Roman" w:eastAsia="Times New Roman" w:hAnsi="Times New Roman" w:cs="Times New Roman"/>
                      <w:sz w:val="20"/>
                      <w:szCs w:val="20"/>
                      <w:lang w:eastAsia="en-GB"/>
                    </w:rPr>
                  </w:pPr>
                </w:p>
              </w:tc>
              <w:tc>
                <w:tcPr>
                  <w:tcW w:w="1676" w:type="dxa"/>
                  <w:tcBorders>
                    <w:top w:val="nil"/>
                    <w:left w:val="nil"/>
                    <w:bottom w:val="nil"/>
                    <w:right w:val="nil"/>
                  </w:tcBorders>
                  <w:shd w:val="clear" w:color="auto" w:fill="auto"/>
                  <w:noWrap/>
                  <w:vAlign w:val="bottom"/>
                  <w:hideMark/>
                </w:tcPr>
                <w:p w14:paraId="73D3E2AB" w14:textId="77777777" w:rsidR="00FE4730" w:rsidRPr="00FE4730" w:rsidRDefault="00FE4730" w:rsidP="00FE4730">
                  <w:pPr>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2ABBD9F" w14:textId="77777777" w:rsidR="00FE4730" w:rsidRPr="00FE4730" w:rsidRDefault="00FE4730" w:rsidP="00FE4730">
                  <w:pPr>
                    <w:rPr>
                      <w:rFonts w:ascii="Times New Roman" w:eastAsia="Times New Roman" w:hAnsi="Times New Roman" w:cs="Times New Roman"/>
                      <w:sz w:val="20"/>
                      <w:szCs w:val="20"/>
                      <w:lang w:eastAsia="en-GB"/>
                    </w:rPr>
                  </w:pPr>
                </w:p>
              </w:tc>
            </w:tr>
          </w:tbl>
          <w:p w14:paraId="6E433219" w14:textId="77777777" w:rsidR="00FF41A8" w:rsidRPr="00D52779" w:rsidRDefault="00FF41A8" w:rsidP="000E0B5A">
            <w:pPr>
              <w:jc w:val="center"/>
              <w:rPr>
                <w:rFonts w:ascii="Calibri" w:hAnsi="Calibri" w:cs="Calibri"/>
                <w:sz w:val="24"/>
                <w:szCs w:val="24"/>
                <w:highlight w:val="yellow"/>
              </w:rPr>
            </w:pPr>
          </w:p>
        </w:tc>
        <w:tc>
          <w:tcPr>
            <w:tcW w:w="4241" w:type="dxa"/>
            <w:gridSpan w:val="2"/>
          </w:tcPr>
          <w:p w14:paraId="22E5EA09" w14:textId="77777777" w:rsidR="00FF41A8" w:rsidRPr="00FE4730" w:rsidRDefault="00FF41A8" w:rsidP="000E0B5A">
            <w:pP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sz w:val="24"/>
                <w:szCs w:val="24"/>
              </w:rPr>
            </w:pPr>
            <w:r w:rsidRPr="00FE4730">
              <w:rPr>
                <w:rFonts w:ascii="Calibri" w:hAnsi="Calibri" w:cs="Calibri"/>
                <w:color w:val="808080" w:themeColor="background1" w:themeShade="80"/>
                <w:sz w:val="24"/>
                <w:szCs w:val="24"/>
                <w:u w:val="single"/>
              </w:rPr>
              <w:t>Changes to Corporate Risk Scores</w:t>
            </w:r>
          </w:p>
          <w:p w14:paraId="695025F9" w14:textId="77777777" w:rsidR="00FF41A8" w:rsidRPr="00FE4730" w:rsidRDefault="00AD209A" w:rsidP="000E0B5A">
            <w:pP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sz w:val="24"/>
                <w:szCs w:val="24"/>
              </w:rPr>
            </w:pPr>
            <w:r w:rsidRPr="00FE4730">
              <w:rPr>
                <w:rFonts w:ascii="Calibri" w:hAnsi="Calibri" w:cs="Calibri"/>
                <w:color w:val="808080" w:themeColor="background1" w:themeShade="80"/>
                <w:sz w:val="24"/>
                <w:szCs w:val="24"/>
              </w:rPr>
              <w:t>↑</w:t>
            </w:r>
            <w:r w:rsidR="00FE4730" w:rsidRPr="00FE4730">
              <w:rPr>
                <w:rFonts w:ascii="Calibri" w:hAnsi="Calibri" w:cs="Calibri"/>
                <w:b/>
                <w:color w:val="808080" w:themeColor="background1" w:themeShade="80"/>
                <w:sz w:val="24"/>
                <w:szCs w:val="24"/>
              </w:rPr>
              <w:t>1</w:t>
            </w:r>
            <w:r w:rsidR="00FF41A8" w:rsidRPr="00FE4730">
              <w:rPr>
                <w:rFonts w:ascii="Calibri" w:hAnsi="Calibri" w:cs="Calibri"/>
                <w:color w:val="808080" w:themeColor="background1" w:themeShade="80"/>
                <w:sz w:val="24"/>
                <w:szCs w:val="24"/>
              </w:rPr>
              <w:t xml:space="preserve"> Gone Up </w:t>
            </w:r>
          </w:p>
          <w:p w14:paraId="42CD9EF8" w14:textId="77777777" w:rsidR="00FF41A8" w:rsidRPr="00FE4730" w:rsidRDefault="00FF41A8" w:rsidP="000E0B5A">
            <w:pP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sz w:val="24"/>
                <w:szCs w:val="24"/>
              </w:rPr>
            </w:pPr>
            <w:r w:rsidRPr="00FE4730">
              <w:rPr>
                <w:rFonts w:ascii="Calibri" w:hAnsi="Calibri" w:cs="Calibri"/>
                <w:color w:val="808080" w:themeColor="background1" w:themeShade="80"/>
                <w:sz w:val="24"/>
                <w:szCs w:val="24"/>
              </w:rPr>
              <w:t xml:space="preserve">↓ </w:t>
            </w:r>
            <w:r w:rsidR="00FE4730" w:rsidRPr="00FE4730">
              <w:rPr>
                <w:rFonts w:ascii="Calibri" w:hAnsi="Calibri" w:cs="Calibri"/>
                <w:b/>
                <w:color w:val="808080" w:themeColor="background1" w:themeShade="80"/>
                <w:sz w:val="24"/>
                <w:szCs w:val="24"/>
              </w:rPr>
              <w:t xml:space="preserve">0 </w:t>
            </w:r>
            <w:r w:rsidRPr="00FE4730">
              <w:rPr>
                <w:rFonts w:ascii="Calibri" w:hAnsi="Calibri" w:cs="Calibri"/>
                <w:color w:val="808080" w:themeColor="background1" w:themeShade="80"/>
                <w:sz w:val="24"/>
                <w:szCs w:val="24"/>
              </w:rPr>
              <w:t xml:space="preserve">Gone Down </w:t>
            </w:r>
          </w:p>
          <w:p w14:paraId="65585DF1" w14:textId="77777777" w:rsidR="00FF41A8" w:rsidRPr="00D52779" w:rsidRDefault="00FF41A8" w:rsidP="000E0B5A">
            <w:pP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sz w:val="24"/>
                <w:szCs w:val="24"/>
                <w:highlight w:val="yellow"/>
              </w:rPr>
            </w:pPr>
          </w:p>
          <w:p w14:paraId="0A18DC31" w14:textId="77777777" w:rsidR="00FF41A8" w:rsidRPr="00FE4730" w:rsidRDefault="00FF41A8" w:rsidP="000E0B5A">
            <w:pP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sz w:val="24"/>
                <w:szCs w:val="24"/>
              </w:rPr>
            </w:pPr>
            <w:r w:rsidRPr="00FE4730">
              <w:rPr>
                <w:rFonts w:ascii="Calibri" w:hAnsi="Calibri" w:cs="Calibri"/>
                <w:color w:val="808080" w:themeColor="background1" w:themeShade="80"/>
                <w:sz w:val="24"/>
                <w:szCs w:val="24"/>
                <w:u w:val="single"/>
              </w:rPr>
              <w:t>Change to Corporate Risk Register</w:t>
            </w:r>
            <w:r w:rsidR="00FE4730" w:rsidRPr="00FE4730">
              <w:rPr>
                <w:rFonts w:ascii="Calibri" w:hAnsi="Calibri" w:cs="Calibri"/>
                <w:color w:val="808080" w:themeColor="background1" w:themeShade="80"/>
                <w:sz w:val="24"/>
                <w:szCs w:val="24"/>
                <w:u w:val="single"/>
              </w:rPr>
              <w:t xml:space="preserve"> - proposed</w:t>
            </w:r>
          </w:p>
          <w:p w14:paraId="76C3FE04" w14:textId="2CD0B0AA" w:rsidR="00FF41A8" w:rsidRPr="00FE4730" w:rsidRDefault="00FF41A8" w:rsidP="000E0B5A">
            <w:pP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sz w:val="24"/>
                <w:szCs w:val="24"/>
              </w:rPr>
            </w:pPr>
            <w:r w:rsidRPr="00FE4730">
              <w:rPr>
                <w:rFonts w:ascii="Calibri" w:hAnsi="Calibri" w:cs="Calibri"/>
                <w:color w:val="808080" w:themeColor="background1" w:themeShade="80"/>
                <w:sz w:val="24"/>
                <w:szCs w:val="24"/>
              </w:rPr>
              <w:t>↗</w:t>
            </w:r>
            <w:r w:rsidR="00FE4730" w:rsidRPr="00FE4730">
              <w:rPr>
                <w:rFonts w:ascii="Calibri" w:hAnsi="Calibri" w:cs="Calibri"/>
                <w:b/>
                <w:color w:val="808080" w:themeColor="background1" w:themeShade="80"/>
                <w:sz w:val="24"/>
                <w:szCs w:val="24"/>
              </w:rPr>
              <w:t xml:space="preserve"> </w:t>
            </w:r>
            <w:r w:rsidR="00FD089F" w:rsidRPr="00FD089F">
              <w:rPr>
                <w:rFonts w:ascii="Calibri" w:hAnsi="Calibri" w:cs="Calibri"/>
                <w:b/>
                <w:color w:val="808080" w:themeColor="background1" w:themeShade="80"/>
                <w:sz w:val="24"/>
                <w:szCs w:val="24"/>
              </w:rPr>
              <w:t>0</w:t>
            </w:r>
            <w:r w:rsidR="00FE4730" w:rsidRPr="00FD089F">
              <w:rPr>
                <w:rFonts w:ascii="Calibri" w:hAnsi="Calibri" w:cs="Calibri"/>
                <w:b/>
                <w:color w:val="808080" w:themeColor="background1" w:themeShade="80"/>
                <w:sz w:val="24"/>
                <w:szCs w:val="24"/>
              </w:rPr>
              <w:t xml:space="preserve"> </w:t>
            </w:r>
            <w:r w:rsidRPr="00FD089F">
              <w:rPr>
                <w:rFonts w:ascii="Calibri" w:hAnsi="Calibri" w:cs="Calibri"/>
                <w:color w:val="808080" w:themeColor="background1" w:themeShade="80"/>
                <w:sz w:val="24"/>
                <w:szCs w:val="24"/>
              </w:rPr>
              <w:t>New Corporate Risks</w:t>
            </w:r>
            <w:r w:rsidR="00FE4730" w:rsidRPr="00A275B4">
              <w:rPr>
                <w:rFonts w:ascii="Calibri" w:hAnsi="Calibri" w:cs="Calibri"/>
                <w:color w:val="FF0000"/>
                <w:sz w:val="24"/>
                <w:szCs w:val="24"/>
              </w:rPr>
              <w:t xml:space="preserve"> </w:t>
            </w:r>
          </w:p>
          <w:p w14:paraId="57F4E4D3" w14:textId="77777777" w:rsidR="00FF41A8" w:rsidRPr="004D18D9" w:rsidRDefault="00FF41A8" w:rsidP="00FE4730">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24"/>
                <w:szCs w:val="24"/>
                <w:lang w:eastAsia="en-GB"/>
              </w:rPr>
            </w:pPr>
            <w:r w:rsidRPr="00FE4730">
              <w:rPr>
                <w:rFonts w:ascii="Calibri" w:hAnsi="Calibri" w:cs="Calibri"/>
                <w:color w:val="808080" w:themeColor="background1" w:themeShade="80"/>
                <w:sz w:val="24"/>
                <w:szCs w:val="24"/>
              </w:rPr>
              <w:t xml:space="preserve">↘ </w:t>
            </w:r>
            <w:r w:rsidR="00FE4730" w:rsidRPr="00FE4730">
              <w:rPr>
                <w:rFonts w:ascii="Calibri" w:hAnsi="Calibri" w:cs="Calibri"/>
                <w:b/>
                <w:color w:val="808080" w:themeColor="background1" w:themeShade="80"/>
                <w:sz w:val="24"/>
                <w:szCs w:val="24"/>
              </w:rPr>
              <w:t>0</w:t>
            </w:r>
            <w:r w:rsidRPr="00FE4730">
              <w:rPr>
                <w:rFonts w:ascii="Calibri" w:hAnsi="Calibri" w:cs="Calibri"/>
                <w:b/>
                <w:color w:val="808080" w:themeColor="background1" w:themeShade="80"/>
                <w:sz w:val="24"/>
                <w:szCs w:val="24"/>
              </w:rPr>
              <w:t xml:space="preserve"> </w:t>
            </w:r>
            <w:r w:rsidRPr="00FE4730">
              <w:rPr>
                <w:rFonts w:ascii="Calibri" w:hAnsi="Calibri" w:cs="Calibri"/>
                <w:color w:val="808080" w:themeColor="background1" w:themeShade="80"/>
                <w:sz w:val="24"/>
                <w:szCs w:val="24"/>
              </w:rPr>
              <w:t xml:space="preserve">De-Escalated </w:t>
            </w:r>
          </w:p>
        </w:tc>
      </w:tr>
    </w:tbl>
    <w:p w14:paraId="0D89BA3D" w14:textId="77777777" w:rsidR="00E80101" w:rsidRPr="00B6615A" w:rsidRDefault="00E80101" w:rsidP="00BA3EED">
      <w:pPr>
        <w:pStyle w:val="ListParagraph"/>
        <w:rPr>
          <w:rFonts w:ascii="Calibri" w:eastAsia="Times New Roman" w:hAnsi="Calibri" w:cs="Calibri"/>
          <w:sz w:val="24"/>
          <w:szCs w:val="24"/>
        </w:rPr>
      </w:pPr>
    </w:p>
    <w:p w14:paraId="77BA77DF" w14:textId="77777777" w:rsidR="005E7838" w:rsidRPr="00FE4730" w:rsidRDefault="00E80101" w:rsidP="00FE4730">
      <w:pPr>
        <w:pStyle w:val="Heading2"/>
        <w:rPr>
          <w:rFonts w:ascii="Calibri" w:hAnsi="Calibri" w:cs="Calibri"/>
          <w:sz w:val="24"/>
          <w:szCs w:val="24"/>
        </w:rPr>
      </w:pPr>
      <w:r w:rsidRPr="00B6615A">
        <w:rPr>
          <w:rFonts w:ascii="Calibri" w:hAnsi="Calibri" w:cs="Calibri"/>
          <w:sz w:val="24"/>
          <w:szCs w:val="24"/>
        </w:rPr>
        <w:t>Risk</w:t>
      </w:r>
    </w:p>
    <w:p w14:paraId="47958B51" w14:textId="23F5A13A" w:rsidR="003F4825" w:rsidRPr="00FE4730" w:rsidRDefault="003F4825" w:rsidP="005E7838">
      <w:pPr>
        <w:pStyle w:val="ListParagraph"/>
        <w:numPr>
          <w:ilvl w:val="0"/>
          <w:numId w:val="4"/>
        </w:numPr>
        <w:spacing w:after="200" w:line="276" w:lineRule="auto"/>
        <w:rPr>
          <w:rFonts w:ascii="Calibri" w:hAnsi="Calibri" w:cs="Calibri"/>
          <w:color w:val="FF0000"/>
          <w:sz w:val="24"/>
          <w:szCs w:val="24"/>
        </w:rPr>
      </w:pPr>
      <w:r w:rsidRPr="00D03860">
        <w:rPr>
          <w:rFonts w:ascii="Calibri" w:hAnsi="Calibri" w:cs="Calibri"/>
          <w:sz w:val="24"/>
          <w:szCs w:val="24"/>
        </w:rPr>
        <w:t xml:space="preserve">The </w:t>
      </w:r>
      <w:hyperlink w:anchor="_Annex_A_–" w:history="1">
        <w:r w:rsidR="00124A15">
          <w:rPr>
            <w:rStyle w:val="Hyperlink"/>
            <w:rFonts w:ascii="Calibri" w:hAnsi="Calibri" w:cs="Calibri"/>
            <w:sz w:val="24"/>
            <w:szCs w:val="24"/>
          </w:rPr>
          <w:t>Annex A - Corporate Risk Register</w:t>
        </w:r>
      </w:hyperlink>
      <w:r w:rsidRPr="00D03860">
        <w:rPr>
          <w:rFonts w:ascii="Calibri" w:hAnsi="Calibri" w:cs="Calibri"/>
          <w:sz w:val="24"/>
          <w:szCs w:val="24"/>
        </w:rPr>
        <w:t xml:space="preserve"> holds the current corporate risks for NatureScot.  Activity and project risks are managed within the risk management system, which underpins the </w:t>
      </w:r>
      <w:r w:rsidRPr="00FE4730">
        <w:rPr>
          <w:rFonts w:ascii="Calibri" w:hAnsi="Calibri" w:cs="Calibri"/>
          <w:sz w:val="24"/>
          <w:szCs w:val="24"/>
        </w:rPr>
        <w:t xml:space="preserve">corporate risk register. </w:t>
      </w:r>
      <w:r w:rsidR="007C3D2E" w:rsidRPr="00FE4730">
        <w:rPr>
          <w:rFonts w:ascii="Calibri" w:hAnsi="Calibri" w:cs="Calibri"/>
          <w:sz w:val="24"/>
          <w:szCs w:val="24"/>
        </w:rPr>
        <w:t xml:space="preserve"> </w:t>
      </w:r>
      <w:r w:rsidRPr="00FE4730">
        <w:rPr>
          <w:rFonts w:ascii="Calibri" w:hAnsi="Calibri" w:cs="Calibri"/>
          <w:sz w:val="24"/>
          <w:szCs w:val="24"/>
        </w:rPr>
        <w:t xml:space="preserve">All risks are managed in line with the Risk Management policy and monitored regularly for compliance and visibility of impact.  </w:t>
      </w:r>
      <w:r w:rsidR="00E300C4" w:rsidRPr="00FE4730">
        <w:rPr>
          <w:rFonts w:ascii="Calibri" w:eastAsia="Times New Roman" w:hAnsi="Calibri" w:cs="Calibri"/>
          <w:color w:val="FF0000"/>
          <w:sz w:val="24"/>
          <w:szCs w:val="24"/>
        </w:rPr>
        <w:br/>
      </w:r>
    </w:p>
    <w:p w14:paraId="4F0E6C14" w14:textId="77777777" w:rsidR="00795EFB" w:rsidRPr="00FE4730" w:rsidRDefault="001C547B" w:rsidP="00FE4730">
      <w:pPr>
        <w:pStyle w:val="ListParagraph"/>
        <w:numPr>
          <w:ilvl w:val="0"/>
          <w:numId w:val="4"/>
        </w:numPr>
        <w:spacing w:after="200" w:line="276" w:lineRule="auto"/>
        <w:rPr>
          <w:rFonts w:ascii="Calibri" w:eastAsia="Times New Roman" w:hAnsi="Calibri" w:cs="Calibri"/>
          <w:color w:val="FF0000"/>
          <w:sz w:val="24"/>
          <w:szCs w:val="24"/>
        </w:rPr>
      </w:pPr>
      <w:r w:rsidRPr="00FE4730">
        <w:rPr>
          <w:rFonts w:ascii="Calibri" w:eastAsia="Times New Roman" w:hAnsi="Calibri" w:cs="Calibri"/>
          <w:sz w:val="24"/>
          <w:szCs w:val="24"/>
        </w:rPr>
        <w:t>There are currently 13</w:t>
      </w:r>
      <w:r w:rsidR="00E300C4" w:rsidRPr="00FE4730">
        <w:rPr>
          <w:rFonts w:ascii="Calibri" w:eastAsia="Times New Roman" w:hAnsi="Calibri" w:cs="Calibri"/>
          <w:sz w:val="24"/>
          <w:szCs w:val="24"/>
        </w:rPr>
        <w:t xml:space="preserve"> approved Corporate Risks, </w:t>
      </w:r>
      <w:r w:rsidR="00FE4730" w:rsidRPr="00FE4730">
        <w:rPr>
          <w:rFonts w:ascii="Calibri" w:eastAsia="Times New Roman" w:hAnsi="Calibri" w:cs="Calibri"/>
          <w:color w:val="000000" w:themeColor="text1"/>
          <w:sz w:val="24"/>
          <w:szCs w:val="24"/>
        </w:rPr>
        <w:t>8</w:t>
      </w:r>
      <w:r w:rsidR="00E300C4" w:rsidRPr="00FE4730">
        <w:rPr>
          <w:rFonts w:ascii="Calibri" w:eastAsia="Times New Roman" w:hAnsi="Calibri" w:cs="Calibri"/>
          <w:color w:val="000000" w:themeColor="text1"/>
          <w:sz w:val="24"/>
          <w:szCs w:val="24"/>
        </w:rPr>
        <w:t xml:space="preserve"> medium, </w:t>
      </w:r>
      <w:r w:rsidR="00FE4730" w:rsidRPr="00FE4730">
        <w:rPr>
          <w:rFonts w:ascii="Calibri" w:eastAsia="Times New Roman" w:hAnsi="Calibri" w:cs="Calibri"/>
          <w:color w:val="000000" w:themeColor="text1"/>
          <w:sz w:val="24"/>
          <w:szCs w:val="24"/>
        </w:rPr>
        <w:t>4</w:t>
      </w:r>
      <w:r w:rsidR="00E300C4" w:rsidRPr="00FE4730">
        <w:rPr>
          <w:rFonts w:ascii="Calibri" w:eastAsia="Times New Roman" w:hAnsi="Calibri" w:cs="Calibri"/>
          <w:color w:val="000000" w:themeColor="text1"/>
          <w:sz w:val="24"/>
          <w:szCs w:val="24"/>
        </w:rPr>
        <w:t xml:space="preserve"> high and </w:t>
      </w:r>
      <w:r w:rsidR="007C3D2E" w:rsidRPr="00FE4730">
        <w:rPr>
          <w:rFonts w:ascii="Calibri" w:eastAsia="Times New Roman" w:hAnsi="Calibri" w:cs="Calibri"/>
          <w:color w:val="000000" w:themeColor="text1"/>
          <w:sz w:val="24"/>
          <w:szCs w:val="24"/>
        </w:rPr>
        <w:t>1</w:t>
      </w:r>
      <w:r w:rsidR="00E300C4" w:rsidRPr="00FE4730">
        <w:rPr>
          <w:rFonts w:ascii="Calibri" w:eastAsia="Times New Roman" w:hAnsi="Calibri" w:cs="Calibri"/>
          <w:color w:val="000000" w:themeColor="text1"/>
          <w:sz w:val="24"/>
          <w:szCs w:val="24"/>
        </w:rPr>
        <w:t xml:space="preserve"> very high</w:t>
      </w:r>
      <w:r w:rsidR="00AE17E6" w:rsidRPr="00FE4730">
        <w:rPr>
          <w:rFonts w:ascii="Calibri" w:eastAsia="Times New Roman" w:hAnsi="Calibri" w:cs="Calibri"/>
          <w:color w:val="000000" w:themeColor="text1"/>
          <w:sz w:val="24"/>
          <w:szCs w:val="24"/>
        </w:rPr>
        <w:t xml:space="preserve">.  </w:t>
      </w:r>
      <w:r w:rsidR="00AE17E6" w:rsidRPr="00FE4730">
        <w:rPr>
          <w:rFonts w:ascii="Calibri" w:eastAsia="Times New Roman" w:hAnsi="Calibri" w:cs="Calibri"/>
          <w:sz w:val="24"/>
          <w:szCs w:val="24"/>
        </w:rPr>
        <w:t xml:space="preserve">The risk rating has </w:t>
      </w:r>
      <w:r w:rsidR="00FE4730" w:rsidRPr="00FE4730">
        <w:rPr>
          <w:rFonts w:ascii="Calibri" w:eastAsia="Times New Roman" w:hAnsi="Calibri" w:cs="Calibri"/>
          <w:sz w:val="24"/>
          <w:szCs w:val="24"/>
        </w:rPr>
        <w:t>in</w:t>
      </w:r>
      <w:r w:rsidR="00D03860" w:rsidRPr="00FE4730">
        <w:rPr>
          <w:rFonts w:ascii="Calibri" w:eastAsia="Times New Roman" w:hAnsi="Calibri" w:cs="Calibri"/>
          <w:sz w:val="24"/>
          <w:szCs w:val="24"/>
        </w:rPr>
        <w:t>creased</w:t>
      </w:r>
      <w:r w:rsidR="00AE17E6" w:rsidRPr="00FE4730">
        <w:rPr>
          <w:rFonts w:ascii="Calibri" w:eastAsia="Times New Roman" w:hAnsi="Calibri" w:cs="Calibri"/>
          <w:sz w:val="24"/>
          <w:szCs w:val="24"/>
        </w:rPr>
        <w:t xml:space="preserve"> from </w:t>
      </w:r>
      <w:r w:rsidR="00D03860" w:rsidRPr="00FE4730">
        <w:rPr>
          <w:rFonts w:ascii="Calibri" w:eastAsia="Times New Roman" w:hAnsi="Calibri" w:cs="Calibri"/>
          <w:sz w:val="24"/>
          <w:szCs w:val="24"/>
        </w:rPr>
        <w:t>medium</w:t>
      </w:r>
      <w:r w:rsidR="00FE4730" w:rsidRPr="00FE4730">
        <w:rPr>
          <w:rFonts w:ascii="Calibri" w:eastAsia="Times New Roman" w:hAnsi="Calibri" w:cs="Calibri"/>
          <w:sz w:val="24"/>
          <w:szCs w:val="24"/>
        </w:rPr>
        <w:t xml:space="preserve"> to high</w:t>
      </w:r>
      <w:r w:rsidR="00AE17E6" w:rsidRPr="00FE4730">
        <w:rPr>
          <w:rFonts w:ascii="Calibri" w:eastAsia="Times New Roman" w:hAnsi="Calibri" w:cs="Calibri"/>
          <w:sz w:val="24"/>
          <w:szCs w:val="24"/>
        </w:rPr>
        <w:t xml:space="preserve"> for “</w:t>
      </w:r>
      <w:r w:rsidR="00FE4730" w:rsidRPr="00FE4730">
        <w:rPr>
          <w:rFonts w:ascii="Calibri" w:eastAsia="Times New Roman" w:hAnsi="Calibri" w:cs="Calibri"/>
          <w:b/>
          <w:sz w:val="24"/>
          <w:szCs w:val="24"/>
        </w:rPr>
        <w:t>As a result of on-going reductions in public expenditure there is a risk we may receive significant reductions in our grant-in-aid settlement.</w:t>
      </w:r>
      <w:r w:rsidR="00D03860" w:rsidRPr="00FE4730">
        <w:rPr>
          <w:rFonts w:ascii="Calibri" w:eastAsia="Times New Roman" w:hAnsi="Calibri" w:cs="Calibri"/>
          <w:sz w:val="24"/>
          <w:szCs w:val="24"/>
        </w:rPr>
        <w:t>”</w:t>
      </w:r>
      <w:r w:rsidR="00FE4730" w:rsidRPr="00FE4730">
        <w:rPr>
          <w:rFonts w:ascii="Calibri" w:eastAsia="Times New Roman" w:hAnsi="Calibri" w:cs="Calibri"/>
          <w:sz w:val="24"/>
          <w:szCs w:val="24"/>
        </w:rPr>
        <w:t xml:space="preserve">  </w:t>
      </w:r>
      <w:r w:rsidR="00E3590E" w:rsidRPr="00FE4730">
        <w:rPr>
          <w:rFonts w:ascii="Calibri" w:eastAsia="Times New Roman" w:hAnsi="Calibri" w:cs="Calibri"/>
          <w:sz w:val="24"/>
          <w:szCs w:val="24"/>
        </w:rPr>
        <w:t>T</w:t>
      </w:r>
      <w:r w:rsidR="00AE17E6" w:rsidRPr="00FE4730">
        <w:rPr>
          <w:rFonts w:ascii="Calibri" w:eastAsia="Times New Roman" w:hAnsi="Calibri" w:cs="Calibri"/>
          <w:sz w:val="24"/>
          <w:szCs w:val="24"/>
        </w:rPr>
        <w:t>his is due to</w:t>
      </w:r>
      <w:r w:rsidR="00D03860" w:rsidRPr="00FE4730">
        <w:rPr>
          <w:rFonts w:ascii="Calibri" w:eastAsia="Times New Roman" w:hAnsi="Calibri" w:cs="Calibri"/>
          <w:sz w:val="24"/>
          <w:szCs w:val="24"/>
        </w:rPr>
        <w:t xml:space="preserve"> the</w:t>
      </w:r>
      <w:r w:rsidR="00FE4730" w:rsidRPr="00FE4730">
        <w:rPr>
          <w:rFonts w:ascii="Calibri" w:eastAsia="Times New Roman" w:hAnsi="Calibri" w:cs="Calibri"/>
          <w:sz w:val="24"/>
          <w:szCs w:val="24"/>
        </w:rPr>
        <w:t xml:space="preserve"> budget pressures evident within the Scottish Government and the uncertainty </w:t>
      </w:r>
      <w:r w:rsidR="00FE4730">
        <w:rPr>
          <w:rFonts w:ascii="Calibri" w:eastAsia="Times New Roman" w:hAnsi="Calibri" w:cs="Calibri"/>
          <w:sz w:val="24"/>
          <w:szCs w:val="24"/>
        </w:rPr>
        <w:t xml:space="preserve">of </w:t>
      </w:r>
      <w:r w:rsidR="00FE4730" w:rsidRPr="00FE4730">
        <w:rPr>
          <w:rFonts w:ascii="Calibri" w:eastAsia="Times New Roman" w:hAnsi="Calibri" w:cs="Calibri"/>
          <w:sz w:val="24"/>
          <w:szCs w:val="24"/>
        </w:rPr>
        <w:t>additional funding to support new commitments</w:t>
      </w:r>
      <w:r w:rsidR="00D03860" w:rsidRPr="00FE4730">
        <w:rPr>
          <w:rFonts w:ascii="Calibri" w:eastAsia="Times New Roman" w:hAnsi="Calibri" w:cs="Calibri"/>
          <w:sz w:val="24"/>
          <w:szCs w:val="24"/>
        </w:rPr>
        <w:t>.</w:t>
      </w:r>
      <w:r w:rsidR="00AE17E6" w:rsidRPr="00FE4730">
        <w:rPr>
          <w:rFonts w:ascii="Calibri" w:eastAsia="Times New Roman" w:hAnsi="Calibri" w:cs="Calibri"/>
          <w:color w:val="FF0000"/>
          <w:sz w:val="24"/>
          <w:szCs w:val="24"/>
        </w:rPr>
        <w:t xml:space="preserve"> </w:t>
      </w:r>
    </w:p>
    <w:p w14:paraId="77552A4E" w14:textId="77777777" w:rsidR="00D03860" w:rsidRPr="00D52779" w:rsidRDefault="00D03860" w:rsidP="00D03860">
      <w:pPr>
        <w:pStyle w:val="ListParagraph"/>
        <w:spacing w:after="200" w:line="276" w:lineRule="auto"/>
        <w:ind w:left="360"/>
        <w:rPr>
          <w:rFonts w:ascii="Calibri" w:eastAsia="Times New Roman" w:hAnsi="Calibri" w:cs="Calibri"/>
          <w:color w:val="FF0000"/>
          <w:sz w:val="24"/>
          <w:szCs w:val="24"/>
          <w:highlight w:val="yellow"/>
        </w:rPr>
      </w:pPr>
    </w:p>
    <w:p w14:paraId="1944F9E2" w14:textId="23630CC5" w:rsidR="00FE4730" w:rsidRPr="00FD089F" w:rsidRDefault="001C547B" w:rsidP="00FE4730">
      <w:pPr>
        <w:pStyle w:val="ListParagraph"/>
        <w:numPr>
          <w:ilvl w:val="0"/>
          <w:numId w:val="4"/>
        </w:numPr>
        <w:spacing w:line="276" w:lineRule="auto"/>
        <w:rPr>
          <w:rFonts w:ascii="Calibri" w:hAnsi="Calibri" w:cs="Calibri"/>
          <w:sz w:val="24"/>
          <w:szCs w:val="24"/>
        </w:rPr>
      </w:pPr>
      <w:r w:rsidRPr="00FD089F">
        <w:rPr>
          <w:rFonts w:ascii="Calibri" w:eastAsia="Times New Roman" w:hAnsi="Calibri" w:cs="Calibri"/>
          <w:sz w:val="24"/>
          <w:szCs w:val="24"/>
        </w:rPr>
        <w:t>During Q2, the Corporate Risks have been reviewed to ensure that they still require to be managed at t</w:t>
      </w:r>
      <w:r w:rsidR="00FE4730" w:rsidRPr="00FD089F">
        <w:rPr>
          <w:rFonts w:ascii="Calibri" w:eastAsia="Times New Roman" w:hAnsi="Calibri" w:cs="Calibri"/>
          <w:sz w:val="24"/>
          <w:szCs w:val="24"/>
        </w:rPr>
        <w:t xml:space="preserve">he corporate level. There are </w:t>
      </w:r>
      <w:r w:rsidR="00FD089F" w:rsidRPr="00FD089F">
        <w:rPr>
          <w:rFonts w:ascii="Calibri" w:eastAsia="Times New Roman" w:hAnsi="Calibri" w:cs="Calibri"/>
          <w:sz w:val="24"/>
          <w:szCs w:val="24"/>
        </w:rPr>
        <w:t>no</w:t>
      </w:r>
      <w:r w:rsidR="00FE4730" w:rsidRPr="00FD089F">
        <w:rPr>
          <w:rFonts w:ascii="Calibri" w:eastAsia="Times New Roman" w:hAnsi="Calibri" w:cs="Calibri"/>
          <w:sz w:val="24"/>
          <w:szCs w:val="24"/>
        </w:rPr>
        <w:t xml:space="preserve"> </w:t>
      </w:r>
      <w:r w:rsidR="00D03860" w:rsidRPr="00FD089F">
        <w:rPr>
          <w:rFonts w:ascii="Calibri" w:eastAsia="Times New Roman" w:hAnsi="Calibri" w:cs="Calibri"/>
          <w:sz w:val="24"/>
          <w:szCs w:val="24"/>
        </w:rPr>
        <w:t>risk</w:t>
      </w:r>
      <w:r w:rsidRPr="00FD089F">
        <w:rPr>
          <w:rFonts w:ascii="Calibri" w:eastAsia="Times New Roman" w:hAnsi="Calibri" w:cs="Calibri"/>
          <w:sz w:val="24"/>
          <w:szCs w:val="24"/>
        </w:rPr>
        <w:t>s</w:t>
      </w:r>
      <w:r w:rsidR="00D03860" w:rsidRPr="00FD089F">
        <w:rPr>
          <w:rFonts w:ascii="Calibri" w:eastAsia="Times New Roman" w:hAnsi="Calibri" w:cs="Calibri"/>
          <w:sz w:val="24"/>
          <w:szCs w:val="24"/>
        </w:rPr>
        <w:t xml:space="preserve"> proposed for escalation</w:t>
      </w:r>
      <w:r w:rsidR="00FD089F" w:rsidRPr="00FD089F">
        <w:rPr>
          <w:rFonts w:ascii="Calibri" w:eastAsia="Times New Roman" w:hAnsi="Calibri" w:cs="Calibri"/>
          <w:sz w:val="24"/>
          <w:szCs w:val="24"/>
        </w:rPr>
        <w:t>.</w:t>
      </w:r>
    </w:p>
    <w:p w14:paraId="433CE60F" w14:textId="77777777" w:rsidR="00FE4730" w:rsidRPr="00A275B4" w:rsidRDefault="00FE4730" w:rsidP="00FE4730">
      <w:pPr>
        <w:pStyle w:val="ListParagraph"/>
        <w:spacing w:line="276" w:lineRule="auto"/>
        <w:ind w:left="643"/>
        <w:rPr>
          <w:rFonts w:ascii="Calibri" w:hAnsi="Calibri" w:cs="Calibri"/>
          <w:color w:val="FF0000"/>
          <w:sz w:val="24"/>
          <w:szCs w:val="24"/>
        </w:rPr>
      </w:pPr>
    </w:p>
    <w:p w14:paraId="125299CE" w14:textId="7735F405" w:rsidR="00FF41A8" w:rsidRPr="006167CE" w:rsidRDefault="00A275B4" w:rsidP="00FE4730">
      <w:pPr>
        <w:pStyle w:val="ListParagraph"/>
        <w:numPr>
          <w:ilvl w:val="0"/>
          <w:numId w:val="4"/>
        </w:numPr>
        <w:spacing w:after="200" w:line="276" w:lineRule="auto"/>
        <w:rPr>
          <w:rFonts w:ascii="Calibri" w:hAnsi="Calibri" w:cs="Calibri"/>
          <w:sz w:val="24"/>
          <w:szCs w:val="24"/>
        </w:rPr>
      </w:pPr>
      <w:r w:rsidRPr="006167CE">
        <w:rPr>
          <w:rFonts w:ascii="Calibri" w:eastAsia="Times New Roman" w:hAnsi="Calibri" w:cs="Calibri"/>
          <w:sz w:val="24"/>
          <w:szCs w:val="24"/>
        </w:rPr>
        <w:t>Board</w:t>
      </w:r>
      <w:r w:rsidR="001C547B" w:rsidRPr="006167CE">
        <w:rPr>
          <w:rFonts w:ascii="Calibri" w:eastAsia="Times New Roman" w:hAnsi="Calibri" w:cs="Calibri"/>
          <w:sz w:val="24"/>
          <w:szCs w:val="24"/>
        </w:rPr>
        <w:t xml:space="preserve"> are requested to note the</w:t>
      </w:r>
      <w:r w:rsidR="00373733" w:rsidRPr="006167CE">
        <w:rPr>
          <w:rFonts w:ascii="Calibri" w:eastAsia="Times New Roman" w:hAnsi="Calibri" w:cs="Calibri"/>
          <w:sz w:val="24"/>
          <w:szCs w:val="24"/>
        </w:rPr>
        <w:t xml:space="preserve"> </w:t>
      </w:r>
      <w:r w:rsidR="001C547B" w:rsidRPr="006167CE">
        <w:rPr>
          <w:rFonts w:ascii="Calibri" w:eastAsia="Times New Roman" w:hAnsi="Calibri" w:cs="Calibri"/>
          <w:sz w:val="24"/>
          <w:szCs w:val="24"/>
        </w:rPr>
        <w:t xml:space="preserve">performance of the </w:t>
      </w:r>
      <w:r w:rsidR="00FE4730" w:rsidRPr="006167CE">
        <w:rPr>
          <w:rFonts w:ascii="Calibri" w:eastAsia="Times New Roman" w:hAnsi="Calibri" w:cs="Calibri"/>
          <w:sz w:val="24"/>
          <w:szCs w:val="24"/>
        </w:rPr>
        <w:t>corporate risks</w:t>
      </w:r>
      <w:r w:rsidR="00FD089F" w:rsidRPr="006167CE">
        <w:rPr>
          <w:rFonts w:ascii="Calibri" w:eastAsia="Times New Roman" w:hAnsi="Calibri" w:cs="Calibri"/>
          <w:sz w:val="24"/>
          <w:szCs w:val="24"/>
        </w:rPr>
        <w:t>.</w:t>
      </w:r>
    </w:p>
    <w:tbl>
      <w:tblPr>
        <w:tblStyle w:val="PlainTable1"/>
        <w:tblpPr w:leftFromText="180" w:rightFromText="180" w:vertAnchor="text" w:horzAnchor="margin" w:tblpY="-189"/>
        <w:tblW w:w="9351" w:type="dxa"/>
        <w:tblLook w:val="04A0" w:firstRow="1" w:lastRow="0" w:firstColumn="1" w:lastColumn="0" w:noHBand="0" w:noVBand="1"/>
        <w:tblCaption w:val="People Metrics"/>
        <w:tblDescription w:val="Summary of the progress on the people metrics"/>
      </w:tblPr>
      <w:tblGrid>
        <w:gridCol w:w="7225"/>
        <w:gridCol w:w="2126"/>
      </w:tblGrid>
      <w:tr w:rsidR="00A275B4" w:rsidRPr="0073147A" w14:paraId="4AE11543" w14:textId="77777777" w:rsidTr="00A275B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4F81BD" w:themeFill="accent1"/>
          </w:tcPr>
          <w:p w14:paraId="20B48001" w14:textId="77777777" w:rsidR="00A275B4" w:rsidRPr="0073147A" w:rsidRDefault="00A275B4" w:rsidP="00A275B4">
            <w:pPr>
              <w:keepNext/>
              <w:keepLines/>
              <w:contextualSpacing/>
              <w:outlineLvl w:val="1"/>
              <w:rPr>
                <w:rFonts w:ascii="Calibri" w:eastAsia="Times New Roman" w:hAnsi="Calibri" w:cs="Calibri"/>
                <w:sz w:val="24"/>
                <w:szCs w:val="24"/>
              </w:rPr>
            </w:pPr>
            <w:r w:rsidRPr="0073147A">
              <w:rPr>
                <w:rFonts w:ascii="Calibri" w:eastAsia="Times New Roman" w:hAnsi="Calibri" w:cs="Calibri"/>
                <w:sz w:val="24"/>
                <w:szCs w:val="24"/>
              </w:rPr>
              <w:lastRenderedPageBreak/>
              <w:t>People Metrics</w:t>
            </w:r>
          </w:p>
        </w:tc>
        <w:tc>
          <w:tcPr>
            <w:tcW w:w="2126" w:type="dxa"/>
            <w:shd w:val="clear" w:color="auto" w:fill="4F81BD" w:themeFill="accent1"/>
          </w:tcPr>
          <w:p w14:paraId="479F71E4" w14:textId="77777777" w:rsidR="00A275B4" w:rsidRPr="0073147A" w:rsidRDefault="00A275B4" w:rsidP="00A275B4">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73147A">
              <w:rPr>
                <w:rFonts w:ascii="Calibri" w:eastAsia="Times New Roman" w:hAnsi="Calibri" w:cs="Calibri"/>
                <w:sz w:val="24"/>
                <w:szCs w:val="24"/>
              </w:rPr>
              <w:t>Status</w:t>
            </w:r>
          </w:p>
        </w:tc>
      </w:tr>
      <w:tr w:rsidR="00A275B4" w:rsidRPr="0073147A" w14:paraId="54A035AC" w14:textId="77777777" w:rsidTr="00A275B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00B050"/>
          </w:tcPr>
          <w:p w14:paraId="37F99896" w14:textId="77777777" w:rsidR="00A275B4" w:rsidRPr="0073147A" w:rsidRDefault="00A275B4" w:rsidP="00A275B4">
            <w:pPr>
              <w:keepNext/>
              <w:keepLines/>
              <w:contextualSpacing/>
              <w:outlineLvl w:val="1"/>
              <w:rPr>
                <w:rFonts w:ascii="Calibri" w:eastAsia="Times New Roman" w:hAnsi="Calibri" w:cs="Calibri"/>
                <w:sz w:val="24"/>
                <w:szCs w:val="24"/>
              </w:rPr>
            </w:pPr>
            <w:r w:rsidRPr="0073147A">
              <w:rPr>
                <w:rFonts w:ascii="Calibri" w:eastAsia="Times New Roman" w:hAnsi="Calibri" w:cs="Calibri"/>
                <w:sz w:val="24"/>
                <w:szCs w:val="24"/>
              </w:rPr>
              <w:t>Wellbeing</w:t>
            </w:r>
          </w:p>
        </w:tc>
        <w:tc>
          <w:tcPr>
            <w:tcW w:w="2126" w:type="dxa"/>
            <w:shd w:val="clear" w:color="auto" w:fill="00B050"/>
          </w:tcPr>
          <w:p w14:paraId="7D5F85E2" w14:textId="77777777" w:rsidR="00A275B4" w:rsidRPr="0073147A" w:rsidRDefault="00A275B4" w:rsidP="00A275B4">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p>
        </w:tc>
      </w:tr>
      <w:tr w:rsidR="00A275B4" w:rsidRPr="0073147A" w14:paraId="3E4AD1D1" w14:textId="77777777" w:rsidTr="00A275B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tcPr>
          <w:p w14:paraId="2137EA04" w14:textId="77777777" w:rsidR="00A275B4" w:rsidRPr="0073147A" w:rsidRDefault="00A275B4" w:rsidP="00A275B4">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Accidents &amp; Near Misses – target: to stay with</w:t>
            </w:r>
            <w:r>
              <w:rPr>
                <w:rFonts w:ascii="Calibri" w:eastAsia="Times New Roman" w:hAnsi="Calibri" w:cs="Calibri"/>
                <w:b w:val="0"/>
                <w:sz w:val="24"/>
                <w:szCs w:val="24"/>
              </w:rPr>
              <w:t>in variations around the mean which are 4.4 for accidents &amp; 5.8 for near misses</w:t>
            </w:r>
          </w:p>
          <w:p w14:paraId="79196FD2" w14:textId="77777777" w:rsidR="00A275B4" w:rsidRPr="00F86A9A" w:rsidRDefault="00A275B4" w:rsidP="00A275B4">
            <w:pPr>
              <w:keepNext/>
              <w:keepLines/>
              <w:outlineLvl w:val="1"/>
              <w:rPr>
                <w:rFonts w:ascii="Calibri" w:eastAsia="Times New Roman" w:hAnsi="Calibri" w:cs="Calibri"/>
                <w:b w:val="0"/>
                <w:sz w:val="23"/>
                <w:szCs w:val="23"/>
              </w:rPr>
            </w:pPr>
            <w:r w:rsidRPr="00F86A9A">
              <w:rPr>
                <w:rFonts w:ascii="Calibri" w:eastAsia="Times New Roman" w:hAnsi="Calibri" w:cs="Calibri"/>
                <w:b w:val="0"/>
                <w:sz w:val="23"/>
                <w:szCs w:val="23"/>
              </w:rPr>
              <w:t>Q2: Accidents=2, Near Misses=2 (these continue the low trend of the past two years), in the July pulse survey 92% felt confident that NatureScot takes Health and Safety seriously.</w:t>
            </w:r>
          </w:p>
        </w:tc>
        <w:tc>
          <w:tcPr>
            <w:tcW w:w="2126" w:type="dxa"/>
          </w:tcPr>
          <w:p w14:paraId="5FE3B95B" w14:textId="77777777" w:rsidR="00A275B4" w:rsidRPr="0073147A" w:rsidRDefault="00A275B4" w:rsidP="00A275B4">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A275B4" w:rsidRPr="0073147A" w14:paraId="504978AA" w14:textId="77777777" w:rsidTr="00A275B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57601F22" w14:textId="77777777" w:rsidR="00A275B4" w:rsidRDefault="00A275B4" w:rsidP="00A275B4">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Work-life balance – target: 75% of employees feeling that their work-life balance is good</w:t>
            </w:r>
          </w:p>
          <w:p w14:paraId="1D973DE2" w14:textId="77777777" w:rsidR="00A275B4" w:rsidRPr="00F86A9A" w:rsidRDefault="00A275B4" w:rsidP="00A275B4">
            <w:pPr>
              <w:keepNext/>
              <w:keepLines/>
              <w:outlineLvl w:val="1"/>
              <w:rPr>
                <w:rFonts w:ascii="Calibri" w:eastAsia="Times New Roman" w:hAnsi="Calibri" w:cs="Calibri"/>
                <w:b w:val="0"/>
                <w:sz w:val="23"/>
                <w:szCs w:val="23"/>
              </w:rPr>
            </w:pPr>
            <w:r w:rsidRPr="00F86A9A">
              <w:rPr>
                <w:rFonts w:ascii="Calibri" w:eastAsia="Times New Roman" w:hAnsi="Calibri" w:cs="Calibri"/>
                <w:b w:val="0"/>
                <w:sz w:val="23"/>
                <w:szCs w:val="23"/>
              </w:rPr>
              <w:t>Q2 In the Pulse survey 87% reported that they felt NatureScot take</w:t>
            </w:r>
            <w:r>
              <w:rPr>
                <w:rFonts w:ascii="Calibri" w:eastAsia="Times New Roman" w:hAnsi="Calibri" w:cs="Calibri"/>
                <w:b w:val="0"/>
                <w:sz w:val="23"/>
                <w:szCs w:val="23"/>
              </w:rPr>
              <w:t>s</w:t>
            </w:r>
            <w:r w:rsidRPr="00F86A9A">
              <w:rPr>
                <w:rFonts w:ascii="Calibri" w:eastAsia="Times New Roman" w:hAnsi="Calibri" w:cs="Calibri"/>
                <w:b w:val="0"/>
                <w:sz w:val="23"/>
                <w:szCs w:val="23"/>
              </w:rPr>
              <w:t xml:space="preserve"> wellbeing seriously, with 76% feeling supported to take control of their work wellbeing.</w:t>
            </w:r>
          </w:p>
        </w:tc>
        <w:tc>
          <w:tcPr>
            <w:tcW w:w="2126" w:type="dxa"/>
            <w:shd w:val="clear" w:color="auto" w:fill="auto"/>
          </w:tcPr>
          <w:p w14:paraId="4E2DDB78" w14:textId="77777777" w:rsidR="00A275B4" w:rsidRPr="0073147A" w:rsidRDefault="00A275B4" w:rsidP="00A275B4">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A275B4" w:rsidRPr="0073147A" w14:paraId="340C8084" w14:textId="77777777" w:rsidTr="00A275B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00B050"/>
          </w:tcPr>
          <w:p w14:paraId="2DA6E514" w14:textId="77777777" w:rsidR="00A275B4" w:rsidRPr="004A3395" w:rsidRDefault="00A275B4" w:rsidP="00A275B4">
            <w:r w:rsidRPr="0073147A">
              <w:rPr>
                <w:lang w:eastAsia="en-GB"/>
              </w:rPr>
              <w:t>Capacity</w:t>
            </w:r>
          </w:p>
        </w:tc>
        <w:tc>
          <w:tcPr>
            <w:tcW w:w="2126" w:type="dxa"/>
            <w:shd w:val="clear" w:color="auto" w:fill="00B050"/>
          </w:tcPr>
          <w:p w14:paraId="76AF0981" w14:textId="77777777" w:rsidR="00A275B4" w:rsidRPr="0073147A" w:rsidRDefault="00A275B4" w:rsidP="00A275B4">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p>
        </w:tc>
      </w:tr>
      <w:tr w:rsidR="00A275B4" w:rsidRPr="0073147A" w14:paraId="4594AD28" w14:textId="77777777" w:rsidTr="00A275B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5EAB1C19" w14:textId="77777777" w:rsidR="00A275B4" w:rsidRPr="0073147A" w:rsidRDefault="00A275B4" w:rsidP="00A275B4">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 xml:space="preserve">Sickness – Target: under 2 days per person per quarter. </w:t>
            </w:r>
          </w:p>
          <w:p w14:paraId="6561C43F" w14:textId="77777777" w:rsidR="00A275B4" w:rsidRPr="00F86A9A" w:rsidRDefault="00A275B4" w:rsidP="00A275B4">
            <w:pPr>
              <w:keepNext/>
              <w:keepLines/>
              <w:outlineLvl w:val="1"/>
              <w:rPr>
                <w:rFonts w:ascii="Calibri" w:eastAsia="Times New Roman" w:hAnsi="Calibri" w:cs="Calibri"/>
                <w:b w:val="0"/>
                <w:sz w:val="23"/>
                <w:szCs w:val="23"/>
              </w:rPr>
            </w:pPr>
            <w:r w:rsidRPr="00F86A9A">
              <w:rPr>
                <w:rFonts w:ascii="Calibri" w:eastAsia="Times New Roman" w:hAnsi="Calibri" w:cs="Calibri"/>
                <w:b w:val="0"/>
                <w:sz w:val="23"/>
                <w:szCs w:val="23"/>
              </w:rPr>
              <w:t xml:space="preserve">Q2: 1.26 days (early indications show there has been a rise in autumn/winter numbers.  This trend returns to </w:t>
            </w:r>
            <w:r>
              <w:rPr>
                <w:rFonts w:ascii="Calibri" w:eastAsia="Times New Roman" w:hAnsi="Calibri" w:cs="Calibri"/>
                <w:b w:val="0"/>
                <w:sz w:val="23"/>
                <w:szCs w:val="23"/>
              </w:rPr>
              <w:t>the pattern we saw pre-pandemic)</w:t>
            </w:r>
          </w:p>
        </w:tc>
        <w:tc>
          <w:tcPr>
            <w:tcW w:w="2126" w:type="dxa"/>
            <w:shd w:val="clear" w:color="auto" w:fill="FFFFFF" w:themeFill="background1"/>
          </w:tcPr>
          <w:p w14:paraId="72B28491" w14:textId="77777777" w:rsidR="00A275B4" w:rsidRPr="0073147A" w:rsidRDefault="00A275B4" w:rsidP="00A275B4">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A275B4" w:rsidRPr="0073147A" w14:paraId="3E4C397B" w14:textId="77777777" w:rsidTr="00A275B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73C3A262" w14:textId="77777777" w:rsidR="00A275B4" w:rsidRPr="00F86A9A" w:rsidRDefault="00A275B4" w:rsidP="00A275B4">
            <w:pPr>
              <w:keepNext/>
              <w:keepLines/>
              <w:outlineLvl w:val="1"/>
              <w:rPr>
                <w:rFonts w:ascii="Calibri" w:eastAsia="Times New Roman" w:hAnsi="Calibri" w:cs="Calibri"/>
                <w:b w:val="0"/>
                <w:sz w:val="23"/>
                <w:szCs w:val="23"/>
              </w:rPr>
            </w:pPr>
            <w:r w:rsidRPr="00F86A9A">
              <w:rPr>
                <w:rFonts w:ascii="Calibri" w:eastAsia="Times New Roman" w:hAnsi="Calibri" w:cs="Calibri"/>
                <w:b w:val="0"/>
                <w:sz w:val="23"/>
                <w:szCs w:val="23"/>
              </w:rPr>
              <w:t>Q2: 57.54% of holiday leave taken, this is with</w:t>
            </w:r>
            <w:r>
              <w:rPr>
                <w:rFonts w:ascii="Calibri" w:eastAsia="Times New Roman" w:hAnsi="Calibri" w:cs="Calibri"/>
                <w:b w:val="0"/>
                <w:sz w:val="23"/>
                <w:szCs w:val="23"/>
              </w:rPr>
              <w:t>in</w:t>
            </w:r>
            <w:r w:rsidRPr="00F86A9A">
              <w:rPr>
                <w:rFonts w:ascii="Calibri" w:eastAsia="Times New Roman" w:hAnsi="Calibri" w:cs="Calibri"/>
                <w:b w:val="0"/>
                <w:sz w:val="23"/>
                <w:szCs w:val="23"/>
              </w:rPr>
              <w:t xml:space="preserve"> target half way through the holiday leave year.  P</w:t>
            </w:r>
            <w:r>
              <w:rPr>
                <w:rFonts w:ascii="Calibri" w:eastAsia="Times New Roman" w:hAnsi="Calibri" w:cs="Calibri"/>
                <w:b w:val="0"/>
                <w:sz w:val="23"/>
                <w:szCs w:val="23"/>
              </w:rPr>
              <w:t>&amp;</w:t>
            </w:r>
            <w:r w:rsidRPr="00F86A9A">
              <w:rPr>
                <w:rFonts w:ascii="Calibri" w:eastAsia="Times New Roman" w:hAnsi="Calibri" w:cs="Calibri"/>
                <w:b w:val="0"/>
                <w:sz w:val="23"/>
                <w:szCs w:val="23"/>
              </w:rPr>
              <w:t xml:space="preserve">OD will follow up with individual teams on any variations.  </w:t>
            </w:r>
          </w:p>
        </w:tc>
        <w:tc>
          <w:tcPr>
            <w:tcW w:w="2126" w:type="dxa"/>
            <w:shd w:val="clear" w:color="auto" w:fill="FFFFFF" w:themeFill="background1"/>
          </w:tcPr>
          <w:p w14:paraId="3339750D" w14:textId="77777777" w:rsidR="00A275B4" w:rsidRPr="001C6243" w:rsidRDefault="00A275B4" w:rsidP="00A275B4">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A275B4" w:rsidRPr="0073147A" w14:paraId="640F4912" w14:textId="77777777" w:rsidTr="00A275B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00B050"/>
          </w:tcPr>
          <w:p w14:paraId="0D4601A6" w14:textId="77777777" w:rsidR="00A275B4" w:rsidRPr="0073147A" w:rsidRDefault="00A275B4" w:rsidP="00A275B4">
            <w:pPr>
              <w:keepNext/>
              <w:keepLines/>
              <w:outlineLvl w:val="1"/>
              <w:rPr>
                <w:rFonts w:ascii="Calibri" w:eastAsia="Times New Roman" w:hAnsi="Calibri" w:cs="Calibri"/>
                <w:sz w:val="24"/>
                <w:szCs w:val="24"/>
              </w:rPr>
            </w:pPr>
            <w:r w:rsidRPr="0073147A">
              <w:rPr>
                <w:rFonts w:ascii="Calibri" w:eastAsia="Times New Roman" w:hAnsi="Calibri" w:cs="Calibri"/>
                <w:sz w:val="24"/>
                <w:szCs w:val="24"/>
              </w:rPr>
              <w:t>Development</w:t>
            </w:r>
          </w:p>
        </w:tc>
        <w:tc>
          <w:tcPr>
            <w:tcW w:w="2126" w:type="dxa"/>
            <w:shd w:val="clear" w:color="auto" w:fill="00B050"/>
          </w:tcPr>
          <w:p w14:paraId="51B9E83D" w14:textId="77777777" w:rsidR="00A275B4" w:rsidRPr="0073147A" w:rsidRDefault="00A275B4" w:rsidP="00A275B4">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r>
      <w:tr w:rsidR="00A275B4" w:rsidRPr="0073147A" w14:paraId="45B8F2D4" w14:textId="77777777" w:rsidTr="00A275B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39731A5F" w14:textId="77777777" w:rsidR="00A275B4" w:rsidRPr="001129E1" w:rsidRDefault="00A275B4" w:rsidP="00A275B4">
            <w:pPr>
              <w:keepNext/>
              <w:keepLines/>
              <w:outlineLvl w:val="1"/>
              <w:rPr>
                <w:rFonts w:ascii="Calibri" w:eastAsia="Times New Roman" w:hAnsi="Calibri" w:cs="Calibri"/>
                <w:b w:val="0"/>
                <w:sz w:val="24"/>
                <w:szCs w:val="24"/>
              </w:rPr>
            </w:pPr>
            <w:r w:rsidRPr="001129E1">
              <w:rPr>
                <w:rFonts w:ascii="Calibri" w:eastAsia="Times New Roman" w:hAnsi="Calibri" w:cs="Calibri"/>
                <w:b w:val="0"/>
                <w:sz w:val="24"/>
                <w:szCs w:val="24"/>
              </w:rPr>
              <w:t>Formal Casework - target &lt;=50% of informal casework</w:t>
            </w:r>
          </w:p>
          <w:p w14:paraId="0FC77865" w14:textId="77777777" w:rsidR="00A275B4" w:rsidRPr="00F86A9A" w:rsidRDefault="00A275B4" w:rsidP="00A275B4">
            <w:pPr>
              <w:keepNext/>
              <w:keepLines/>
              <w:outlineLvl w:val="1"/>
              <w:rPr>
                <w:rFonts w:ascii="Calibri" w:eastAsia="Times New Roman" w:hAnsi="Calibri" w:cs="Calibri"/>
                <w:b w:val="0"/>
                <w:sz w:val="23"/>
                <w:szCs w:val="23"/>
              </w:rPr>
            </w:pPr>
            <w:r w:rsidRPr="00F86A9A">
              <w:rPr>
                <w:rFonts w:ascii="Calibri" w:eastAsia="Times New Roman" w:hAnsi="Calibri" w:cs="Calibri"/>
                <w:b w:val="0"/>
                <w:sz w:val="23"/>
                <w:szCs w:val="23"/>
              </w:rPr>
              <w:t xml:space="preserve">Q2: 35% (7 cases), well within normal range for this type of casework  </w:t>
            </w:r>
          </w:p>
        </w:tc>
        <w:tc>
          <w:tcPr>
            <w:tcW w:w="2126" w:type="dxa"/>
            <w:shd w:val="clear" w:color="auto" w:fill="FFFFFF" w:themeFill="background1"/>
          </w:tcPr>
          <w:p w14:paraId="726271E9" w14:textId="77777777" w:rsidR="00A275B4" w:rsidRPr="0073147A" w:rsidRDefault="00A275B4" w:rsidP="00A275B4">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A275B4" w:rsidRPr="0073147A" w14:paraId="7B969835" w14:textId="77777777" w:rsidTr="00A275B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63487A2B" w14:textId="77777777" w:rsidR="00A275B4" w:rsidRPr="0073147A" w:rsidRDefault="00A275B4" w:rsidP="00A275B4">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 xml:space="preserve">Informal Casework </w:t>
            </w:r>
          </w:p>
          <w:p w14:paraId="6E83A493" w14:textId="77777777" w:rsidR="00A275B4" w:rsidRPr="00F86A9A" w:rsidRDefault="00A275B4" w:rsidP="00A275B4">
            <w:pPr>
              <w:keepNext/>
              <w:keepLines/>
              <w:outlineLvl w:val="1"/>
              <w:rPr>
                <w:rFonts w:ascii="Calibri" w:eastAsia="Times New Roman" w:hAnsi="Calibri" w:cs="Calibri"/>
                <w:b w:val="0"/>
                <w:sz w:val="23"/>
                <w:szCs w:val="23"/>
              </w:rPr>
            </w:pPr>
            <w:r w:rsidRPr="00F86A9A">
              <w:rPr>
                <w:rFonts w:ascii="Calibri" w:eastAsia="Times New Roman" w:hAnsi="Calibri" w:cs="Calibri"/>
                <w:b w:val="0"/>
                <w:sz w:val="23"/>
                <w:szCs w:val="23"/>
              </w:rPr>
              <w:t>Q2: 20 cases, well with normal range for this type of casework</w:t>
            </w:r>
          </w:p>
        </w:tc>
        <w:tc>
          <w:tcPr>
            <w:tcW w:w="2126" w:type="dxa"/>
            <w:shd w:val="clear" w:color="auto" w:fill="FFFFFF" w:themeFill="background1"/>
          </w:tcPr>
          <w:p w14:paraId="4B4D9D41" w14:textId="77777777" w:rsidR="00A275B4" w:rsidRPr="0073147A" w:rsidRDefault="00A275B4" w:rsidP="00A275B4">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A275B4" w:rsidRPr="0073147A" w14:paraId="324A8790" w14:textId="77777777" w:rsidTr="00A275B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00B050"/>
          </w:tcPr>
          <w:p w14:paraId="5B5A2209" w14:textId="77777777" w:rsidR="00A275B4" w:rsidRPr="0073147A" w:rsidRDefault="00A275B4" w:rsidP="00A275B4">
            <w:pPr>
              <w:keepNext/>
              <w:keepLines/>
              <w:outlineLvl w:val="1"/>
              <w:rPr>
                <w:rFonts w:ascii="Calibri" w:eastAsia="Times New Roman" w:hAnsi="Calibri" w:cs="Calibri"/>
                <w:sz w:val="24"/>
                <w:szCs w:val="24"/>
              </w:rPr>
            </w:pPr>
            <w:r w:rsidRPr="0073147A">
              <w:rPr>
                <w:rFonts w:ascii="Calibri" w:eastAsia="Times New Roman" w:hAnsi="Calibri" w:cs="Calibri"/>
                <w:sz w:val="24"/>
                <w:szCs w:val="24"/>
              </w:rPr>
              <w:t>Workforce Profile</w:t>
            </w:r>
          </w:p>
        </w:tc>
        <w:tc>
          <w:tcPr>
            <w:tcW w:w="2126" w:type="dxa"/>
            <w:shd w:val="clear" w:color="auto" w:fill="00B050"/>
          </w:tcPr>
          <w:p w14:paraId="2BD8ABFB" w14:textId="77777777" w:rsidR="00A275B4" w:rsidRPr="0073147A" w:rsidRDefault="00A275B4" w:rsidP="00A275B4">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p>
        </w:tc>
      </w:tr>
      <w:tr w:rsidR="00A275B4" w:rsidRPr="0073147A" w14:paraId="0612D562" w14:textId="77777777" w:rsidTr="00A275B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703F6ECF" w14:textId="77777777" w:rsidR="00A275B4" w:rsidRPr="0073147A" w:rsidRDefault="00A275B4" w:rsidP="00A275B4">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 xml:space="preserve">Turnover – target: increase </w:t>
            </w:r>
          </w:p>
          <w:p w14:paraId="4C8AF0B0" w14:textId="77777777" w:rsidR="00A275B4" w:rsidRPr="0073147A" w:rsidRDefault="00A275B4" w:rsidP="00A275B4">
            <w:pPr>
              <w:keepNext/>
              <w:keepLines/>
              <w:outlineLvl w:val="1"/>
              <w:rPr>
                <w:rFonts w:ascii="Calibri" w:eastAsia="Times New Roman" w:hAnsi="Calibri" w:cs="Calibri"/>
                <w:b w:val="0"/>
                <w:sz w:val="24"/>
                <w:szCs w:val="24"/>
              </w:rPr>
            </w:pPr>
            <w:r w:rsidRPr="00F86A9A">
              <w:rPr>
                <w:rFonts w:ascii="Calibri" w:eastAsia="Times New Roman" w:hAnsi="Calibri" w:cs="Calibri"/>
                <w:b w:val="0"/>
                <w:sz w:val="23"/>
                <w:szCs w:val="23"/>
              </w:rPr>
              <w:t xml:space="preserve">Q2: average turnover is 10.57% (over last 12 months), which is a slight decrease since Q1.  This is due to the increase in average headcount, although the trend is still progressing </w:t>
            </w:r>
            <w:r>
              <w:rPr>
                <w:rFonts w:ascii="Calibri" w:eastAsia="Times New Roman" w:hAnsi="Calibri" w:cs="Calibri"/>
                <w:b w:val="0"/>
                <w:sz w:val="23"/>
                <w:szCs w:val="23"/>
              </w:rPr>
              <w:t>in line with</w:t>
            </w:r>
            <w:r w:rsidRPr="00F86A9A">
              <w:rPr>
                <w:rFonts w:ascii="Calibri" w:eastAsia="Times New Roman" w:hAnsi="Calibri" w:cs="Calibri"/>
                <w:b w:val="0"/>
                <w:sz w:val="23"/>
                <w:szCs w:val="23"/>
              </w:rPr>
              <w:t xml:space="preserve"> target.  </w:t>
            </w:r>
            <w:r w:rsidRPr="00F86A9A">
              <w:rPr>
                <w:rFonts w:ascii="Calibri" w:eastAsia="Times New Roman" w:hAnsi="Calibri" w:cs="Calibri"/>
                <w:b w:val="0"/>
                <w:sz w:val="23"/>
                <w:szCs w:val="23"/>
              </w:rPr>
              <w:br/>
              <w:t xml:space="preserve">We have relaunched </w:t>
            </w:r>
            <w:r>
              <w:rPr>
                <w:rFonts w:ascii="Calibri" w:eastAsia="Times New Roman" w:hAnsi="Calibri" w:cs="Calibri"/>
                <w:b w:val="0"/>
                <w:sz w:val="23"/>
                <w:szCs w:val="23"/>
              </w:rPr>
              <w:t>E</w:t>
            </w:r>
            <w:r w:rsidRPr="00F86A9A">
              <w:rPr>
                <w:rFonts w:ascii="Calibri" w:eastAsia="Times New Roman" w:hAnsi="Calibri" w:cs="Calibri"/>
                <w:b w:val="0"/>
                <w:sz w:val="23"/>
                <w:szCs w:val="23"/>
              </w:rPr>
              <w:t xml:space="preserve">xit </w:t>
            </w:r>
            <w:r>
              <w:rPr>
                <w:rFonts w:ascii="Calibri" w:eastAsia="Times New Roman" w:hAnsi="Calibri" w:cs="Calibri"/>
                <w:b w:val="0"/>
                <w:sz w:val="23"/>
                <w:szCs w:val="23"/>
              </w:rPr>
              <w:t>Q</w:t>
            </w:r>
            <w:r w:rsidRPr="00F86A9A">
              <w:rPr>
                <w:rFonts w:ascii="Calibri" w:eastAsia="Times New Roman" w:hAnsi="Calibri" w:cs="Calibri"/>
                <w:b w:val="0"/>
                <w:sz w:val="23"/>
                <w:szCs w:val="23"/>
              </w:rPr>
              <w:t>uestionnaires as part of our leaver process.  Of those who have already responded 66.7% put alternative employment as the leaving reason</w:t>
            </w:r>
            <w:r>
              <w:rPr>
                <w:rFonts w:ascii="Calibri" w:eastAsia="Times New Roman" w:hAnsi="Calibri" w:cs="Calibri"/>
                <w:b w:val="0"/>
                <w:sz w:val="23"/>
                <w:szCs w:val="23"/>
              </w:rPr>
              <w:t>.</w:t>
            </w:r>
            <w:r w:rsidRPr="00F86A9A">
              <w:rPr>
                <w:rFonts w:ascii="Calibri" w:eastAsia="Times New Roman" w:hAnsi="Calibri" w:cs="Calibri"/>
                <w:b w:val="0"/>
                <w:sz w:val="23"/>
                <w:szCs w:val="23"/>
              </w:rPr>
              <w:t xml:space="preserve"> 83.4</w:t>
            </w:r>
            <w:r>
              <w:rPr>
                <w:rFonts w:ascii="Calibri" w:eastAsia="Times New Roman" w:hAnsi="Calibri" w:cs="Calibri"/>
                <w:b w:val="0"/>
                <w:sz w:val="23"/>
                <w:szCs w:val="23"/>
              </w:rPr>
              <w:t>% stated</w:t>
            </w:r>
            <w:r w:rsidRPr="00F86A9A">
              <w:rPr>
                <w:rFonts w:ascii="Calibri" w:eastAsia="Times New Roman" w:hAnsi="Calibri" w:cs="Calibri"/>
                <w:b w:val="0"/>
                <w:sz w:val="23"/>
                <w:szCs w:val="23"/>
              </w:rPr>
              <w:t xml:space="preserve"> that they felt they had the resource and support to accomplish their work.  </w:t>
            </w:r>
            <w:r>
              <w:rPr>
                <w:rFonts w:ascii="Calibri" w:eastAsia="Times New Roman" w:hAnsi="Calibri" w:cs="Calibri"/>
                <w:b w:val="0"/>
                <w:sz w:val="23"/>
                <w:szCs w:val="23"/>
              </w:rPr>
              <w:t xml:space="preserve"> </w:t>
            </w:r>
            <w:r w:rsidRPr="00F86A9A">
              <w:rPr>
                <w:rFonts w:ascii="Calibri" w:eastAsia="Times New Roman" w:hAnsi="Calibri" w:cs="Calibri"/>
                <w:b w:val="0"/>
                <w:sz w:val="23"/>
                <w:szCs w:val="23"/>
              </w:rPr>
              <w:t>In Q2 a full benchmarking review was carried out</w:t>
            </w:r>
            <w:r>
              <w:rPr>
                <w:rFonts w:ascii="Calibri" w:eastAsia="Times New Roman" w:hAnsi="Calibri" w:cs="Calibri"/>
                <w:b w:val="0"/>
                <w:sz w:val="23"/>
                <w:szCs w:val="23"/>
              </w:rPr>
              <w:t>. T</w:t>
            </w:r>
            <w:r w:rsidRPr="00F86A9A">
              <w:rPr>
                <w:rFonts w:ascii="Calibri" w:eastAsia="Times New Roman" w:hAnsi="Calibri" w:cs="Calibri"/>
                <w:b w:val="0"/>
                <w:sz w:val="23"/>
                <w:szCs w:val="23"/>
              </w:rPr>
              <w:t>his showed that NatureScot salaries are broadly in line with other public sector organisations.</w:t>
            </w:r>
          </w:p>
        </w:tc>
        <w:tc>
          <w:tcPr>
            <w:tcW w:w="2126" w:type="dxa"/>
            <w:shd w:val="clear" w:color="auto" w:fill="FFFFFF" w:themeFill="background1"/>
          </w:tcPr>
          <w:p w14:paraId="09406296" w14:textId="77777777" w:rsidR="00A275B4" w:rsidRPr="0073147A" w:rsidRDefault="00A275B4" w:rsidP="00A275B4">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A275B4" w:rsidRPr="0073147A" w14:paraId="0194EF39" w14:textId="77777777" w:rsidTr="00A275B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1B90CF9E" w14:textId="77777777" w:rsidR="00A275B4" w:rsidRPr="0073147A" w:rsidRDefault="00A275B4" w:rsidP="00A275B4">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 xml:space="preserve">Internal Movement – target: increase </w:t>
            </w:r>
          </w:p>
          <w:p w14:paraId="1D79B106" w14:textId="77777777" w:rsidR="00A275B4" w:rsidRPr="00F86A9A" w:rsidRDefault="00A275B4" w:rsidP="00A275B4">
            <w:pPr>
              <w:keepNext/>
              <w:keepLines/>
              <w:outlineLvl w:val="1"/>
              <w:rPr>
                <w:rFonts w:ascii="Calibri" w:eastAsia="Times New Roman" w:hAnsi="Calibri" w:cs="Calibri"/>
              </w:rPr>
            </w:pPr>
            <w:r w:rsidRPr="00F86A9A">
              <w:rPr>
                <w:rFonts w:ascii="Calibri" w:eastAsia="Times New Roman" w:hAnsi="Calibri" w:cs="Calibri"/>
                <w:b w:val="0"/>
              </w:rPr>
              <w:t xml:space="preserve">Q2: </w:t>
            </w:r>
            <w:r w:rsidRPr="00F86A9A">
              <w:rPr>
                <w:rFonts w:ascii="Calibri" w:hAnsi="Calibri" w:cs="Calibri"/>
              </w:rPr>
              <w:t xml:space="preserve"> </w:t>
            </w:r>
            <w:r w:rsidRPr="00F86A9A">
              <w:rPr>
                <w:rFonts w:ascii="Calibri" w:hAnsi="Calibri" w:cs="Calibri"/>
                <w:b w:val="0"/>
              </w:rPr>
              <w:t xml:space="preserve">Internal moves have slowed down in this quarter with a total of 19 internal moves compared to 35 in the previous quarter. There were a number of failed internal recruitments which meant posts </w:t>
            </w:r>
            <w:r>
              <w:rPr>
                <w:rFonts w:ascii="Calibri" w:hAnsi="Calibri" w:cs="Calibri"/>
                <w:b w:val="0"/>
              </w:rPr>
              <w:t>moving to external recruitment.</w:t>
            </w:r>
          </w:p>
        </w:tc>
        <w:tc>
          <w:tcPr>
            <w:tcW w:w="2126" w:type="dxa"/>
            <w:shd w:val="clear" w:color="auto" w:fill="FFFFFF" w:themeFill="background1"/>
          </w:tcPr>
          <w:p w14:paraId="6088F7BD" w14:textId="77777777" w:rsidR="00A275B4" w:rsidRPr="0073147A" w:rsidRDefault="00A275B4" w:rsidP="00A275B4">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A275B4" w:rsidRPr="0073147A" w14:paraId="3078416B" w14:textId="77777777" w:rsidTr="00A275B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49A9FDDA" w14:textId="77777777" w:rsidR="00A275B4" w:rsidRPr="0073147A" w:rsidRDefault="00A275B4" w:rsidP="00A275B4">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 xml:space="preserve">Retirement Profile </w:t>
            </w:r>
          </w:p>
          <w:p w14:paraId="197C6B1E" w14:textId="77777777" w:rsidR="00A275B4" w:rsidRPr="00F86A9A" w:rsidRDefault="00A275B4" w:rsidP="00A275B4">
            <w:pPr>
              <w:keepNext/>
              <w:keepLines/>
              <w:outlineLvl w:val="1"/>
              <w:rPr>
                <w:rFonts w:ascii="Calibri" w:eastAsia="Times New Roman" w:hAnsi="Calibri" w:cs="Calibri"/>
                <w:b w:val="0"/>
                <w:sz w:val="23"/>
                <w:szCs w:val="23"/>
              </w:rPr>
            </w:pPr>
            <w:r w:rsidRPr="00F86A9A">
              <w:rPr>
                <w:rFonts w:ascii="Calibri" w:eastAsia="Times New Roman" w:hAnsi="Calibri" w:cs="Calibri"/>
                <w:b w:val="0"/>
                <w:sz w:val="23"/>
                <w:szCs w:val="23"/>
              </w:rPr>
              <w:t>Q2: 148 employees are aged 57+ currently, predicted to rise to 153 in 2024/25</w:t>
            </w:r>
            <w:r>
              <w:rPr>
                <w:rFonts w:ascii="Calibri" w:eastAsia="Times New Roman" w:hAnsi="Calibri" w:cs="Calibri"/>
                <w:b w:val="0"/>
                <w:sz w:val="23"/>
                <w:szCs w:val="23"/>
              </w:rPr>
              <w:t xml:space="preserve"> (19.9% of current headcount)</w:t>
            </w:r>
            <w:r w:rsidRPr="00F86A9A">
              <w:rPr>
                <w:rFonts w:ascii="Calibri" w:eastAsia="Times New Roman" w:hAnsi="Calibri" w:cs="Calibri"/>
                <w:b w:val="0"/>
                <w:sz w:val="23"/>
                <w:szCs w:val="23"/>
              </w:rPr>
              <w:t xml:space="preserve">.  Retirements seem to be steady and not </w:t>
            </w:r>
            <w:r>
              <w:rPr>
                <w:rFonts w:ascii="Calibri" w:eastAsia="Times New Roman" w:hAnsi="Calibri" w:cs="Calibri"/>
                <w:b w:val="0"/>
                <w:sz w:val="23"/>
                <w:szCs w:val="23"/>
              </w:rPr>
              <w:t>increasing significantly as yet, however with the development of a positive exit strategy ensuring employees are more informed of their retirement options we may see an increase in numbers of retirements.</w:t>
            </w:r>
          </w:p>
        </w:tc>
        <w:tc>
          <w:tcPr>
            <w:tcW w:w="2126" w:type="dxa"/>
            <w:shd w:val="clear" w:color="auto" w:fill="FFFFFF" w:themeFill="background1"/>
          </w:tcPr>
          <w:p w14:paraId="55261173" w14:textId="77777777" w:rsidR="00A275B4" w:rsidRPr="0073147A" w:rsidRDefault="00A275B4" w:rsidP="00A275B4">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Amber</w:t>
            </w:r>
          </w:p>
        </w:tc>
      </w:tr>
    </w:tbl>
    <w:p w14:paraId="05E32AD6" w14:textId="10727B25" w:rsidR="001E100D" w:rsidRPr="00486490" w:rsidRDefault="00A275B4" w:rsidP="00670ABC">
      <w:pPr>
        <w:pStyle w:val="Heading2"/>
        <w:rPr>
          <w:rFonts w:ascii="Calibri" w:hAnsi="Calibri" w:cs="Calibri"/>
          <w:color w:val="5E8CC0"/>
        </w:rPr>
      </w:pPr>
      <w:r w:rsidRPr="00486490">
        <w:rPr>
          <w:rFonts w:ascii="Calibri" w:hAnsi="Calibri" w:cs="Calibri"/>
          <w:color w:val="5E8CC0"/>
        </w:rPr>
        <w:lastRenderedPageBreak/>
        <w:t xml:space="preserve"> </w:t>
      </w:r>
      <w:r w:rsidR="001E100D" w:rsidRPr="00486490">
        <w:rPr>
          <w:rFonts w:ascii="Calibri" w:hAnsi="Calibri" w:cs="Calibri"/>
          <w:color w:val="5E8CC0"/>
        </w:rPr>
        <w:t>PEOPLE</w:t>
      </w:r>
    </w:p>
    <w:p w14:paraId="79656C71" w14:textId="77777777" w:rsidR="008E70BD" w:rsidRDefault="001129E1" w:rsidP="00D52779">
      <w:pPr>
        <w:pStyle w:val="Heading2"/>
        <w:rPr>
          <w:rFonts w:ascii="Calibri" w:hAnsi="Calibri" w:cs="Calibri"/>
        </w:rPr>
      </w:pPr>
      <w:r>
        <w:rPr>
          <w:rFonts w:ascii="Calibri" w:hAnsi="Calibri" w:cs="Calibri"/>
        </w:rPr>
        <w:t>Retirement Profile</w:t>
      </w:r>
    </w:p>
    <w:p w14:paraId="42FE1A3F" w14:textId="7E0075FA" w:rsidR="001129E1" w:rsidRDefault="00517485" w:rsidP="001129E1">
      <w:r>
        <w:rPr>
          <w:noProof/>
          <w:lang w:eastAsia="en-GB"/>
        </w:rPr>
        <w:drawing>
          <wp:inline distT="0" distB="0" distL="0" distR="0" wp14:anchorId="433AF794" wp14:editId="0DEB9C1C">
            <wp:extent cx="5407660" cy="2743200"/>
            <wp:effectExtent l="0" t="0" r="2540" b="0"/>
            <wp:docPr id="18" name="Picture 18" title="Total population within ret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07660" cy="2743200"/>
                    </a:xfrm>
                    <a:prstGeom prst="rect">
                      <a:avLst/>
                    </a:prstGeom>
                    <a:noFill/>
                  </pic:spPr>
                </pic:pic>
              </a:graphicData>
            </a:graphic>
          </wp:inline>
        </w:drawing>
      </w:r>
    </w:p>
    <w:p w14:paraId="2941ABA5" w14:textId="77777777" w:rsidR="001129E1" w:rsidRDefault="001129E1" w:rsidP="001129E1"/>
    <w:p w14:paraId="7CD6BDD7" w14:textId="57F1DFC8" w:rsidR="00845123" w:rsidRDefault="00845123" w:rsidP="00845123">
      <w:pPr>
        <w:rPr>
          <w:rFonts w:ascii="Calibri" w:eastAsia="Times New Roman" w:hAnsi="Calibri" w:cs="Calibri"/>
          <w:sz w:val="24"/>
          <w:szCs w:val="24"/>
        </w:rPr>
      </w:pPr>
      <w:r>
        <w:rPr>
          <w:rFonts w:ascii="Calibri" w:eastAsia="Times New Roman" w:hAnsi="Calibri" w:cs="Calibri"/>
          <w:sz w:val="24"/>
          <w:szCs w:val="24"/>
        </w:rPr>
        <w:t>To address the corporate risk of the rising retirement profile</w:t>
      </w:r>
      <w:r w:rsidR="002157B9">
        <w:rPr>
          <w:rFonts w:ascii="Calibri" w:eastAsia="Times New Roman" w:hAnsi="Calibri" w:cs="Calibri"/>
          <w:sz w:val="24"/>
          <w:szCs w:val="24"/>
        </w:rPr>
        <w:t>,</w:t>
      </w:r>
      <w:r>
        <w:rPr>
          <w:rFonts w:ascii="Calibri" w:eastAsia="Times New Roman" w:hAnsi="Calibri" w:cs="Calibri"/>
          <w:sz w:val="24"/>
          <w:szCs w:val="24"/>
        </w:rPr>
        <w:t xml:space="preserve"> and the loss of knowledge and talent throughout the organisation</w:t>
      </w:r>
      <w:r w:rsidR="002157B9">
        <w:rPr>
          <w:rFonts w:ascii="Calibri" w:eastAsia="Times New Roman" w:hAnsi="Calibri" w:cs="Calibri"/>
          <w:sz w:val="24"/>
          <w:szCs w:val="24"/>
        </w:rPr>
        <w:t>,</w:t>
      </w:r>
      <w:r>
        <w:rPr>
          <w:rFonts w:ascii="Calibri" w:eastAsia="Times New Roman" w:hAnsi="Calibri" w:cs="Calibri"/>
          <w:sz w:val="24"/>
          <w:szCs w:val="24"/>
        </w:rPr>
        <w:t xml:space="preserve"> we are working on developing a talent management framework within NatureScot</w:t>
      </w:r>
      <w:r w:rsidR="002157B9">
        <w:rPr>
          <w:rFonts w:ascii="Calibri" w:eastAsia="Times New Roman" w:hAnsi="Calibri" w:cs="Calibri"/>
          <w:sz w:val="24"/>
          <w:szCs w:val="24"/>
        </w:rPr>
        <w:t>. This will include</w:t>
      </w:r>
      <w:r>
        <w:rPr>
          <w:rFonts w:ascii="Calibri" w:eastAsia="Times New Roman" w:hAnsi="Calibri" w:cs="Calibri"/>
          <w:sz w:val="24"/>
          <w:szCs w:val="24"/>
        </w:rPr>
        <w:t xml:space="preserve"> talent acquisition, retention and succession planning, along with positive exit strategies, </w:t>
      </w:r>
      <w:r w:rsidR="002157B9">
        <w:rPr>
          <w:rFonts w:ascii="Calibri" w:eastAsia="Times New Roman" w:hAnsi="Calibri" w:cs="Calibri"/>
          <w:sz w:val="24"/>
          <w:szCs w:val="24"/>
        </w:rPr>
        <w:t xml:space="preserve">and associated </w:t>
      </w:r>
      <w:r>
        <w:rPr>
          <w:rFonts w:ascii="Calibri" w:eastAsia="Times New Roman" w:hAnsi="Calibri" w:cs="Calibri"/>
          <w:sz w:val="24"/>
          <w:szCs w:val="24"/>
        </w:rPr>
        <w:t xml:space="preserve">work packages to enable NatureScot to meet current </w:t>
      </w:r>
      <w:r w:rsidR="002157B9">
        <w:rPr>
          <w:rFonts w:ascii="Calibri" w:eastAsia="Times New Roman" w:hAnsi="Calibri" w:cs="Calibri"/>
          <w:sz w:val="24"/>
          <w:szCs w:val="24"/>
        </w:rPr>
        <w:t>and</w:t>
      </w:r>
      <w:r>
        <w:rPr>
          <w:rFonts w:ascii="Calibri" w:eastAsia="Times New Roman" w:hAnsi="Calibri" w:cs="Calibri"/>
          <w:sz w:val="24"/>
          <w:szCs w:val="24"/>
        </w:rPr>
        <w:t xml:space="preserve"> future organisational objectives.  </w:t>
      </w:r>
    </w:p>
    <w:p w14:paraId="265A3266" w14:textId="77777777" w:rsidR="002157B9" w:rsidRDefault="002157B9" w:rsidP="00845123">
      <w:pPr>
        <w:rPr>
          <w:rFonts w:ascii="Calibri" w:eastAsia="Times New Roman" w:hAnsi="Calibri" w:cs="Calibri"/>
          <w:sz w:val="24"/>
          <w:szCs w:val="24"/>
        </w:rPr>
      </w:pPr>
    </w:p>
    <w:p w14:paraId="553DCD00" w14:textId="6B0E803A" w:rsidR="00845123" w:rsidRDefault="00845123" w:rsidP="00845123">
      <w:pPr>
        <w:rPr>
          <w:rFonts w:ascii="Calibri" w:eastAsia="Times New Roman" w:hAnsi="Calibri" w:cs="Calibri"/>
          <w:sz w:val="24"/>
          <w:szCs w:val="24"/>
        </w:rPr>
      </w:pPr>
      <w:r>
        <w:rPr>
          <w:rFonts w:ascii="Calibri" w:eastAsia="Times New Roman" w:hAnsi="Calibri" w:cs="Calibri"/>
          <w:sz w:val="24"/>
          <w:szCs w:val="24"/>
        </w:rPr>
        <w:t>Along with this work, we are also actively working on the following areas to address this risk:-</w:t>
      </w:r>
    </w:p>
    <w:p w14:paraId="61AAE06E" w14:textId="7F4797CB" w:rsidR="002157B9" w:rsidRPr="002157B9" w:rsidRDefault="00845123" w:rsidP="00CC7C36">
      <w:pPr>
        <w:pStyle w:val="ListParagraph"/>
        <w:numPr>
          <w:ilvl w:val="0"/>
          <w:numId w:val="24"/>
        </w:numPr>
        <w:rPr>
          <w:rFonts w:ascii="Calibri" w:eastAsia="Times New Roman" w:hAnsi="Calibri" w:cs="Calibri"/>
          <w:sz w:val="24"/>
          <w:szCs w:val="24"/>
        </w:rPr>
      </w:pPr>
      <w:r w:rsidRPr="002157B9">
        <w:rPr>
          <w:rFonts w:ascii="Calibri" w:eastAsia="Times New Roman" w:hAnsi="Calibri" w:cs="Calibri"/>
          <w:sz w:val="24"/>
          <w:szCs w:val="24"/>
        </w:rPr>
        <w:t xml:space="preserve">The use of career MOT’s – </w:t>
      </w:r>
      <w:r w:rsidR="002157B9">
        <w:rPr>
          <w:rFonts w:ascii="Calibri" w:eastAsia="Times New Roman" w:hAnsi="Calibri" w:cs="Calibri"/>
          <w:sz w:val="24"/>
          <w:szCs w:val="24"/>
        </w:rPr>
        <w:t>w</w:t>
      </w:r>
      <w:r w:rsidRPr="002157B9">
        <w:rPr>
          <w:rFonts w:ascii="Calibri" w:eastAsia="Times New Roman" w:hAnsi="Calibri" w:cs="Calibri"/>
          <w:sz w:val="24"/>
          <w:szCs w:val="24"/>
        </w:rPr>
        <w:t>e are exploring</w:t>
      </w:r>
      <w:r w:rsidR="002157B9">
        <w:rPr>
          <w:rFonts w:ascii="Calibri" w:eastAsia="Times New Roman" w:hAnsi="Calibri" w:cs="Calibri"/>
          <w:sz w:val="24"/>
          <w:szCs w:val="24"/>
        </w:rPr>
        <w:t>,</w:t>
      </w:r>
      <w:r w:rsidRPr="002157B9">
        <w:rPr>
          <w:rFonts w:ascii="Calibri" w:eastAsia="Times New Roman" w:hAnsi="Calibri" w:cs="Calibri"/>
          <w:sz w:val="24"/>
          <w:szCs w:val="24"/>
        </w:rPr>
        <w:t xml:space="preserve"> with Skills Development Scotland</w:t>
      </w:r>
      <w:r w:rsidR="002157B9">
        <w:rPr>
          <w:rFonts w:ascii="Calibri" w:eastAsia="Times New Roman" w:hAnsi="Calibri" w:cs="Calibri"/>
          <w:sz w:val="24"/>
          <w:szCs w:val="24"/>
        </w:rPr>
        <w:t>,</w:t>
      </w:r>
      <w:r w:rsidRPr="002157B9">
        <w:rPr>
          <w:rFonts w:ascii="Calibri" w:eastAsia="Times New Roman" w:hAnsi="Calibri" w:cs="Calibri"/>
          <w:sz w:val="24"/>
          <w:szCs w:val="24"/>
        </w:rPr>
        <w:t xml:space="preserve"> </w:t>
      </w:r>
      <w:r w:rsidR="002157B9">
        <w:rPr>
          <w:rFonts w:ascii="Calibri" w:eastAsia="Times New Roman" w:hAnsi="Calibri" w:cs="Calibri"/>
          <w:sz w:val="24"/>
          <w:szCs w:val="24"/>
        </w:rPr>
        <w:t>how t</w:t>
      </w:r>
      <w:r w:rsidRPr="002157B9">
        <w:rPr>
          <w:rFonts w:ascii="Calibri" w:eastAsia="Times New Roman" w:hAnsi="Calibri" w:cs="Calibri"/>
          <w:sz w:val="24"/>
          <w:szCs w:val="24"/>
        </w:rPr>
        <w:t>o make support and guidance available to employees on their career progression</w:t>
      </w:r>
      <w:r w:rsidR="002157B9">
        <w:rPr>
          <w:rFonts w:ascii="Calibri" w:eastAsia="Times New Roman" w:hAnsi="Calibri" w:cs="Calibri"/>
          <w:sz w:val="24"/>
          <w:szCs w:val="24"/>
        </w:rPr>
        <w:t>,</w:t>
      </w:r>
      <w:r w:rsidRPr="002157B9">
        <w:rPr>
          <w:rFonts w:ascii="Calibri" w:eastAsia="Times New Roman" w:hAnsi="Calibri" w:cs="Calibri"/>
          <w:sz w:val="24"/>
          <w:szCs w:val="24"/>
        </w:rPr>
        <w:t xml:space="preserve"> and </w:t>
      </w:r>
      <w:r w:rsidR="002157B9">
        <w:rPr>
          <w:rFonts w:ascii="Calibri" w:eastAsia="Times New Roman" w:hAnsi="Calibri" w:cs="Calibri"/>
          <w:sz w:val="24"/>
          <w:szCs w:val="24"/>
        </w:rPr>
        <w:t xml:space="preserve">how to </w:t>
      </w:r>
      <w:r w:rsidRPr="002157B9">
        <w:rPr>
          <w:rFonts w:ascii="Calibri" w:eastAsia="Times New Roman" w:hAnsi="Calibri" w:cs="Calibri"/>
          <w:sz w:val="24"/>
          <w:szCs w:val="24"/>
        </w:rPr>
        <w:t xml:space="preserve">take stock of where they are in their career. The MOT’s have been </w:t>
      </w:r>
      <w:r w:rsidR="002157B9" w:rsidRPr="002157B9">
        <w:rPr>
          <w:rFonts w:ascii="Calibri" w:eastAsia="Times New Roman" w:hAnsi="Calibri" w:cs="Calibri"/>
          <w:sz w:val="24"/>
          <w:szCs w:val="24"/>
        </w:rPr>
        <w:t>offered to a number of employee</w:t>
      </w:r>
      <w:r w:rsidRPr="002157B9">
        <w:rPr>
          <w:rFonts w:ascii="Calibri" w:eastAsia="Times New Roman" w:hAnsi="Calibri" w:cs="Calibri"/>
          <w:sz w:val="24"/>
          <w:szCs w:val="24"/>
        </w:rPr>
        <w:t>s as a pilot</w:t>
      </w:r>
      <w:r w:rsidR="002157B9">
        <w:rPr>
          <w:rFonts w:ascii="Calibri" w:eastAsia="Times New Roman" w:hAnsi="Calibri" w:cs="Calibri"/>
          <w:sz w:val="24"/>
          <w:szCs w:val="24"/>
        </w:rPr>
        <w:t>.</w:t>
      </w:r>
    </w:p>
    <w:p w14:paraId="42BC7332" w14:textId="066B6914" w:rsidR="00845123" w:rsidRDefault="00845123" w:rsidP="002157B9">
      <w:pPr>
        <w:rPr>
          <w:rFonts w:ascii="Calibri" w:eastAsia="Times New Roman" w:hAnsi="Calibri" w:cs="Calibri"/>
          <w:sz w:val="24"/>
          <w:szCs w:val="24"/>
        </w:rPr>
      </w:pPr>
      <w:r w:rsidRPr="003C3620">
        <w:rPr>
          <w:rFonts w:ascii="Calibri" w:eastAsia="Times New Roman" w:hAnsi="Calibri" w:cs="Calibri"/>
          <w:sz w:val="24"/>
          <w:szCs w:val="24"/>
        </w:rPr>
        <w:t xml:space="preserve"> </w:t>
      </w:r>
    </w:p>
    <w:p w14:paraId="4140597D" w14:textId="3A5D592B" w:rsidR="002157B9" w:rsidRPr="002157B9" w:rsidRDefault="00845123" w:rsidP="00845123">
      <w:pPr>
        <w:pStyle w:val="ListParagraph"/>
        <w:numPr>
          <w:ilvl w:val="0"/>
          <w:numId w:val="24"/>
        </w:numPr>
      </w:pPr>
      <w:r w:rsidRPr="003C3620">
        <w:rPr>
          <w:rFonts w:ascii="Calibri" w:eastAsia="Times New Roman" w:hAnsi="Calibri" w:cs="Calibri"/>
          <w:sz w:val="24"/>
          <w:szCs w:val="24"/>
        </w:rPr>
        <w:t xml:space="preserve">The </w:t>
      </w:r>
      <w:r>
        <w:rPr>
          <w:rFonts w:ascii="Calibri" w:eastAsia="Times New Roman" w:hAnsi="Calibri" w:cs="Calibri"/>
          <w:sz w:val="24"/>
          <w:szCs w:val="24"/>
        </w:rPr>
        <w:t>S</w:t>
      </w:r>
      <w:r w:rsidRPr="003C3620">
        <w:rPr>
          <w:rFonts w:ascii="Calibri" w:eastAsia="Times New Roman" w:hAnsi="Calibri" w:cs="Calibri"/>
          <w:sz w:val="24"/>
          <w:szCs w:val="24"/>
        </w:rPr>
        <w:t xml:space="preserve">kills </w:t>
      </w:r>
      <w:r>
        <w:rPr>
          <w:rFonts w:ascii="Calibri" w:eastAsia="Times New Roman" w:hAnsi="Calibri" w:cs="Calibri"/>
          <w:sz w:val="24"/>
          <w:szCs w:val="24"/>
        </w:rPr>
        <w:t xml:space="preserve">NatureScot Way </w:t>
      </w:r>
      <w:r w:rsidRPr="003C3620">
        <w:rPr>
          <w:rFonts w:ascii="Calibri" w:eastAsia="Times New Roman" w:hAnsi="Calibri" w:cs="Calibri"/>
          <w:sz w:val="24"/>
          <w:szCs w:val="24"/>
        </w:rPr>
        <w:t xml:space="preserve">working group </w:t>
      </w:r>
      <w:r>
        <w:rPr>
          <w:rFonts w:ascii="Calibri" w:eastAsia="Times New Roman" w:hAnsi="Calibri" w:cs="Calibri"/>
          <w:sz w:val="24"/>
          <w:szCs w:val="24"/>
        </w:rPr>
        <w:t>are looking at future skills and linking this into the wider skills delivery plan (which is focused on sector skills</w:t>
      </w:r>
      <w:r w:rsidR="0025390E">
        <w:rPr>
          <w:rFonts w:ascii="Calibri" w:eastAsia="Times New Roman" w:hAnsi="Calibri" w:cs="Calibri"/>
          <w:sz w:val="24"/>
          <w:szCs w:val="24"/>
        </w:rPr>
        <w:t>) to equip us for the future.</w:t>
      </w:r>
      <w:r w:rsidRPr="003C3620">
        <w:rPr>
          <w:rFonts w:ascii="Calibri" w:eastAsia="Times New Roman" w:hAnsi="Calibri" w:cs="Calibri"/>
          <w:sz w:val="24"/>
          <w:szCs w:val="24"/>
        </w:rPr>
        <w:t xml:space="preserve"> </w:t>
      </w:r>
      <w:r>
        <w:rPr>
          <w:rFonts w:ascii="Calibri" w:eastAsia="Times New Roman" w:hAnsi="Calibri" w:cs="Calibri"/>
          <w:sz w:val="24"/>
          <w:szCs w:val="24"/>
        </w:rPr>
        <w:t xml:space="preserve">From an internal perspective, we are looking to work through engagement with </w:t>
      </w:r>
      <w:r w:rsidR="002157B9">
        <w:rPr>
          <w:rFonts w:ascii="Calibri" w:eastAsia="Times New Roman" w:hAnsi="Calibri" w:cs="Calibri"/>
          <w:sz w:val="24"/>
          <w:szCs w:val="24"/>
        </w:rPr>
        <w:t xml:space="preserve">the </w:t>
      </w:r>
      <w:r>
        <w:rPr>
          <w:rFonts w:ascii="Calibri" w:eastAsia="Times New Roman" w:hAnsi="Calibri" w:cs="Calibri"/>
          <w:sz w:val="24"/>
          <w:szCs w:val="24"/>
        </w:rPr>
        <w:t xml:space="preserve">education </w:t>
      </w:r>
      <w:r w:rsidR="002157B9">
        <w:rPr>
          <w:rFonts w:ascii="Calibri" w:eastAsia="Times New Roman" w:hAnsi="Calibri" w:cs="Calibri"/>
          <w:sz w:val="24"/>
          <w:szCs w:val="24"/>
        </w:rPr>
        <w:t xml:space="preserve">sector, </w:t>
      </w:r>
      <w:r>
        <w:rPr>
          <w:rFonts w:ascii="Calibri" w:eastAsia="Times New Roman" w:hAnsi="Calibri" w:cs="Calibri"/>
          <w:sz w:val="24"/>
          <w:szCs w:val="24"/>
        </w:rPr>
        <w:t xml:space="preserve">and young people, to influence numbers and </w:t>
      </w:r>
      <w:r w:rsidR="002157B9">
        <w:rPr>
          <w:rFonts w:ascii="Calibri" w:eastAsia="Times New Roman" w:hAnsi="Calibri" w:cs="Calibri"/>
          <w:sz w:val="24"/>
          <w:szCs w:val="24"/>
        </w:rPr>
        <w:t xml:space="preserve">the </w:t>
      </w:r>
      <w:r>
        <w:rPr>
          <w:rFonts w:ascii="Calibri" w:eastAsia="Times New Roman" w:hAnsi="Calibri" w:cs="Calibri"/>
          <w:sz w:val="24"/>
          <w:szCs w:val="24"/>
        </w:rPr>
        <w:t xml:space="preserve">curriculum on skills, to then attract </w:t>
      </w:r>
      <w:r w:rsidR="002157B9">
        <w:rPr>
          <w:rFonts w:ascii="Calibri" w:eastAsia="Times New Roman" w:hAnsi="Calibri" w:cs="Calibri"/>
          <w:sz w:val="24"/>
          <w:szCs w:val="24"/>
        </w:rPr>
        <w:t xml:space="preserve">talent </w:t>
      </w:r>
      <w:r>
        <w:rPr>
          <w:rFonts w:ascii="Calibri" w:eastAsia="Times New Roman" w:hAnsi="Calibri" w:cs="Calibri"/>
          <w:sz w:val="24"/>
          <w:szCs w:val="24"/>
        </w:rPr>
        <w:t>to NatureScot, retain those skills and also grow our own skills through knowledge transf</w:t>
      </w:r>
      <w:r w:rsidR="002157B9">
        <w:rPr>
          <w:rFonts w:ascii="Calibri" w:eastAsia="Times New Roman" w:hAnsi="Calibri" w:cs="Calibri"/>
          <w:sz w:val="24"/>
          <w:szCs w:val="24"/>
        </w:rPr>
        <w:t>er from those leaving NatureScot.</w:t>
      </w:r>
    </w:p>
    <w:p w14:paraId="529C0C32" w14:textId="6F3E39E8" w:rsidR="00845123" w:rsidRPr="003C3620" w:rsidRDefault="00845123" w:rsidP="002157B9">
      <w:pPr>
        <w:pStyle w:val="ListParagraph"/>
      </w:pPr>
      <w:r>
        <w:rPr>
          <w:rFonts w:ascii="Calibri" w:eastAsia="Times New Roman" w:hAnsi="Calibri" w:cs="Calibri"/>
          <w:sz w:val="24"/>
          <w:szCs w:val="24"/>
        </w:rPr>
        <w:t xml:space="preserve">  </w:t>
      </w:r>
    </w:p>
    <w:p w14:paraId="478CBB7F" w14:textId="5049039B" w:rsidR="00845123" w:rsidRPr="002157B9" w:rsidRDefault="002157B9" w:rsidP="00845123">
      <w:pPr>
        <w:pStyle w:val="ListParagraph"/>
        <w:numPr>
          <w:ilvl w:val="0"/>
          <w:numId w:val="24"/>
        </w:numPr>
      </w:pPr>
      <w:r>
        <w:rPr>
          <w:rFonts w:ascii="Calibri" w:eastAsia="Times New Roman" w:hAnsi="Calibri" w:cs="Calibri"/>
          <w:sz w:val="24"/>
          <w:szCs w:val="24"/>
        </w:rPr>
        <w:t>Programme for Youth E</w:t>
      </w:r>
      <w:r w:rsidR="00845123" w:rsidRPr="003C3620">
        <w:rPr>
          <w:rFonts w:ascii="Calibri" w:eastAsia="Times New Roman" w:hAnsi="Calibri" w:cs="Calibri"/>
          <w:sz w:val="24"/>
          <w:szCs w:val="24"/>
        </w:rPr>
        <w:t>mployment</w:t>
      </w:r>
      <w:r w:rsidR="00845123">
        <w:rPr>
          <w:rFonts w:ascii="Calibri" w:eastAsia="Times New Roman" w:hAnsi="Calibri" w:cs="Calibri"/>
          <w:sz w:val="24"/>
          <w:szCs w:val="24"/>
        </w:rPr>
        <w:t xml:space="preserve"> </w:t>
      </w:r>
      <w:r>
        <w:rPr>
          <w:rFonts w:ascii="Calibri" w:eastAsia="Times New Roman" w:hAnsi="Calibri" w:cs="Calibri"/>
          <w:sz w:val="24"/>
          <w:szCs w:val="24"/>
        </w:rPr>
        <w:t xml:space="preserve">- </w:t>
      </w:r>
      <w:r w:rsidR="00845123">
        <w:rPr>
          <w:rFonts w:ascii="Calibri" w:eastAsia="Times New Roman" w:hAnsi="Calibri" w:cs="Calibri"/>
          <w:sz w:val="24"/>
          <w:szCs w:val="24"/>
        </w:rPr>
        <w:t>although there has not been an agreed programme of 2022/23 the PYE project team are looking at positive action to encourage vacancy managers to explore the use of apprenticeships into core roles</w:t>
      </w:r>
      <w:r>
        <w:rPr>
          <w:rFonts w:ascii="Calibri" w:eastAsia="Times New Roman" w:hAnsi="Calibri" w:cs="Calibri"/>
          <w:sz w:val="24"/>
          <w:szCs w:val="24"/>
        </w:rPr>
        <w:t>. I</w:t>
      </w:r>
      <w:r w:rsidR="00845123">
        <w:rPr>
          <w:rFonts w:ascii="Calibri" w:eastAsia="Times New Roman" w:hAnsi="Calibri" w:cs="Calibri"/>
          <w:sz w:val="24"/>
          <w:szCs w:val="24"/>
        </w:rPr>
        <w:t xml:space="preserve">n Q2 our first technical apprentice was recruited in </w:t>
      </w:r>
      <w:r>
        <w:rPr>
          <w:rFonts w:ascii="Calibri" w:eastAsia="Times New Roman" w:hAnsi="Calibri" w:cs="Calibri"/>
          <w:sz w:val="24"/>
          <w:szCs w:val="24"/>
        </w:rPr>
        <w:t>to a team administrator role</w:t>
      </w:r>
      <w:r w:rsidR="00845123">
        <w:rPr>
          <w:rFonts w:ascii="Calibri" w:eastAsia="Times New Roman" w:hAnsi="Calibri" w:cs="Calibri"/>
          <w:sz w:val="24"/>
          <w:szCs w:val="24"/>
        </w:rPr>
        <w:t xml:space="preserve">. We </w:t>
      </w:r>
      <w:r w:rsidR="000A27A5">
        <w:rPr>
          <w:rFonts w:ascii="Calibri" w:eastAsia="Times New Roman" w:hAnsi="Calibri" w:cs="Calibri"/>
          <w:sz w:val="24"/>
          <w:szCs w:val="24"/>
        </w:rPr>
        <w:t>are applying to G</w:t>
      </w:r>
      <w:r>
        <w:rPr>
          <w:rFonts w:ascii="Calibri" w:eastAsia="Times New Roman" w:hAnsi="Calibri" w:cs="Calibri"/>
          <w:sz w:val="24"/>
          <w:szCs w:val="24"/>
        </w:rPr>
        <w:t xml:space="preserve">raduate </w:t>
      </w:r>
      <w:r w:rsidR="000A27A5">
        <w:rPr>
          <w:rFonts w:ascii="Calibri" w:eastAsia="Times New Roman" w:hAnsi="Calibri" w:cs="Calibri"/>
          <w:sz w:val="24"/>
          <w:szCs w:val="24"/>
        </w:rPr>
        <w:t>C</w:t>
      </w:r>
      <w:r>
        <w:rPr>
          <w:rFonts w:ascii="Calibri" w:eastAsia="Times New Roman" w:hAnsi="Calibri" w:cs="Calibri"/>
          <w:sz w:val="24"/>
          <w:szCs w:val="24"/>
        </w:rPr>
        <w:t xml:space="preserve">areer </w:t>
      </w:r>
      <w:r w:rsidR="000A27A5">
        <w:rPr>
          <w:rFonts w:ascii="Calibri" w:eastAsia="Times New Roman" w:hAnsi="Calibri" w:cs="Calibri"/>
          <w:sz w:val="24"/>
          <w:szCs w:val="24"/>
        </w:rPr>
        <w:t>A</w:t>
      </w:r>
      <w:r>
        <w:rPr>
          <w:rFonts w:ascii="Calibri" w:eastAsia="Times New Roman" w:hAnsi="Calibri" w:cs="Calibri"/>
          <w:sz w:val="24"/>
          <w:szCs w:val="24"/>
        </w:rPr>
        <w:t xml:space="preserve">dvantage </w:t>
      </w:r>
      <w:r w:rsidR="000A27A5">
        <w:rPr>
          <w:rFonts w:ascii="Calibri" w:eastAsia="Times New Roman" w:hAnsi="Calibri" w:cs="Calibri"/>
          <w:sz w:val="24"/>
          <w:szCs w:val="24"/>
        </w:rPr>
        <w:t>S</w:t>
      </w:r>
      <w:r>
        <w:rPr>
          <w:rFonts w:ascii="Calibri" w:eastAsia="Times New Roman" w:hAnsi="Calibri" w:cs="Calibri"/>
          <w:sz w:val="24"/>
          <w:szCs w:val="24"/>
        </w:rPr>
        <w:t>cotland (GCAS)</w:t>
      </w:r>
      <w:r w:rsidR="00845123">
        <w:rPr>
          <w:rFonts w:ascii="Calibri" w:eastAsia="Times New Roman" w:hAnsi="Calibri" w:cs="Calibri"/>
          <w:sz w:val="24"/>
          <w:szCs w:val="24"/>
        </w:rPr>
        <w:t xml:space="preserve"> </w:t>
      </w:r>
      <w:r w:rsidR="000A27A5">
        <w:rPr>
          <w:rFonts w:ascii="Calibri" w:eastAsia="Times New Roman" w:hAnsi="Calibri" w:cs="Calibri"/>
          <w:sz w:val="24"/>
          <w:szCs w:val="24"/>
        </w:rPr>
        <w:t xml:space="preserve">for </w:t>
      </w:r>
      <w:r w:rsidR="00845123">
        <w:rPr>
          <w:rFonts w:ascii="Calibri" w:eastAsia="Times New Roman" w:hAnsi="Calibri" w:cs="Calibri"/>
          <w:sz w:val="24"/>
          <w:szCs w:val="24"/>
        </w:rPr>
        <w:t>e</w:t>
      </w:r>
      <w:r w:rsidR="00845123" w:rsidRPr="003C3620">
        <w:rPr>
          <w:rFonts w:ascii="Calibri" w:eastAsia="Times New Roman" w:hAnsi="Calibri" w:cs="Calibri"/>
          <w:sz w:val="24"/>
          <w:szCs w:val="24"/>
        </w:rPr>
        <w:t>xternal funding to fund</w:t>
      </w:r>
      <w:r w:rsidR="00845123">
        <w:rPr>
          <w:rFonts w:ascii="Calibri" w:eastAsia="Times New Roman" w:hAnsi="Calibri" w:cs="Calibri"/>
          <w:sz w:val="24"/>
          <w:szCs w:val="24"/>
        </w:rPr>
        <w:t xml:space="preserve"> two</w:t>
      </w:r>
      <w:r w:rsidR="00845123" w:rsidRPr="003C3620">
        <w:rPr>
          <w:rFonts w:ascii="Calibri" w:eastAsia="Times New Roman" w:hAnsi="Calibri" w:cs="Calibri"/>
          <w:sz w:val="24"/>
          <w:szCs w:val="24"/>
        </w:rPr>
        <w:t xml:space="preserve"> 6 month placements</w:t>
      </w:r>
      <w:r>
        <w:rPr>
          <w:rFonts w:ascii="Calibri" w:eastAsia="Times New Roman" w:hAnsi="Calibri" w:cs="Calibri"/>
          <w:sz w:val="24"/>
          <w:szCs w:val="24"/>
        </w:rPr>
        <w:t>. W</w:t>
      </w:r>
      <w:r w:rsidR="00845123">
        <w:rPr>
          <w:rFonts w:ascii="Calibri" w:eastAsia="Times New Roman" w:hAnsi="Calibri" w:cs="Calibri"/>
          <w:sz w:val="24"/>
          <w:szCs w:val="24"/>
        </w:rPr>
        <w:t>e are also applying to the N</w:t>
      </w:r>
      <w:r w:rsidR="00845123" w:rsidRPr="003C3620">
        <w:rPr>
          <w:rFonts w:ascii="Calibri" w:eastAsia="Times New Roman" w:hAnsi="Calibri" w:cs="Calibri"/>
          <w:sz w:val="24"/>
          <w:szCs w:val="24"/>
        </w:rPr>
        <w:t xml:space="preserve">ew to </w:t>
      </w:r>
      <w:r w:rsidR="00845123">
        <w:rPr>
          <w:rFonts w:ascii="Calibri" w:eastAsia="Times New Roman" w:hAnsi="Calibri" w:cs="Calibri"/>
          <w:sz w:val="24"/>
          <w:szCs w:val="24"/>
        </w:rPr>
        <w:t>N</w:t>
      </w:r>
      <w:r w:rsidR="00845123" w:rsidRPr="003C3620">
        <w:rPr>
          <w:rFonts w:ascii="Calibri" w:eastAsia="Times New Roman" w:hAnsi="Calibri" w:cs="Calibri"/>
          <w:sz w:val="24"/>
          <w:szCs w:val="24"/>
        </w:rPr>
        <w:t>atur</w:t>
      </w:r>
      <w:r w:rsidR="00845123">
        <w:rPr>
          <w:rFonts w:ascii="Calibri" w:eastAsia="Times New Roman" w:hAnsi="Calibri" w:cs="Calibri"/>
          <w:sz w:val="24"/>
          <w:szCs w:val="24"/>
        </w:rPr>
        <w:t>e fund for support for two, 1 year placements.</w:t>
      </w:r>
    </w:p>
    <w:p w14:paraId="7F2068F0" w14:textId="77777777" w:rsidR="002157B9" w:rsidRDefault="002157B9" w:rsidP="002157B9">
      <w:pPr>
        <w:pStyle w:val="ListParagraph"/>
      </w:pPr>
    </w:p>
    <w:p w14:paraId="1C1C2767" w14:textId="77777777" w:rsidR="002157B9" w:rsidRPr="003C3620" w:rsidRDefault="002157B9" w:rsidP="002157B9">
      <w:pPr>
        <w:pStyle w:val="ListParagraph"/>
      </w:pPr>
    </w:p>
    <w:p w14:paraId="7D01CF19" w14:textId="342D8ED9" w:rsidR="00845123" w:rsidRPr="002157B9" w:rsidRDefault="00845123" w:rsidP="00845123">
      <w:pPr>
        <w:pStyle w:val="ListParagraph"/>
        <w:numPr>
          <w:ilvl w:val="0"/>
          <w:numId w:val="24"/>
        </w:numPr>
      </w:pPr>
      <w:r>
        <w:rPr>
          <w:rFonts w:ascii="Calibri" w:eastAsia="Times New Roman" w:hAnsi="Calibri" w:cs="Calibri"/>
          <w:sz w:val="24"/>
          <w:szCs w:val="24"/>
        </w:rPr>
        <w:lastRenderedPageBreak/>
        <w:t xml:space="preserve">Exit questionnaires, as mentioned previously, are another method </w:t>
      </w:r>
      <w:r w:rsidR="002157B9">
        <w:rPr>
          <w:rFonts w:ascii="Calibri" w:eastAsia="Times New Roman" w:hAnsi="Calibri" w:cs="Calibri"/>
          <w:sz w:val="24"/>
          <w:szCs w:val="24"/>
        </w:rPr>
        <w:t>to</w:t>
      </w:r>
      <w:r>
        <w:rPr>
          <w:rFonts w:ascii="Calibri" w:eastAsia="Times New Roman" w:hAnsi="Calibri" w:cs="Calibri"/>
          <w:sz w:val="24"/>
          <w:szCs w:val="24"/>
        </w:rPr>
        <w:t xml:space="preserve"> ensure that we capture knowledge and experience from those leaving NatureScot and </w:t>
      </w:r>
      <w:r w:rsidR="002157B9">
        <w:rPr>
          <w:rFonts w:ascii="Calibri" w:eastAsia="Times New Roman" w:hAnsi="Calibri" w:cs="Calibri"/>
          <w:sz w:val="24"/>
          <w:szCs w:val="24"/>
        </w:rPr>
        <w:t>use this feedback to improve our approach</w:t>
      </w:r>
      <w:r>
        <w:rPr>
          <w:rFonts w:ascii="Calibri" w:eastAsia="Times New Roman" w:hAnsi="Calibri" w:cs="Calibri"/>
          <w:sz w:val="24"/>
          <w:szCs w:val="24"/>
        </w:rPr>
        <w:t xml:space="preserve">. </w:t>
      </w:r>
    </w:p>
    <w:p w14:paraId="52CDF9B1" w14:textId="77777777" w:rsidR="002157B9" w:rsidRPr="003C3620" w:rsidRDefault="002157B9" w:rsidP="002157B9">
      <w:pPr>
        <w:pStyle w:val="ListParagraph"/>
      </w:pPr>
    </w:p>
    <w:p w14:paraId="5B2FDBF8" w14:textId="32279937" w:rsidR="00845123" w:rsidRDefault="00845123" w:rsidP="00CC7C36">
      <w:pPr>
        <w:pStyle w:val="ListParagraph"/>
        <w:numPr>
          <w:ilvl w:val="0"/>
          <w:numId w:val="24"/>
        </w:numPr>
      </w:pPr>
      <w:r w:rsidRPr="002157B9">
        <w:rPr>
          <w:rFonts w:ascii="Calibri" w:eastAsia="Times New Roman" w:hAnsi="Calibri" w:cs="Calibri"/>
          <w:sz w:val="24"/>
          <w:szCs w:val="24"/>
        </w:rPr>
        <w:t xml:space="preserve">Partial Retirements – </w:t>
      </w:r>
      <w:r w:rsidR="002157B9">
        <w:rPr>
          <w:rFonts w:ascii="Calibri" w:eastAsia="Times New Roman" w:hAnsi="Calibri" w:cs="Calibri"/>
          <w:sz w:val="24"/>
          <w:szCs w:val="24"/>
        </w:rPr>
        <w:t>o</w:t>
      </w:r>
      <w:r w:rsidRPr="002157B9">
        <w:rPr>
          <w:rFonts w:ascii="Calibri" w:eastAsia="Times New Roman" w:hAnsi="Calibri" w:cs="Calibri"/>
          <w:sz w:val="24"/>
          <w:szCs w:val="24"/>
        </w:rPr>
        <w:t>ver 2020/21 &amp; 2022/23 there have been 7 partial retirements, with P</w:t>
      </w:r>
      <w:r w:rsidR="002157B9">
        <w:rPr>
          <w:rFonts w:ascii="Calibri" w:eastAsia="Times New Roman" w:hAnsi="Calibri" w:cs="Calibri"/>
          <w:sz w:val="24"/>
          <w:szCs w:val="24"/>
        </w:rPr>
        <w:t>&amp;</w:t>
      </w:r>
      <w:r w:rsidRPr="002157B9">
        <w:rPr>
          <w:rFonts w:ascii="Calibri" w:eastAsia="Times New Roman" w:hAnsi="Calibri" w:cs="Calibri"/>
          <w:sz w:val="24"/>
          <w:szCs w:val="24"/>
        </w:rPr>
        <w:t>OD actively promotin</w:t>
      </w:r>
      <w:r w:rsidR="002157B9">
        <w:rPr>
          <w:rFonts w:ascii="Calibri" w:eastAsia="Times New Roman" w:hAnsi="Calibri" w:cs="Calibri"/>
          <w:sz w:val="24"/>
          <w:szCs w:val="24"/>
        </w:rPr>
        <w:t>g this type of flexible working. This includes running</w:t>
      </w:r>
      <w:r w:rsidRPr="002157B9">
        <w:rPr>
          <w:rFonts w:ascii="Calibri" w:eastAsia="Times New Roman" w:hAnsi="Calibri" w:cs="Calibri"/>
          <w:sz w:val="24"/>
          <w:szCs w:val="24"/>
        </w:rPr>
        <w:t xml:space="preserve"> MyCSP </w:t>
      </w:r>
      <w:r w:rsidR="002157B9">
        <w:rPr>
          <w:rFonts w:ascii="Calibri" w:eastAsia="Times New Roman" w:hAnsi="Calibri" w:cs="Calibri"/>
          <w:sz w:val="24"/>
          <w:szCs w:val="24"/>
        </w:rPr>
        <w:t>Power P</w:t>
      </w:r>
      <w:r w:rsidRPr="002157B9">
        <w:rPr>
          <w:rFonts w:ascii="Calibri" w:eastAsia="Times New Roman" w:hAnsi="Calibri" w:cs="Calibri"/>
          <w:sz w:val="24"/>
          <w:szCs w:val="24"/>
        </w:rPr>
        <w:t xml:space="preserve">ension sessions as part of </w:t>
      </w:r>
      <w:r w:rsidR="002157B9">
        <w:rPr>
          <w:rFonts w:ascii="Calibri" w:eastAsia="Times New Roman" w:hAnsi="Calibri" w:cs="Calibri"/>
          <w:sz w:val="24"/>
          <w:szCs w:val="24"/>
        </w:rPr>
        <w:t>P</w:t>
      </w:r>
      <w:r w:rsidRPr="002157B9">
        <w:rPr>
          <w:rFonts w:ascii="Calibri" w:eastAsia="Times New Roman" w:hAnsi="Calibri" w:cs="Calibri"/>
          <w:sz w:val="24"/>
          <w:szCs w:val="24"/>
        </w:rPr>
        <w:t xml:space="preserve">ension </w:t>
      </w:r>
      <w:r w:rsidR="002157B9">
        <w:rPr>
          <w:rFonts w:ascii="Calibri" w:eastAsia="Times New Roman" w:hAnsi="Calibri" w:cs="Calibri"/>
          <w:sz w:val="24"/>
          <w:szCs w:val="24"/>
        </w:rPr>
        <w:t>A</w:t>
      </w:r>
      <w:r w:rsidRPr="002157B9">
        <w:rPr>
          <w:rFonts w:ascii="Calibri" w:eastAsia="Times New Roman" w:hAnsi="Calibri" w:cs="Calibri"/>
          <w:sz w:val="24"/>
          <w:szCs w:val="24"/>
        </w:rPr>
        <w:t>wareness week</w:t>
      </w:r>
      <w:r w:rsidR="002157B9">
        <w:rPr>
          <w:rFonts w:ascii="Calibri" w:eastAsia="Times New Roman" w:hAnsi="Calibri" w:cs="Calibri"/>
          <w:sz w:val="24"/>
          <w:szCs w:val="24"/>
        </w:rPr>
        <w:t xml:space="preserve">. These sessions </w:t>
      </w:r>
      <w:r w:rsidRPr="002157B9">
        <w:rPr>
          <w:rFonts w:ascii="Calibri" w:eastAsia="Times New Roman" w:hAnsi="Calibri" w:cs="Calibri"/>
          <w:sz w:val="24"/>
          <w:szCs w:val="24"/>
        </w:rPr>
        <w:t>give g</w:t>
      </w:r>
      <w:r w:rsidR="002157B9">
        <w:rPr>
          <w:rFonts w:ascii="Calibri" w:eastAsia="Times New Roman" w:hAnsi="Calibri" w:cs="Calibri"/>
          <w:sz w:val="24"/>
          <w:szCs w:val="24"/>
        </w:rPr>
        <w:t>uidance to employees and work</w:t>
      </w:r>
      <w:r w:rsidRPr="002157B9">
        <w:rPr>
          <w:rFonts w:ascii="Calibri" w:eastAsia="Times New Roman" w:hAnsi="Calibri" w:cs="Calibri"/>
          <w:sz w:val="24"/>
          <w:szCs w:val="24"/>
        </w:rPr>
        <w:t xml:space="preserve"> with them on exploring their pension options. </w:t>
      </w:r>
    </w:p>
    <w:p w14:paraId="5616AB49" w14:textId="77777777" w:rsidR="001129E1" w:rsidRDefault="001129E1" w:rsidP="001129E1">
      <w:pPr>
        <w:rPr>
          <w:rFonts w:ascii="Calibri" w:eastAsia="Times New Roman" w:hAnsi="Calibri" w:cs="Calibri"/>
          <w:sz w:val="24"/>
          <w:szCs w:val="24"/>
        </w:rPr>
      </w:pPr>
    </w:p>
    <w:p w14:paraId="3EB5E277" w14:textId="77777777" w:rsidR="001129E1" w:rsidRDefault="001129E1" w:rsidP="001129E1"/>
    <w:p w14:paraId="62BDCBFD" w14:textId="48CAACB8" w:rsidR="0049693B" w:rsidRDefault="0049693B">
      <w:pPr>
        <w:spacing w:after="160" w:line="259" w:lineRule="auto"/>
      </w:pPr>
      <w:r>
        <w:br w:type="page"/>
      </w:r>
    </w:p>
    <w:p w14:paraId="5FD0F4CD" w14:textId="77777777" w:rsidR="0049693B" w:rsidRDefault="0049693B" w:rsidP="001129E1">
      <w:pPr>
        <w:sectPr w:rsidR="0049693B" w:rsidSect="00675DB4">
          <w:pgSz w:w="11907" w:h="16840" w:code="9"/>
          <w:pgMar w:top="1440" w:right="1440" w:bottom="1440" w:left="1440" w:header="709" w:footer="709" w:gutter="0"/>
          <w:cols w:space="708"/>
          <w:docGrid w:linePitch="360"/>
        </w:sectPr>
      </w:pPr>
    </w:p>
    <w:tbl>
      <w:tblPr>
        <w:tblStyle w:val="TableGrid"/>
        <w:tblpPr w:leftFromText="180" w:rightFromText="180" w:horzAnchor="margin" w:tblpXSpec="center" w:tblpY="600"/>
        <w:tblW w:w="15310" w:type="dxa"/>
        <w:tblLook w:val="04A0" w:firstRow="1" w:lastRow="0" w:firstColumn="1" w:lastColumn="0" w:noHBand="0" w:noVBand="1"/>
        <w:tblCaption w:val="Corporate Risk Table"/>
      </w:tblPr>
      <w:tblGrid>
        <w:gridCol w:w="1561"/>
        <w:gridCol w:w="2263"/>
        <w:gridCol w:w="4338"/>
        <w:gridCol w:w="925"/>
        <w:gridCol w:w="820"/>
        <w:gridCol w:w="741"/>
        <w:gridCol w:w="4662"/>
      </w:tblGrid>
      <w:tr w:rsidR="0049693B" w:rsidRPr="0049693B" w14:paraId="348796F1" w14:textId="77777777" w:rsidTr="0042261E">
        <w:trPr>
          <w:trHeight w:val="288"/>
          <w:tblHeader/>
        </w:trPr>
        <w:tc>
          <w:tcPr>
            <w:tcW w:w="1561" w:type="dxa"/>
            <w:shd w:val="clear" w:color="auto" w:fill="244061" w:themeFill="accent1" w:themeFillShade="80"/>
            <w:hideMark/>
          </w:tcPr>
          <w:p w14:paraId="275E6846" w14:textId="7500DF2E" w:rsidR="0049693B" w:rsidRPr="0049693B" w:rsidRDefault="0049693B" w:rsidP="009D65AA">
            <w:pPr>
              <w:jc w:val="center"/>
              <w:rPr>
                <w:rFonts w:ascii="Calibri" w:hAnsi="Calibri" w:cs="Calibri"/>
                <w:bCs/>
              </w:rPr>
            </w:pPr>
            <w:r w:rsidRPr="0049693B">
              <w:rPr>
                <w:rFonts w:ascii="Calibri" w:hAnsi="Calibri" w:cs="Calibri"/>
                <w:bCs/>
              </w:rPr>
              <w:lastRenderedPageBreak/>
              <w:t>RISK TITLE</w:t>
            </w:r>
          </w:p>
        </w:tc>
        <w:tc>
          <w:tcPr>
            <w:tcW w:w="2263" w:type="dxa"/>
            <w:shd w:val="clear" w:color="auto" w:fill="244061" w:themeFill="accent1" w:themeFillShade="80"/>
            <w:hideMark/>
          </w:tcPr>
          <w:p w14:paraId="6BD3014C" w14:textId="77777777" w:rsidR="0049693B" w:rsidRPr="0049693B" w:rsidRDefault="0049693B" w:rsidP="009D65AA">
            <w:pPr>
              <w:jc w:val="center"/>
              <w:rPr>
                <w:rFonts w:ascii="Calibri" w:hAnsi="Calibri" w:cs="Calibri"/>
                <w:bCs/>
              </w:rPr>
            </w:pPr>
            <w:r w:rsidRPr="0049693B">
              <w:rPr>
                <w:rFonts w:ascii="Calibri" w:hAnsi="Calibri" w:cs="Calibri"/>
                <w:bCs/>
              </w:rPr>
              <w:t>DESCRIPTION</w:t>
            </w:r>
          </w:p>
        </w:tc>
        <w:tc>
          <w:tcPr>
            <w:tcW w:w="4338" w:type="dxa"/>
            <w:shd w:val="clear" w:color="auto" w:fill="244061" w:themeFill="accent1" w:themeFillShade="80"/>
            <w:hideMark/>
          </w:tcPr>
          <w:p w14:paraId="18E59F79" w14:textId="77777777" w:rsidR="0049693B" w:rsidRPr="0049693B" w:rsidRDefault="0049693B" w:rsidP="009D65AA">
            <w:pPr>
              <w:jc w:val="center"/>
              <w:rPr>
                <w:rFonts w:ascii="Calibri" w:hAnsi="Calibri" w:cs="Calibri"/>
                <w:bCs/>
              </w:rPr>
            </w:pPr>
            <w:r w:rsidRPr="0049693B">
              <w:rPr>
                <w:rFonts w:ascii="Calibri" w:hAnsi="Calibri" w:cs="Calibri"/>
                <w:bCs/>
              </w:rPr>
              <w:t>CONTROLS</w:t>
            </w:r>
          </w:p>
        </w:tc>
        <w:tc>
          <w:tcPr>
            <w:tcW w:w="925" w:type="dxa"/>
            <w:shd w:val="clear" w:color="auto" w:fill="244061" w:themeFill="accent1" w:themeFillShade="80"/>
            <w:noWrap/>
            <w:hideMark/>
          </w:tcPr>
          <w:p w14:paraId="3C2396EF" w14:textId="77777777" w:rsidR="0049693B" w:rsidRPr="0049693B" w:rsidRDefault="0049693B" w:rsidP="009D65AA">
            <w:pPr>
              <w:jc w:val="center"/>
              <w:rPr>
                <w:rFonts w:ascii="Calibri" w:hAnsi="Calibri" w:cs="Calibri"/>
                <w:bCs/>
              </w:rPr>
            </w:pPr>
            <w:r w:rsidRPr="0049693B">
              <w:rPr>
                <w:rFonts w:ascii="Calibri" w:hAnsi="Calibri" w:cs="Calibri"/>
                <w:bCs/>
              </w:rPr>
              <w:t>IMPACT</w:t>
            </w:r>
          </w:p>
        </w:tc>
        <w:tc>
          <w:tcPr>
            <w:tcW w:w="820" w:type="dxa"/>
            <w:shd w:val="clear" w:color="auto" w:fill="244061" w:themeFill="accent1" w:themeFillShade="80"/>
            <w:noWrap/>
            <w:hideMark/>
          </w:tcPr>
          <w:p w14:paraId="3C622E95" w14:textId="52814666" w:rsidR="0049693B" w:rsidRPr="0049693B" w:rsidRDefault="0049693B" w:rsidP="009D65AA">
            <w:pPr>
              <w:jc w:val="center"/>
              <w:rPr>
                <w:rFonts w:ascii="Calibri" w:hAnsi="Calibri" w:cs="Calibri"/>
                <w:bCs/>
              </w:rPr>
            </w:pPr>
            <w:r w:rsidRPr="0049693B">
              <w:rPr>
                <w:rFonts w:ascii="Calibri" w:hAnsi="Calibri" w:cs="Calibri"/>
                <w:bCs/>
              </w:rPr>
              <w:t>LIKLE</w:t>
            </w:r>
            <w:r>
              <w:rPr>
                <w:rFonts w:ascii="Calibri" w:hAnsi="Calibri" w:cs="Calibri"/>
                <w:bCs/>
              </w:rPr>
              <w:t>-</w:t>
            </w:r>
            <w:r w:rsidRPr="0049693B">
              <w:rPr>
                <w:rFonts w:ascii="Calibri" w:hAnsi="Calibri" w:cs="Calibri"/>
                <w:bCs/>
              </w:rPr>
              <w:t>HOOD</w:t>
            </w:r>
          </w:p>
        </w:tc>
        <w:tc>
          <w:tcPr>
            <w:tcW w:w="741" w:type="dxa"/>
            <w:shd w:val="clear" w:color="auto" w:fill="244061" w:themeFill="accent1" w:themeFillShade="80"/>
            <w:noWrap/>
            <w:hideMark/>
          </w:tcPr>
          <w:p w14:paraId="1DA1E937" w14:textId="6F33B802" w:rsidR="0049693B" w:rsidRPr="0049693B" w:rsidRDefault="0049693B" w:rsidP="009D65AA">
            <w:pPr>
              <w:jc w:val="center"/>
              <w:rPr>
                <w:rFonts w:ascii="Calibri" w:hAnsi="Calibri" w:cs="Calibri"/>
                <w:bCs/>
              </w:rPr>
            </w:pPr>
            <w:r>
              <w:rPr>
                <w:rFonts w:ascii="Calibri" w:hAnsi="Calibri" w:cs="Calibri"/>
                <w:bCs/>
              </w:rPr>
              <w:t xml:space="preserve">RISK </w:t>
            </w:r>
            <w:r w:rsidRPr="0049693B">
              <w:rPr>
                <w:rFonts w:ascii="Calibri" w:hAnsi="Calibri" w:cs="Calibri"/>
                <w:bCs/>
              </w:rPr>
              <w:t>LEVEL</w:t>
            </w:r>
          </w:p>
        </w:tc>
        <w:tc>
          <w:tcPr>
            <w:tcW w:w="4662" w:type="dxa"/>
            <w:shd w:val="clear" w:color="auto" w:fill="244061" w:themeFill="accent1" w:themeFillShade="80"/>
            <w:hideMark/>
          </w:tcPr>
          <w:p w14:paraId="677CA9B6" w14:textId="77777777" w:rsidR="0049693B" w:rsidRPr="0049693B" w:rsidRDefault="0049693B" w:rsidP="009D65AA">
            <w:pPr>
              <w:jc w:val="center"/>
              <w:rPr>
                <w:rFonts w:ascii="Calibri" w:hAnsi="Calibri" w:cs="Calibri"/>
                <w:bCs/>
              </w:rPr>
            </w:pPr>
            <w:r w:rsidRPr="0049693B">
              <w:rPr>
                <w:rFonts w:ascii="Calibri" w:hAnsi="Calibri" w:cs="Calibri"/>
                <w:bCs/>
              </w:rPr>
              <w:t>COMMENTS</w:t>
            </w:r>
          </w:p>
        </w:tc>
      </w:tr>
      <w:tr w:rsidR="0049693B" w:rsidRPr="0049693B" w14:paraId="0ABB69DC" w14:textId="77777777" w:rsidTr="009D65AA">
        <w:trPr>
          <w:trHeight w:val="1692"/>
        </w:trPr>
        <w:tc>
          <w:tcPr>
            <w:tcW w:w="1561" w:type="dxa"/>
            <w:hideMark/>
          </w:tcPr>
          <w:p w14:paraId="50B65DA3" w14:textId="77777777" w:rsidR="0049693B" w:rsidRPr="0049693B" w:rsidRDefault="0049693B" w:rsidP="009D65AA">
            <w:pPr>
              <w:rPr>
                <w:rFonts w:ascii="Calibri" w:hAnsi="Calibri" w:cs="Calibri"/>
                <w:bCs/>
              </w:rPr>
            </w:pPr>
            <w:r w:rsidRPr="0049693B">
              <w:rPr>
                <w:rFonts w:ascii="Calibri" w:hAnsi="Calibri" w:cs="Calibri"/>
                <w:bCs/>
              </w:rPr>
              <w:t xml:space="preserve">47 - Computer Virus/Malware </w:t>
            </w:r>
          </w:p>
        </w:tc>
        <w:tc>
          <w:tcPr>
            <w:tcW w:w="2263" w:type="dxa"/>
            <w:hideMark/>
          </w:tcPr>
          <w:p w14:paraId="7F3317FE" w14:textId="77777777" w:rsidR="0049693B" w:rsidRPr="0049693B" w:rsidRDefault="0049693B" w:rsidP="009D65AA">
            <w:pPr>
              <w:rPr>
                <w:rFonts w:ascii="Calibri" w:hAnsi="Calibri" w:cs="Calibri"/>
                <w:bCs/>
              </w:rPr>
            </w:pPr>
            <w:r w:rsidRPr="0049693B">
              <w:rPr>
                <w:rFonts w:ascii="Calibri" w:hAnsi="Calibri" w:cs="Calibri"/>
                <w:bCs/>
              </w:rPr>
              <w:t>As a result of inadequate protection, or inappropriate system use, including accidental activation of email links by that lead to malware downloads, there is a risk that NatureScot systems becoming infected  with a malware or virus agent, resulting in NatureScot systems and data become unavailable, encrypted or corrupted, significant system downtime and huge operational impacts</w:t>
            </w:r>
          </w:p>
        </w:tc>
        <w:tc>
          <w:tcPr>
            <w:tcW w:w="4338" w:type="dxa"/>
            <w:hideMark/>
          </w:tcPr>
          <w:p w14:paraId="662C6D0C" w14:textId="5542E022" w:rsidR="0049693B" w:rsidRPr="0049693B" w:rsidRDefault="0049693B" w:rsidP="009D65AA">
            <w:pPr>
              <w:rPr>
                <w:rFonts w:ascii="Calibri" w:hAnsi="Calibri" w:cs="Calibri"/>
                <w:bCs/>
              </w:rPr>
            </w:pPr>
            <w:r w:rsidRPr="0049693B">
              <w:rPr>
                <w:rFonts w:ascii="Calibri" w:hAnsi="Calibri" w:cs="Calibri"/>
                <w:bCs/>
              </w:rPr>
              <w:t xml:space="preserve">*All file servers are protected by Sophos </w:t>
            </w:r>
            <w:proofErr w:type="spellStart"/>
            <w:r w:rsidRPr="0049693B">
              <w:rPr>
                <w:rFonts w:ascii="Calibri" w:hAnsi="Calibri" w:cs="Calibri"/>
                <w:bCs/>
              </w:rPr>
              <w:t>anti virus</w:t>
            </w:r>
            <w:proofErr w:type="spellEnd"/>
            <w:r w:rsidRPr="0049693B">
              <w:rPr>
                <w:rFonts w:ascii="Calibri" w:hAnsi="Calibri" w:cs="Calibri"/>
                <w:bCs/>
              </w:rPr>
              <w:t xml:space="preserve"> protection. Upgrades are performed automatically and can also</w:t>
            </w:r>
            <w:r>
              <w:rPr>
                <w:rFonts w:ascii="Calibri" w:hAnsi="Calibri" w:cs="Calibri"/>
                <w:bCs/>
              </w:rPr>
              <w:t xml:space="preserve"> be applied in an ad-hoc manner</w:t>
            </w:r>
            <w:r w:rsidRPr="0049693B">
              <w:rPr>
                <w:rFonts w:ascii="Calibri" w:hAnsi="Calibri" w:cs="Calibri"/>
                <w:bCs/>
              </w:rPr>
              <w:br/>
              <w:t xml:space="preserve">*All PCs are protected by Sophos </w:t>
            </w:r>
            <w:proofErr w:type="spellStart"/>
            <w:r w:rsidRPr="0049693B">
              <w:rPr>
                <w:rFonts w:ascii="Calibri" w:hAnsi="Calibri" w:cs="Calibri"/>
                <w:bCs/>
              </w:rPr>
              <w:t>anti virus</w:t>
            </w:r>
            <w:proofErr w:type="spellEnd"/>
            <w:r w:rsidRPr="0049693B">
              <w:rPr>
                <w:rFonts w:ascii="Calibri" w:hAnsi="Calibri" w:cs="Calibri"/>
                <w:bCs/>
              </w:rPr>
              <w:t xml:space="preserve"> protection. Upgrades are received on a daily </w:t>
            </w:r>
            <w:r>
              <w:rPr>
                <w:rFonts w:ascii="Calibri" w:hAnsi="Calibri" w:cs="Calibri"/>
                <w:bCs/>
              </w:rPr>
              <w:t>basis but can be applied ad-hoc</w:t>
            </w:r>
            <w:r w:rsidRPr="0049693B">
              <w:rPr>
                <w:rFonts w:ascii="Calibri" w:hAnsi="Calibri" w:cs="Calibri"/>
                <w:bCs/>
              </w:rPr>
              <w:br/>
              <w:t>*All incoming e</w:t>
            </w:r>
            <w:r>
              <w:rPr>
                <w:rFonts w:ascii="Calibri" w:hAnsi="Calibri" w:cs="Calibri"/>
                <w:bCs/>
              </w:rPr>
              <w:t xml:space="preserve">mails are scanned for viruses. </w:t>
            </w:r>
            <w:r w:rsidRPr="0049693B">
              <w:rPr>
                <w:rFonts w:ascii="Calibri" w:hAnsi="Calibri" w:cs="Calibri"/>
                <w:bCs/>
              </w:rPr>
              <w:br/>
              <w:t xml:space="preserve">*All internet access, where possible, is scanned for viruses (not https sessions).        </w:t>
            </w:r>
            <w:r w:rsidRPr="0049693B">
              <w:rPr>
                <w:rFonts w:ascii="Calibri" w:hAnsi="Calibri" w:cs="Calibri"/>
                <w:bCs/>
              </w:rPr>
              <w:br/>
              <w:t xml:space="preserve">*Raise staff awareness of potential risks relating to email links and infected documents </w:t>
            </w:r>
            <w:r>
              <w:rPr>
                <w:rFonts w:ascii="Calibri" w:hAnsi="Calibri" w:cs="Calibri"/>
                <w:bCs/>
              </w:rPr>
              <w:t>through regular communications.</w:t>
            </w:r>
            <w:r w:rsidRPr="0049693B">
              <w:rPr>
                <w:rFonts w:ascii="Calibri" w:hAnsi="Calibri" w:cs="Calibri"/>
                <w:bCs/>
              </w:rPr>
              <w:br/>
              <w:t>*Sandbox co</w:t>
            </w:r>
            <w:r>
              <w:rPr>
                <w:rFonts w:ascii="Calibri" w:hAnsi="Calibri" w:cs="Calibri"/>
                <w:bCs/>
              </w:rPr>
              <w:t>ntrols/ environment implemented</w:t>
            </w:r>
            <w:r>
              <w:rPr>
                <w:rFonts w:ascii="Calibri" w:hAnsi="Calibri" w:cs="Calibri"/>
                <w:bCs/>
              </w:rPr>
              <w:br/>
              <w:t xml:space="preserve">*Control of USB devices </w:t>
            </w:r>
            <w:r w:rsidRPr="0049693B">
              <w:rPr>
                <w:rFonts w:ascii="Calibri" w:hAnsi="Calibri" w:cs="Calibri"/>
                <w:bCs/>
              </w:rPr>
              <w:br/>
              <w:t>*Awareness raising with staf</w:t>
            </w:r>
            <w:r>
              <w:rPr>
                <w:rFonts w:ascii="Calibri" w:hAnsi="Calibri" w:cs="Calibri"/>
                <w:bCs/>
              </w:rPr>
              <w:t>f via Blogs and update articles</w:t>
            </w:r>
            <w:r w:rsidRPr="0049693B">
              <w:rPr>
                <w:rFonts w:ascii="Calibri" w:hAnsi="Calibri" w:cs="Calibri"/>
                <w:bCs/>
              </w:rPr>
              <w:br/>
              <w:t>*Inciden</w:t>
            </w:r>
            <w:r>
              <w:rPr>
                <w:rFonts w:ascii="Calibri" w:hAnsi="Calibri" w:cs="Calibri"/>
                <w:bCs/>
              </w:rPr>
              <w:t>t Management Group in place</w:t>
            </w:r>
            <w:r w:rsidRPr="0049693B">
              <w:rPr>
                <w:rFonts w:ascii="Calibri" w:hAnsi="Calibri" w:cs="Calibri"/>
                <w:bCs/>
              </w:rPr>
              <w:br/>
              <w:t xml:space="preserve">*Shared Service with Scottish Government that takes forward Network Scanning for unusual activity in place. </w:t>
            </w:r>
          </w:p>
        </w:tc>
        <w:tc>
          <w:tcPr>
            <w:tcW w:w="925" w:type="dxa"/>
            <w:noWrap/>
            <w:hideMark/>
          </w:tcPr>
          <w:p w14:paraId="51605647" w14:textId="77777777" w:rsidR="0049693B" w:rsidRPr="0049693B" w:rsidRDefault="0049693B" w:rsidP="009D65AA">
            <w:pPr>
              <w:jc w:val="center"/>
              <w:rPr>
                <w:rFonts w:ascii="Calibri" w:hAnsi="Calibri" w:cs="Calibri"/>
                <w:bCs/>
              </w:rPr>
            </w:pPr>
            <w:r w:rsidRPr="0049693B">
              <w:rPr>
                <w:rFonts w:ascii="Calibri" w:hAnsi="Calibri" w:cs="Calibri"/>
                <w:bCs/>
              </w:rPr>
              <w:t>4</w:t>
            </w:r>
          </w:p>
        </w:tc>
        <w:tc>
          <w:tcPr>
            <w:tcW w:w="820" w:type="dxa"/>
            <w:noWrap/>
            <w:hideMark/>
          </w:tcPr>
          <w:p w14:paraId="77DAB15D" w14:textId="77777777" w:rsidR="0049693B" w:rsidRPr="0049693B" w:rsidRDefault="0049693B" w:rsidP="009D65AA">
            <w:pPr>
              <w:jc w:val="center"/>
              <w:rPr>
                <w:rFonts w:ascii="Calibri" w:hAnsi="Calibri" w:cs="Calibri"/>
                <w:bCs/>
              </w:rPr>
            </w:pPr>
            <w:r w:rsidRPr="0049693B">
              <w:rPr>
                <w:rFonts w:ascii="Calibri" w:hAnsi="Calibri" w:cs="Calibri"/>
                <w:bCs/>
              </w:rPr>
              <w:t>3</w:t>
            </w:r>
          </w:p>
        </w:tc>
        <w:tc>
          <w:tcPr>
            <w:tcW w:w="741" w:type="dxa"/>
            <w:shd w:val="clear" w:color="auto" w:fill="E76565"/>
            <w:noWrap/>
            <w:hideMark/>
          </w:tcPr>
          <w:p w14:paraId="1BD3393E" w14:textId="77777777" w:rsidR="0049693B" w:rsidRPr="0049693B" w:rsidRDefault="0049693B" w:rsidP="009D65AA">
            <w:pPr>
              <w:jc w:val="center"/>
              <w:rPr>
                <w:rFonts w:ascii="Calibri" w:hAnsi="Calibri" w:cs="Calibri"/>
                <w:b/>
                <w:bCs/>
              </w:rPr>
            </w:pPr>
            <w:r w:rsidRPr="0049693B">
              <w:rPr>
                <w:rFonts w:ascii="Calibri" w:hAnsi="Calibri" w:cs="Calibri"/>
                <w:b/>
                <w:bCs/>
                <w:color w:val="000000"/>
              </w:rPr>
              <w:t>High</w:t>
            </w:r>
          </w:p>
        </w:tc>
        <w:tc>
          <w:tcPr>
            <w:tcW w:w="4662" w:type="dxa"/>
            <w:hideMark/>
          </w:tcPr>
          <w:p w14:paraId="1147CE20" w14:textId="77777777" w:rsidR="0049693B" w:rsidRPr="0049693B" w:rsidRDefault="0049693B" w:rsidP="009D65AA">
            <w:pPr>
              <w:rPr>
                <w:rFonts w:ascii="Calibri" w:hAnsi="Calibri" w:cs="Calibri"/>
                <w:bCs/>
              </w:rPr>
            </w:pPr>
            <w:r w:rsidRPr="0049693B">
              <w:rPr>
                <w:rFonts w:ascii="Calibri" w:hAnsi="Calibri" w:cs="Calibri"/>
                <w:bCs/>
              </w:rPr>
              <w:t xml:space="preserve">We continue to closely monitor our network environment. We have had a collection of staff who have recently fallen victim to phishing links and have had to have their devices replaced, meaning data on their C drives that was not stored in corporate repository was lost. These should be rated as "near miss" incidents, as the devices were successfully compromised by phishing emails and a part of the payload was deployed. We have new tools being deployed on the gateway to give us further protection, but these are not </w:t>
            </w:r>
            <w:proofErr w:type="spellStart"/>
            <w:r w:rsidRPr="0049693B">
              <w:rPr>
                <w:rFonts w:ascii="Calibri" w:hAnsi="Calibri" w:cs="Calibri"/>
                <w:bCs/>
              </w:rPr>
              <w:t>foolproof</w:t>
            </w:r>
            <w:proofErr w:type="spellEnd"/>
            <w:r w:rsidRPr="0049693B">
              <w:rPr>
                <w:rFonts w:ascii="Calibri" w:hAnsi="Calibri" w:cs="Calibri"/>
                <w:bCs/>
              </w:rPr>
              <w:t xml:space="preserve">, so we must continue to remain alert.  Our cyber training continues to be rolled out and this is very important for maintaining awareness amongst staff. Completion rates are still very good. Our controlled Phishing tests continue but will be reviewed at next Information Security Forum for a view on whether we should continue to use them. We still get staff clicking on links for these emails so it is an indicator of risk (however, it does take a significant amount of staff time to run them). </w:t>
            </w:r>
          </w:p>
        </w:tc>
      </w:tr>
    </w:tbl>
    <w:p w14:paraId="35613A78" w14:textId="35F29399" w:rsidR="009D65AA" w:rsidRDefault="009D65AA" w:rsidP="009D65AA">
      <w:pPr>
        <w:pStyle w:val="Heading2"/>
        <w:rPr>
          <w:rFonts w:ascii="Calibri" w:eastAsia="Times New Roman" w:hAnsi="Calibri" w:cs="Calibri"/>
        </w:rPr>
      </w:pPr>
      <w:bookmarkStart w:id="0" w:name="_Annex_A_–"/>
      <w:bookmarkEnd w:id="0"/>
      <w:r>
        <w:rPr>
          <w:rFonts w:ascii="Calibri" w:eastAsia="Times New Roman" w:hAnsi="Calibri" w:cs="Calibri"/>
        </w:rPr>
        <w:t>Annex A – Corpor</w:t>
      </w:r>
      <w:r w:rsidR="005711BA">
        <w:rPr>
          <w:rFonts w:ascii="Calibri" w:eastAsia="Times New Roman" w:hAnsi="Calibri" w:cs="Calibri"/>
        </w:rPr>
        <w:t xml:space="preserve">ate Risk Register (High </w:t>
      </w:r>
      <w:r>
        <w:rPr>
          <w:rFonts w:ascii="Calibri" w:eastAsia="Times New Roman" w:hAnsi="Calibri" w:cs="Calibri"/>
        </w:rPr>
        <w:t>Risks)</w:t>
      </w:r>
    </w:p>
    <w:p w14:paraId="451DC064" w14:textId="216A8D07" w:rsidR="009D65AA" w:rsidRDefault="009D65AA" w:rsidP="001129E1"/>
    <w:p w14:paraId="0FB11113" w14:textId="16E8BCFA" w:rsidR="009D65AA" w:rsidRDefault="009D65AA" w:rsidP="001129E1"/>
    <w:p w14:paraId="79A689B3" w14:textId="04FD91CA" w:rsidR="009D65AA" w:rsidRDefault="009D65AA" w:rsidP="001129E1"/>
    <w:p w14:paraId="16A3E666" w14:textId="0199D505" w:rsidR="009D65AA" w:rsidRDefault="009D65AA" w:rsidP="001129E1"/>
    <w:p w14:paraId="058DE3CE" w14:textId="77777777" w:rsidR="005711BA" w:rsidRDefault="005711BA" w:rsidP="001129E1"/>
    <w:tbl>
      <w:tblPr>
        <w:tblStyle w:val="TableGrid"/>
        <w:tblW w:w="15451" w:type="dxa"/>
        <w:tblInd w:w="-714" w:type="dxa"/>
        <w:tblLook w:val="04A0" w:firstRow="1" w:lastRow="0" w:firstColumn="1" w:lastColumn="0" w:noHBand="0" w:noVBand="1"/>
        <w:tblCaption w:val="Corporate Risk Table"/>
      </w:tblPr>
      <w:tblGrid>
        <w:gridCol w:w="1276"/>
        <w:gridCol w:w="1985"/>
        <w:gridCol w:w="2835"/>
        <w:gridCol w:w="992"/>
        <w:gridCol w:w="851"/>
        <w:gridCol w:w="850"/>
        <w:gridCol w:w="6662"/>
      </w:tblGrid>
      <w:tr w:rsidR="009D65AA" w:rsidRPr="009D65AA" w14:paraId="3B55A9B2" w14:textId="77777777" w:rsidTr="0042261E">
        <w:trPr>
          <w:trHeight w:val="576"/>
          <w:tblHeader/>
        </w:trPr>
        <w:tc>
          <w:tcPr>
            <w:tcW w:w="1276" w:type="dxa"/>
            <w:shd w:val="clear" w:color="auto" w:fill="244061" w:themeFill="accent1" w:themeFillShade="80"/>
            <w:hideMark/>
          </w:tcPr>
          <w:p w14:paraId="4930A1C4" w14:textId="77777777" w:rsidR="009D65AA" w:rsidRPr="009D65AA" w:rsidRDefault="009D65AA" w:rsidP="009D65AA">
            <w:pPr>
              <w:jc w:val="center"/>
              <w:rPr>
                <w:rFonts w:ascii="Calibri" w:hAnsi="Calibri" w:cs="Calibri"/>
                <w:bCs/>
              </w:rPr>
            </w:pPr>
            <w:r w:rsidRPr="009D65AA">
              <w:rPr>
                <w:rFonts w:ascii="Calibri" w:hAnsi="Calibri" w:cs="Calibri"/>
                <w:bCs/>
              </w:rPr>
              <w:lastRenderedPageBreak/>
              <w:t>RISK TITLE</w:t>
            </w:r>
          </w:p>
        </w:tc>
        <w:tc>
          <w:tcPr>
            <w:tcW w:w="1985" w:type="dxa"/>
            <w:shd w:val="clear" w:color="auto" w:fill="244061" w:themeFill="accent1" w:themeFillShade="80"/>
            <w:hideMark/>
          </w:tcPr>
          <w:p w14:paraId="69BAAB8D" w14:textId="77777777" w:rsidR="009D65AA" w:rsidRPr="009D65AA" w:rsidRDefault="009D65AA" w:rsidP="009D65AA">
            <w:pPr>
              <w:jc w:val="center"/>
              <w:rPr>
                <w:rFonts w:ascii="Calibri" w:hAnsi="Calibri" w:cs="Calibri"/>
                <w:bCs/>
              </w:rPr>
            </w:pPr>
            <w:r w:rsidRPr="009D65AA">
              <w:rPr>
                <w:rFonts w:ascii="Calibri" w:hAnsi="Calibri" w:cs="Calibri"/>
                <w:bCs/>
              </w:rPr>
              <w:t>DESCRIPTION</w:t>
            </w:r>
          </w:p>
        </w:tc>
        <w:tc>
          <w:tcPr>
            <w:tcW w:w="2835" w:type="dxa"/>
            <w:shd w:val="clear" w:color="auto" w:fill="244061" w:themeFill="accent1" w:themeFillShade="80"/>
            <w:hideMark/>
          </w:tcPr>
          <w:p w14:paraId="395427C6" w14:textId="77777777" w:rsidR="009D65AA" w:rsidRPr="009D65AA" w:rsidRDefault="009D65AA" w:rsidP="009D65AA">
            <w:pPr>
              <w:jc w:val="center"/>
              <w:rPr>
                <w:rFonts w:ascii="Calibri" w:hAnsi="Calibri" w:cs="Calibri"/>
                <w:bCs/>
              </w:rPr>
            </w:pPr>
            <w:r w:rsidRPr="009D65AA">
              <w:rPr>
                <w:rFonts w:ascii="Calibri" w:hAnsi="Calibri" w:cs="Calibri"/>
                <w:bCs/>
              </w:rPr>
              <w:t>CONTROLS</w:t>
            </w:r>
          </w:p>
        </w:tc>
        <w:tc>
          <w:tcPr>
            <w:tcW w:w="992" w:type="dxa"/>
            <w:shd w:val="clear" w:color="auto" w:fill="244061" w:themeFill="accent1" w:themeFillShade="80"/>
            <w:noWrap/>
            <w:hideMark/>
          </w:tcPr>
          <w:p w14:paraId="6C86B1D1" w14:textId="77777777" w:rsidR="009D65AA" w:rsidRPr="009D65AA" w:rsidRDefault="009D65AA" w:rsidP="009D65AA">
            <w:pPr>
              <w:jc w:val="center"/>
              <w:rPr>
                <w:rFonts w:ascii="Calibri" w:hAnsi="Calibri" w:cs="Calibri"/>
                <w:bCs/>
              </w:rPr>
            </w:pPr>
            <w:r w:rsidRPr="009D65AA">
              <w:rPr>
                <w:rFonts w:ascii="Calibri" w:hAnsi="Calibri" w:cs="Calibri"/>
                <w:bCs/>
              </w:rPr>
              <w:t>IMPACT</w:t>
            </w:r>
          </w:p>
        </w:tc>
        <w:tc>
          <w:tcPr>
            <w:tcW w:w="851" w:type="dxa"/>
            <w:shd w:val="clear" w:color="auto" w:fill="244061" w:themeFill="accent1" w:themeFillShade="80"/>
            <w:noWrap/>
            <w:hideMark/>
          </w:tcPr>
          <w:p w14:paraId="0660856E" w14:textId="77777777" w:rsidR="009D65AA" w:rsidRPr="009D65AA" w:rsidRDefault="009D65AA" w:rsidP="009D65AA">
            <w:pPr>
              <w:jc w:val="center"/>
              <w:rPr>
                <w:rFonts w:ascii="Calibri" w:hAnsi="Calibri" w:cs="Calibri"/>
                <w:bCs/>
              </w:rPr>
            </w:pPr>
            <w:r w:rsidRPr="009D65AA">
              <w:rPr>
                <w:rFonts w:ascii="Calibri" w:hAnsi="Calibri" w:cs="Calibri"/>
                <w:bCs/>
              </w:rPr>
              <w:t>LIKLE-HOOD</w:t>
            </w:r>
          </w:p>
        </w:tc>
        <w:tc>
          <w:tcPr>
            <w:tcW w:w="850" w:type="dxa"/>
            <w:shd w:val="clear" w:color="auto" w:fill="244061" w:themeFill="accent1" w:themeFillShade="80"/>
            <w:noWrap/>
            <w:hideMark/>
          </w:tcPr>
          <w:p w14:paraId="3FEB9305" w14:textId="77777777" w:rsidR="009D65AA" w:rsidRPr="009D65AA" w:rsidRDefault="009D65AA" w:rsidP="009D65AA">
            <w:pPr>
              <w:jc w:val="center"/>
              <w:rPr>
                <w:rFonts w:ascii="Calibri" w:hAnsi="Calibri" w:cs="Calibri"/>
                <w:bCs/>
              </w:rPr>
            </w:pPr>
            <w:r w:rsidRPr="009D65AA">
              <w:rPr>
                <w:rFonts w:ascii="Calibri" w:hAnsi="Calibri" w:cs="Calibri"/>
                <w:bCs/>
              </w:rPr>
              <w:t>RISK LEVEL</w:t>
            </w:r>
          </w:p>
        </w:tc>
        <w:tc>
          <w:tcPr>
            <w:tcW w:w="6662" w:type="dxa"/>
            <w:shd w:val="clear" w:color="auto" w:fill="244061" w:themeFill="accent1" w:themeFillShade="80"/>
            <w:hideMark/>
          </w:tcPr>
          <w:p w14:paraId="4B73FA49" w14:textId="77777777" w:rsidR="009D65AA" w:rsidRPr="009D65AA" w:rsidRDefault="009D65AA" w:rsidP="009D65AA">
            <w:pPr>
              <w:jc w:val="center"/>
              <w:rPr>
                <w:rFonts w:ascii="Calibri" w:hAnsi="Calibri" w:cs="Calibri"/>
                <w:bCs/>
              </w:rPr>
            </w:pPr>
            <w:r w:rsidRPr="009D65AA">
              <w:rPr>
                <w:rFonts w:ascii="Calibri" w:hAnsi="Calibri" w:cs="Calibri"/>
                <w:bCs/>
              </w:rPr>
              <w:t>COMMENTS</w:t>
            </w:r>
          </w:p>
        </w:tc>
      </w:tr>
      <w:tr w:rsidR="009D65AA" w:rsidRPr="009D65AA" w14:paraId="6B63824B" w14:textId="77777777" w:rsidTr="005711BA">
        <w:trPr>
          <w:trHeight w:val="2259"/>
        </w:trPr>
        <w:tc>
          <w:tcPr>
            <w:tcW w:w="1276" w:type="dxa"/>
            <w:hideMark/>
          </w:tcPr>
          <w:p w14:paraId="605BF012" w14:textId="77777777" w:rsidR="009D65AA" w:rsidRPr="009D65AA" w:rsidRDefault="009D65AA">
            <w:pPr>
              <w:rPr>
                <w:rFonts w:ascii="Calibri" w:hAnsi="Calibri" w:cs="Calibri"/>
              </w:rPr>
            </w:pPr>
            <w:r w:rsidRPr="009D65AA">
              <w:rPr>
                <w:rFonts w:ascii="Calibri" w:hAnsi="Calibri" w:cs="Calibri"/>
              </w:rPr>
              <w:t xml:space="preserve">253 - Peatland restoration target and budget. </w:t>
            </w:r>
          </w:p>
        </w:tc>
        <w:tc>
          <w:tcPr>
            <w:tcW w:w="1985" w:type="dxa"/>
            <w:hideMark/>
          </w:tcPr>
          <w:p w14:paraId="4215DDA5" w14:textId="77777777" w:rsidR="009D65AA" w:rsidRPr="009D65AA" w:rsidRDefault="009D65AA">
            <w:pPr>
              <w:rPr>
                <w:rFonts w:ascii="Calibri" w:hAnsi="Calibri" w:cs="Calibri"/>
              </w:rPr>
            </w:pPr>
            <w:r w:rsidRPr="009D65AA">
              <w:rPr>
                <w:rFonts w:ascii="Calibri" w:hAnsi="Calibri" w:cs="Calibri"/>
              </w:rPr>
              <w:t>As a result of the immature and complex operating environment, there is a risk to: meeting the annual Peatland ACTION restoration hectare target; and spending the annual budget.</w:t>
            </w:r>
          </w:p>
        </w:tc>
        <w:tc>
          <w:tcPr>
            <w:tcW w:w="2835" w:type="dxa"/>
            <w:hideMark/>
          </w:tcPr>
          <w:p w14:paraId="5BE4ED7D" w14:textId="306335AA" w:rsidR="009D65AA" w:rsidRPr="009D65AA" w:rsidRDefault="009D65AA" w:rsidP="009D65AA">
            <w:pPr>
              <w:rPr>
                <w:rFonts w:ascii="Calibri" w:hAnsi="Calibri" w:cs="Calibri"/>
              </w:rPr>
            </w:pPr>
            <w:r>
              <w:rPr>
                <w:rFonts w:ascii="Calibri" w:hAnsi="Calibri" w:cs="Calibri"/>
              </w:rPr>
              <w:t>• Realistic planning</w:t>
            </w:r>
            <w:r w:rsidRPr="009D65AA">
              <w:rPr>
                <w:rFonts w:ascii="Calibri" w:hAnsi="Calibri" w:cs="Calibri"/>
              </w:rPr>
              <w:br/>
              <w:t>• Invigorating</w:t>
            </w:r>
            <w:r>
              <w:rPr>
                <w:rFonts w:ascii="Calibri" w:hAnsi="Calibri" w:cs="Calibri"/>
              </w:rPr>
              <w:t xml:space="preserve"> demand</w:t>
            </w:r>
            <w:r>
              <w:rPr>
                <w:rFonts w:ascii="Calibri" w:hAnsi="Calibri" w:cs="Calibri"/>
              </w:rPr>
              <w:br/>
              <w:t>• Real-time monitoring</w:t>
            </w:r>
            <w:r w:rsidRPr="009D65AA">
              <w:rPr>
                <w:rFonts w:ascii="Calibri" w:hAnsi="Calibri" w:cs="Calibri"/>
              </w:rPr>
              <w:br/>
              <w:t>• Increasing resi</w:t>
            </w:r>
            <w:r>
              <w:rPr>
                <w:rFonts w:ascii="Calibri" w:hAnsi="Calibri" w:cs="Calibri"/>
              </w:rPr>
              <w:t>lience to change in projections</w:t>
            </w:r>
            <w:r w:rsidRPr="009D65AA">
              <w:rPr>
                <w:rFonts w:ascii="Calibri" w:hAnsi="Calibri" w:cs="Calibri"/>
              </w:rPr>
              <w:br/>
              <w:t>• Regular and robust review and control</w:t>
            </w:r>
          </w:p>
        </w:tc>
        <w:tc>
          <w:tcPr>
            <w:tcW w:w="992" w:type="dxa"/>
            <w:noWrap/>
            <w:hideMark/>
          </w:tcPr>
          <w:p w14:paraId="7877B97C" w14:textId="77777777" w:rsidR="009D65AA" w:rsidRPr="009D65AA" w:rsidRDefault="009D65AA" w:rsidP="009D65AA">
            <w:pPr>
              <w:jc w:val="center"/>
              <w:rPr>
                <w:rFonts w:ascii="Calibri" w:hAnsi="Calibri" w:cs="Calibri"/>
              </w:rPr>
            </w:pPr>
            <w:r w:rsidRPr="009D65AA">
              <w:rPr>
                <w:rFonts w:ascii="Calibri" w:hAnsi="Calibri" w:cs="Calibri"/>
              </w:rPr>
              <w:t>4</w:t>
            </w:r>
          </w:p>
        </w:tc>
        <w:tc>
          <w:tcPr>
            <w:tcW w:w="851" w:type="dxa"/>
            <w:noWrap/>
            <w:hideMark/>
          </w:tcPr>
          <w:p w14:paraId="2413CB86" w14:textId="77777777" w:rsidR="009D65AA" w:rsidRPr="009D65AA" w:rsidRDefault="009D65AA" w:rsidP="009D65AA">
            <w:pPr>
              <w:jc w:val="center"/>
              <w:rPr>
                <w:rFonts w:ascii="Calibri" w:hAnsi="Calibri" w:cs="Calibri"/>
              </w:rPr>
            </w:pPr>
            <w:r w:rsidRPr="009D65AA">
              <w:rPr>
                <w:rFonts w:ascii="Calibri" w:hAnsi="Calibri" w:cs="Calibri"/>
              </w:rPr>
              <w:t>4</w:t>
            </w:r>
          </w:p>
        </w:tc>
        <w:tc>
          <w:tcPr>
            <w:tcW w:w="850" w:type="dxa"/>
            <w:shd w:val="clear" w:color="auto" w:fill="E76565"/>
            <w:noWrap/>
            <w:hideMark/>
          </w:tcPr>
          <w:p w14:paraId="2673A8BA" w14:textId="77777777" w:rsidR="009D65AA" w:rsidRPr="009D65AA" w:rsidRDefault="009D65AA">
            <w:pPr>
              <w:rPr>
                <w:rFonts w:ascii="Calibri" w:hAnsi="Calibri" w:cs="Calibri"/>
                <w:b/>
                <w:bCs/>
              </w:rPr>
            </w:pPr>
            <w:r w:rsidRPr="009D65AA">
              <w:rPr>
                <w:rFonts w:ascii="Calibri" w:hAnsi="Calibri" w:cs="Calibri"/>
                <w:b/>
                <w:bCs/>
              </w:rPr>
              <w:t>High</w:t>
            </w:r>
          </w:p>
        </w:tc>
        <w:tc>
          <w:tcPr>
            <w:tcW w:w="6662" w:type="dxa"/>
            <w:hideMark/>
          </w:tcPr>
          <w:p w14:paraId="3E1CA144" w14:textId="77777777" w:rsidR="009D65AA" w:rsidRPr="009D65AA" w:rsidRDefault="009D65AA">
            <w:pPr>
              <w:rPr>
                <w:rFonts w:ascii="Calibri" w:hAnsi="Calibri" w:cs="Calibri"/>
              </w:rPr>
            </w:pPr>
            <w:r w:rsidRPr="009D65AA">
              <w:rPr>
                <w:rFonts w:ascii="Calibri" w:hAnsi="Calibri" w:cs="Calibri"/>
              </w:rPr>
              <w:t xml:space="preserve">The likelihood of the risk remains 4 (high) and we have advised the Scottish Government that our outturn is likely to be around 5,900 hectares. Whilst we have a pipeline of almost 10,000 ha, and there has been progress on the speed of PDR prior-notification process and operating in the bird breeding season, there is an ongoing risk of not meeting the hectare target because of a combination of over-ambition; limited contractor capacity and potential applicants holding back pending clarity on agriculture/land reform and Peatland Code verification/carbon markets. This has an implication on the capital element of the budget. There is less risk on the resource budget due to: - more rigorous programme/business planning; - expanded staff capacity. Thus, the focus of our controls are on: 2. Invigorating demand. We are targeted promotion through the key stakeholder representative bodies; explaining the multiple benefits of restoration, the open application system and the scope for multi-year offers. We are also developing a new grant for coordinating delivery of large scale restoration projects. 3. Real-time monitoring - we are monitoring our pipeline of restoration projects - informed by grant application status and risk to delivery from project complexity; vulnerability to extreme weather conditions; and applicant/agent track record of delivery. We are holding regular site visits with contractors. 4. Increasing resilience to change in projections – we are overcommitting by 10%. 5. Regular and robust review and control - There is quarterly assessment of risk by the Peatland ACTION Governance Board, with a remit to provide assurance on the likelihood of risk and recommend [to the Programme Manager] additional controls to reduce the likelihood to 2. 6. Using new Guidance on operating during nesting season to allow risk based approach to operations during that period. In addition, our skills development work – through training, on site ‘training </w:t>
            </w:r>
            <w:proofErr w:type="gramStart"/>
            <w:r w:rsidRPr="009D65AA">
              <w:rPr>
                <w:rFonts w:ascii="Calibri" w:hAnsi="Calibri" w:cs="Calibri"/>
              </w:rPr>
              <w:t>plus’</w:t>
            </w:r>
            <w:proofErr w:type="gramEnd"/>
            <w:r w:rsidRPr="009D65AA">
              <w:rPr>
                <w:rFonts w:ascii="Calibri" w:hAnsi="Calibri" w:cs="Calibri"/>
              </w:rPr>
              <w:t>, pre-apprenticeship and publication of a Technical Compendium – is aiming to expand the contractor capacity.</w:t>
            </w:r>
          </w:p>
        </w:tc>
      </w:tr>
    </w:tbl>
    <w:tbl>
      <w:tblPr>
        <w:tblStyle w:val="TableGrid"/>
        <w:tblpPr w:leftFromText="180" w:rightFromText="180" w:vertAnchor="text" w:horzAnchor="margin" w:tblpX="-714" w:tblpY="54"/>
        <w:tblW w:w="15446" w:type="dxa"/>
        <w:tblLook w:val="04A0" w:firstRow="1" w:lastRow="0" w:firstColumn="1" w:lastColumn="0" w:noHBand="0" w:noVBand="1"/>
        <w:tblCaption w:val="Corporate Risk Table"/>
      </w:tblPr>
      <w:tblGrid>
        <w:gridCol w:w="1268"/>
        <w:gridCol w:w="2546"/>
        <w:gridCol w:w="4850"/>
        <w:gridCol w:w="1060"/>
        <w:gridCol w:w="993"/>
        <w:gridCol w:w="925"/>
        <w:gridCol w:w="3804"/>
      </w:tblGrid>
      <w:tr w:rsidR="005711BA" w:rsidRPr="005711BA" w14:paraId="259F36A9" w14:textId="77777777" w:rsidTr="0042261E">
        <w:trPr>
          <w:trHeight w:val="576"/>
          <w:tblHeader/>
        </w:trPr>
        <w:tc>
          <w:tcPr>
            <w:tcW w:w="1269" w:type="dxa"/>
            <w:shd w:val="clear" w:color="auto" w:fill="244061" w:themeFill="accent1" w:themeFillShade="80"/>
            <w:hideMark/>
          </w:tcPr>
          <w:p w14:paraId="64DB0B18" w14:textId="77777777" w:rsidR="005711BA" w:rsidRPr="005711BA" w:rsidRDefault="005711BA" w:rsidP="005711BA">
            <w:pPr>
              <w:rPr>
                <w:b/>
                <w:bCs/>
              </w:rPr>
            </w:pPr>
            <w:r w:rsidRPr="005711BA">
              <w:rPr>
                <w:b/>
                <w:bCs/>
              </w:rPr>
              <w:lastRenderedPageBreak/>
              <w:t>RISK TITLE</w:t>
            </w:r>
          </w:p>
        </w:tc>
        <w:tc>
          <w:tcPr>
            <w:tcW w:w="2554" w:type="dxa"/>
            <w:shd w:val="clear" w:color="auto" w:fill="244061" w:themeFill="accent1" w:themeFillShade="80"/>
            <w:hideMark/>
          </w:tcPr>
          <w:p w14:paraId="42457CCC" w14:textId="77777777" w:rsidR="005711BA" w:rsidRPr="005711BA" w:rsidRDefault="005711BA" w:rsidP="005711BA">
            <w:pPr>
              <w:rPr>
                <w:b/>
                <w:bCs/>
              </w:rPr>
            </w:pPr>
            <w:r w:rsidRPr="005711BA">
              <w:rPr>
                <w:b/>
                <w:bCs/>
              </w:rPr>
              <w:t>DESCRIPTION</w:t>
            </w:r>
          </w:p>
        </w:tc>
        <w:tc>
          <w:tcPr>
            <w:tcW w:w="4881" w:type="dxa"/>
            <w:shd w:val="clear" w:color="auto" w:fill="244061" w:themeFill="accent1" w:themeFillShade="80"/>
            <w:hideMark/>
          </w:tcPr>
          <w:p w14:paraId="7ED17938" w14:textId="77777777" w:rsidR="005711BA" w:rsidRPr="005711BA" w:rsidRDefault="005711BA" w:rsidP="005711BA">
            <w:pPr>
              <w:rPr>
                <w:b/>
                <w:bCs/>
              </w:rPr>
            </w:pPr>
            <w:r w:rsidRPr="005711BA">
              <w:rPr>
                <w:b/>
                <w:bCs/>
              </w:rPr>
              <w:t>CONTROLS</w:t>
            </w:r>
          </w:p>
        </w:tc>
        <w:tc>
          <w:tcPr>
            <w:tcW w:w="1060" w:type="dxa"/>
            <w:shd w:val="clear" w:color="auto" w:fill="244061" w:themeFill="accent1" w:themeFillShade="80"/>
            <w:noWrap/>
            <w:hideMark/>
          </w:tcPr>
          <w:p w14:paraId="452454C0" w14:textId="77777777" w:rsidR="005711BA" w:rsidRPr="005711BA" w:rsidRDefault="005711BA" w:rsidP="005711BA">
            <w:pPr>
              <w:rPr>
                <w:b/>
                <w:bCs/>
              </w:rPr>
            </w:pPr>
            <w:r w:rsidRPr="005711BA">
              <w:rPr>
                <w:b/>
                <w:bCs/>
              </w:rPr>
              <w:t>IMPACT</w:t>
            </w:r>
          </w:p>
        </w:tc>
        <w:tc>
          <w:tcPr>
            <w:tcW w:w="993" w:type="dxa"/>
            <w:shd w:val="clear" w:color="auto" w:fill="244061" w:themeFill="accent1" w:themeFillShade="80"/>
            <w:noWrap/>
            <w:hideMark/>
          </w:tcPr>
          <w:p w14:paraId="1DD429E3" w14:textId="77777777" w:rsidR="005711BA" w:rsidRPr="005711BA" w:rsidRDefault="005711BA" w:rsidP="005711BA">
            <w:pPr>
              <w:rPr>
                <w:b/>
                <w:bCs/>
              </w:rPr>
            </w:pPr>
            <w:r w:rsidRPr="005711BA">
              <w:rPr>
                <w:b/>
                <w:bCs/>
              </w:rPr>
              <w:t>LIKLE-HOOD</w:t>
            </w:r>
          </w:p>
        </w:tc>
        <w:tc>
          <w:tcPr>
            <w:tcW w:w="862" w:type="dxa"/>
            <w:shd w:val="clear" w:color="auto" w:fill="244061" w:themeFill="accent1" w:themeFillShade="80"/>
            <w:noWrap/>
            <w:hideMark/>
          </w:tcPr>
          <w:p w14:paraId="6F579EA9" w14:textId="77777777" w:rsidR="005711BA" w:rsidRPr="005711BA" w:rsidRDefault="005711BA" w:rsidP="005711BA">
            <w:pPr>
              <w:rPr>
                <w:b/>
                <w:bCs/>
              </w:rPr>
            </w:pPr>
            <w:r w:rsidRPr="005711BA">
              <w:rPr>
                <w:b/>
                <w:bCs/>
              </w:rPr>
              <w:t>RISK LEVEL</w:t>
            </w:r>
          </w:p>
        </w:tc>
        <w:tc>
          <w:tcPr>
            <w:tcW w:w="3827" w:type="dxa"/>
            <w:shd w:val="clear" w:color="auto" w:fill="244061" w:themeFill="accent1" w:themeFillShade="80"/>
            <w:hideMark/>
          </w:tcPr>
          <w:p w14:paraId="0F6EB840" w14:textId="77777777" w:rsidR="005711BA" w:rsidRPr="005711BA" w:rsidRDefault="005711BA" w:rsidP="005711BA">
            <w:pPr>
              <w:rPr>
                <w:b/>
                <w:bCs/>
              </w:rPr>
            </w:pPr>
            <w:r w:rsidRPr="005711BA">
              <w:rPr>
                <w:b/>
                <w:bCs/>
              </w:rPr>
              <w:t>COMMENTS</w:t>
            </w:r>
          </w:p>
        </w:tc>
      </w:tr>
      <w:tr w:rsidR="005711BA" w:rsidRPr="005711BA" w14:paraId="52DF005C" w14:textId="77777777" w:rsidTr="005711BA">
        <w:trPr>
          <w:trHeight w:val="1408"/>
        </w:trPr>
        <w:tc>
          <w:tcPr>
            <w:tcW w:w="1269" w:type="dxa"/>
            <w:hideMark/>
          </w:tcPr>
          <w:p w14:paraId="6800A8D7" w14:textId="21E5DC13" w:rsidR="005711BA" w:rsidRPr="005711BA" w:rsidRDefault="005711BA" w:rsidP="005711BA">
            <w:pPr>
              <w:rPr>
                <w:rFonts w:ascii="Calibri" w:hAnsi="Calibri" w:cs="Calibri"/>
              </w:rPr>
            </w:pPr>
            <w:r w:rsidRPr="005711BA">
              <w:rPr>
                <w:rFonts w:ascii="Calibri" w:hAnsi="Calibri" w:cs="Calibri"/>
              </w:rPr>
              <w:t>393 - Future Funding of NatureScot</w:t>
            </w:r>
          </w:p>
        </w:tc>
        <w:tc>
          <w:tcPr>
            <w:tcW w:w="2554" w:type="dxa"/>
            <w:hideMark/>
          </w:tcPr>
          <w:p w14:paraId="7C5A29D3" w14:textId="77777777" w:rsidR="005711BA" w:rsidRPr="005711BA" w:rsidRDefault="005711BA" w:rsidP="005711BA">
            <w:pPr>
              <w:rPr>
                <w:rFonts w:ascii="Calibri" w:hAnsi="Calibri" w:cs="Calibri"/>
              </w:rPr>
            </w:pPr>
            <w:r w:rsidRPr="005711BA">
              <w:rPr>
                <w:rFonts w:ascii="Calibri" w:hAnsi="Calibri" w:cs="Calibri"/>
              </w:rPr>
              <w:t>As a result of on-going reductions in public expenditure there is a risk we may receive significant reductions in our grant-in-aid settlement.  Unless other funding sources are secured this could result in an inability to adequately resource delivery of agreed priorities, leading to failed outcomes and reputational damage.</w:t>
            </w:r>
            <w:r w:rsidRPr="005711BA">
              <w:rPr>
                <w:rFonts w:ascii="Calibri" w:hAnsi="Calibri" w:cs="Calibri"/>
              </w:rPr>
              <w:br/>
            </w:r>
            <w:r w:rsidRPr="005711BA">
              <w:rPr>
                <w:rFonts w:ascii="Calibri" w:hAnsi="Calibri" w:cs="Calibri"/>
              </w:rPr>
              <w:br/>
            </w:r>
          </w:p>
        </w:tc>
        <w:tc>
          <w:tcPr>
            <w:tcW w:w="4881" w:type="dxa"/>
            <w:hideMark/>
          </w:tcPr>
          <w:p w14:paraId="2A038F2C" w14:textId="382C4168" w:rsidR="005711BA" w:rsidRPr="005711BA" w:rsidRDefault="005711BA" w:rsidP="005711BA">
            <w:pPr>
              <w:rPr>
                <w:rFonts w:ascii="Calibri" w:hAnsi="Calibri" w:cs="Calibri"/>
              </w:rPr>
            </w:pPr>
            <w:r w:rsidRPr="005711BA">
              <w:rPr>
                <w:rFonts w:ascii="Calibri" w:hAnsi="Calibri" w:cs="Calibri"/>
              </w:rPr>
              <w:t>* Ensure that our priorities are aligned with published Programmes for Government and ministerial portfolio priorities, specifically those aligned to the Programme for Gove</w:t>
            </w:r>
            <w:r>
              <w:rPr>
                <w:rFonts w:ascii="Calibri" w:hAnsi="Calibri" w:cs="Calibri"/>
              </w:rPr>
              <w:t>rnment and Bute House Agreement</w:t>
            </w:r>
            <w:r w:rsidRPr="005711BA">
              <w:rPr>
                <w:rFonts w:ascii="Calibri" w:hAnsi="Calibri" w:cs="Calibri"/>
              </w:rPr>
              <w:br/>
              <w:t xml:space="preserve">* Provide realistic and evidenced assessment of the impact of possible cuts in our grant-in-aid budget through the </w:t>
            </w:r>
            <w:r>
              <w:rPr>
                <w:rFonts w:ascii="Calibri" w:hAnsi="Calibri" w:cs="Calibri"/>
              </w:rPr>
              <w:t>annual Spending Review process.</w:t>
            </w:r>
            <w:r w:rsidRPr="005711BA">
              <w:rPr>
                <w:rFonts w:ascii="Calibri" w:hAnsi="Calibri" w:cs="Calibri"/>
              </w:rPr>
              <w:br/>
              <w:t>* Develop and put forward proposals, through the annual Spending Review process and other avenues with Scottish Government, for delivering more and better outcomes for nature and people through wide</w:t>
            </w:r>
            <w:r>
              <w:rPr>
                <w:rFonts w:ascii="Calibri" w:hAnsi="Calibri" w:cs="Calibri"/>
              </w:rPr>
              <w:t xml:space="preserve">r Scottish Government funding. </w:t>
            </w:r>
            <w:r w:rsidRPr="005711BA">
              <w:rPr>
                <w:rFonts w:ascii="Calibri" w:hAnsi="Calibri" w:cs="Calibri"/>
              </w:rPr>
              <w:br/>
              <w:t>*Reduce expenditure in some business areas through budget setting processes alig</w:t>
            </w:r>
            <w:r>
              <w:rPr>
                <w:rFonts w:ascii="Calibri" w:hAnsi="Calibri" w:cs="Calibri"/>
              </w:rPr>
              <w:t>ned to business planning cycle.</w:t>
            </w:r>
            <w:r w:rsidRPr="005711BA">
              <w:rPr>
                <w:rFonts w:ascii="Calibri" w:hAnsi="Calibri" w:cs="Calibri"/>
              </w:rPr>
              <w:br/>
              <w:t>* Have an effective communications strategy in place which promot</w:t>
            </w:r>
            <w:r>
              <w:rPr>
                <w:rFonts w:ascii="Calibri" w:hAnsi="Calibri" w:cs="Calibri"/>
              </w:rPr>
              <w:t>es the added value of our work.</w:t>
            </w:r>
            <w:r w:rsidRPr="005711BA">
              <w:rPr>
                <w:rFonts w:ascii="Calibri" w:hAnsi="Calibri" w:cs="Calibri"/>
              </w:rPr>
              <w:br/>
              <w:t>* Identify and implement opportunities to generate incom</w:t>
            </w:r>
            <w:r>
              <w:rPr>
                <w:rFonts w:ascii="Calibri" w:hAnsi="Calibri" w:cs="Calibri"/>
              </w:rPr>
              <w:t>e from the services we provide.</w:t>
            </w:r>
            <w:r w:rsidRPr="005711BA">
              <w:rPr>
                <w:rFonts w:ascii="Calibri" w:hAnsi="Calibri" w:cs="Calibri"/>
              </w:rPr>
              <w:br/>
              <w:t xml:space="preserve">* Identify and implement opportunities for external funding of NatureScot-led work through the business planning process (including at Outcome and Activity levels) and at the project development stage </w:t>
            </w:r>
            <w:r>
              <w:rPr>
                <w:rFonts w:ascii="Calibri" w:hAnsi="Calibri" w:cs="Calibri"/>
              </w:rPr>
              <w:t>for significant scale projects.</w:t>
            </w:r>
            <w:r w:rsidRPr="005711BA">
              <w:rPr>
                <w:rFonts w:ascii="Calibri" w:hAnsi="Calibri" w:cs="Calibri"/>
              </w:rPr>
              <w:br/>
              <w:t xml:space="preserve">* Develop proposals for new, preventative projects that can help deliver a wider set of SG priorities, and build </w:t>
            </w:r>
            <w:r>
              <w:rPr>
                <w:rFonts w:ascii="Calibri" w:hAnsi="Calibri" w:cs="Calibri"/>
              </w:rPr>
              <w:t>awareness and support of these.</w:t>
            </w:r>
            <w:r w:rsidRPr="005711BA">
              <w:rPr>
                <w:rFonts w:ascii="Calibri" w:hAnsi="Calibri" w:cs="Calibri"/>
              </w:rPr>
              <w:br/>
              <w:t>* Develop and refresh a short, medium and longer term financial plan based on</w:t>
            </w:r>
            <w:r>
              <w:rPr>
                <w:rFonts w:ascii="Calibri" w:hAnsi="Calibri" w:cs="Calibri"/>
              </w:rPr>
              <w:t xml:space="preserve"> potential financial scenarios.</w:t>
            </w:r>
          </w:p>
        </w:tc>
        <w:tc>
          <w:tcPr>
            <w:tcW w:w="1060" w:type="dxa"/>
            <w:noWrap/>
            <w:hideMark/>
          </w:tcPr>
          <w:p w14:paraId="659846DA" w14:textId="77777777" w:rsidR="005711BA" w:rsidRPr="005711BA" w:rsidRDefault="005711BA" w:rsidP="005711BA">
            <w:pPr>
              <w:jc w:val="center"/>
            </w:pPr>
            <w:r w:rsidRPr="005711BA">
              <w:t>4</w:t>
            </w:r>
          </w:p>
        </w:tc>
        <w:tc>
          <w:tcPr>
            <w:tcW w:w="993" w:type="dxa"/>
            <w:noWrap/>
            <w:hideMark/>
          </w:tcPr>
          <w:p w14:paraId="1DE2F80F" w14:textId="77777777" w:rsidR="005711BA" w:rsidRPr="005711BA" w:rsidRDefault="005711BA" w:rsidP="005711BA">
            <w:pPr>
              <w:jc w:val="center"/>
            </w:pPr>
            <w:r w:rsidRPr="005711BA">
              <w:t>4</w:t>
            </w:r>
          </w:p>
        </w:tc>
        <w:tc>
          <w:tcPr>
            <w:tcW w:w="862" w:type="dxa"/>
            <w:shd w:val="clear" w:color="auto" w:fill="E76565"/>
            <w:noWrap/>
            <w:hideMark/>
          </w:tcPr>
          <w:p w14:paraId="27530947" w14:textId="77777777" w:rsidR="005711BA" w:rsidRPr="005711BA" w:rsidRDefault="005711BA" w:rsidP="005711BA">
            <w:pPr>
              <w:rPr>
                <w:b/>
                <w:bCs/>
              </w:rPr>
            </w:pPr>
            <w:r w:rsidRPr="005711BA">
              <w:rPr>
                <w:b/>
                <w:bCs/>
              </w:rPr>
              <w:t>High</w:t>
            </w:r>
          </w:p>
        </w:tc>
        <w:tc>
          <w:tcPr>
            <w:tcW w:w="3827" w:type="dxa"/>
            <w:hideMark/>
          </w:tcPr>
          <w:p w14:paraId="3797BA9E" w14:textId="77777777" w:rsidR="005711BA" w:rsidRPr="005711BA" w:rsidRDefault="005711BA" w:rsidP="005711BA">
            <w:pPr>
              <w:rPr>
                <w:rFonts w:ascii="Calibri" w:hAnsi="Calibri" w:cs="Calibri"/>
              </w:rPr>
            </w:pPr>
            <w:r w:rsidRPr="005711BA">
              <w:rPr>
                <w:rFonts w:ascii="Calibri" w:hAnsi="Calibri" w:cs="Calibri"/>
              </w:rPr>
              <w:t xml:space="preserve">Active engagement with Scottish Government continues this quarter with a scenarios paper submitted to Scottish Government. There is no additional funding flowing to support new commitments. In addition the cost of living crises is placing new pressure on </w:t>
            </w:r>
            <w:proofErr w:type="spellStart"/>
            <w:r w:rsidRPr="005711BA">
              <w:rPr>
                <w:rFonts w:ascii="Calibri" w:hAnsi="Calibri" w:cs="Calibri"/>
              </w:rPr>
              <w:t>paybill</w:t>
            </w:r>
            <w:proofErr w:type="spellEnd"/>
            <w:r w:rsidRPr="005711BA">
              <w:rPr>
                <w:rFonts w:ascii="Calibri" w:hAnsi="Calibri" w:cs="Calibri"/>
              </w:rPr>
              <w:t xml:space="preserve"> and purchasing power. Flat-cash at Portfolio level is the best outlook but at that, we will need to pace existing commitments. Discussions continue in that regard.</w:t>
            </w:r>
          </w:p>
        </w:tc>
      </w:tr>
    </w:tbl>
    <w:p w14:paraId="4E3A9CEC" w14:textId="0CBF97F3" w:rsidR="005711BA" w:rsidRDefault="005711BA" w:rsidP="001129E1"/>
    <w:tbl>
      <w:tblPr>
        <w:tblStyle w:val="TableGrid"/>
        <w:tblW w:w="15451" w:type="dxa"/>
        <w:tblInd w:w="-714" w:type="dxa"/>
        <w:tblLook w:val="04A0" w:firstRow="1" w:lastRow="0" w:firstColumn="1" w:lastColumn="0" w:noHBand="0" w:noVBand="1"/>
        <w:tblCaption w:val="Corporate Risk Table"/>
      </w:tblPr>
      <w:tblGrid>
        <w:gridCol w:w="1650"/>
        <w:gridCol w:w="2267"/>
        <w:gridCol w:w="3578"/>
        <w:gridCol w:w="1060"/>
        <w:gridCol w:w="925"/>
        <w:gridCol w:w="925"/>
        <w:gridCol w:w="5046"/>
      </w:tblGrid>
      <w:tr w:rsidR="002D0579" w:rsidRPr="005711BA" w14:paraId="1F648295" w14:textId="77777777" w:rsidTr="0042261E">
        <w:trPr>
          <w:trHeight w:val="576"/>
          <w:tblHeader/>
        </w:trPr>
        <w:tc>
          <w:tcPr>
            <w:tcW w:w="1650" w:type="dxa"/>
            <w:shd w:val="clear" w:color="auto" w:fill="244061" w:themeFill="accent1" w:themeFillShade="80"/>
            <w:hideMark/>
          </w:tcPr>
          <w:p w14:paraId="6B6E130A" w14:textId="77777777" w:rsidR="005711BA" w:rsidRPr="005711BA" w:rsidRDefault="005711BA" w:rsidP="005711BA">
            <w:pPr>
              <w:rPr>
                <w:b/>
                <w:bCs/>
              </w:rPr>
            </w:pPr>
            <w:r w:rsidRPr="005711BA">
              <w:rPr>
                <w:b/>
                <w:bCs/>
              </w:rPr>
              <w:t>RISK TITLE</w:t>
            </w:r>
          </w:p>
        </w:tc>
        <w:tc>
          <w:tcPr>
            <w:tcW w:w="2267" w:type="dxa"/>
            <w:shd w:val="clear" w:color="auto" w:fill="244061" w:themeFill="accent1" w:themeFillShade="80"/>
            <w:hideMark/>
          </w:tcPr>
          <w:p w14:paraId="78DD602A" w14:textId="77777777" w:rsidR="005711BA" w:rsidRPr="005711BA" w:rsidRDefault="005711BA" w:rsidP="005711BA">
            <w:pPr>
              <w:rPr>
                <w:b/>
                <w:bCs/>
              </w:rPr>
            </w:pPr>
            <w:r w:rsidRPr="005711BA">
              <w:rPr>
                <w:b/>
                <w:bCs/>
              </w:rPr>
              <w:t>DESCRIPTION</w:t>
            </w:r>
          </w:p>
        </w:tc>
        <w:tc>
          <w:tcPr>
            <w:tcW w:w="3578" w:type="dxa"/>
            <w:shd w:val="clear" w:color="auto" w:fill="244061" w:themeFill="accent1" w:themeFillShade="80"/>
            <w:hideMark/>
          </w:tcPr>
          <w:p w14:paraId="5FBF1D13" w14:textId="77777777" w:rsidR="005711BA" w:rsidRPr="005711BA" w:rsidRDefault="005711BA" w:rsidP="005711BA">
            <w:pPr>
              <w:rPr>
                <w:b/>
                <w:bCs/>
              </w:rPr>
            </w:pPr>
            <w:r w:rsidRPr="005711BA">
              <w:rPr>
                <w:b/>
                <w:bCs/>
              </w:rPr>
              <w:t>CONTROLS</w:t>
            </w:r>
          </w:p>
        </w:tc>
        <w:tc>
          <w:tcPr>
            <w:tcW w:w="1060" w:type="dxa"/>
            <w:shd w:val="clear" w:color="auto" w:fill="244061" w:themeFill="accent1" w:themeFillShade="80"/>
            <w:noWrap/>
            <w:hideMark/>
          </w:tcPr>
          <w:p w14:paraId="41CB3872" w14:textId="77777777" w:rsidR="005711BA" w:rsidRPr="005711BA" w:rsidRDefault="005711BA" w:rsidP="005711BA">
            <w:pPr>
              <w:rPr>
                <w:b/>
                <w:bCs/>
              </w:rPr>
            </w:pPr>
            <w:r w:rsidRPr="005711BA">
              <w:rPr>
                <w:b/>
                <w:bCs/>
              </w:rPr>
              <w:t>IMPACT</w:t>
            </w:r>
          </w:p>
        </w:tc>
        <w:tc>
          <w:tcPr>
            <w:tcW w:w="925" w:type="dxa"/>
            <w:shd w:val="clear" w:color="auto" w:fill="244061" w:themeFill="accent1" w:themeFillShade="80"/>
            <w:noWrap/>
            <w:hideMark/>
          </w:tcPr>
          <w:p w14:paraId="2C413F63" w14:textId="77777777" w:rsidR="005711BA" w:rsidRPr="005711BA" w:rsidRDefault="005711BA" w:rsidP="005711BA">
            <w:pPr>
              <w:rPr>
                <w:b/>
                <w:bCs/>
              </w:rPr>
            </w:pPr>
            <w:r w:rsidRPr="005711BA">
              <w:rPr>
                <w:b/>
                <w:bCs/>
              </w:rPr>
              <w:t>LIKLE-HOOD</w:t>
            </w:r>
          </w:p>
        </w:tc>
        <w:tc>
          <w:tcPr>
            <w:tcW w:w="925" w:type="dxa"/>
            <w:shd w:val="clear" w:color="auto" w:fill="244061" w:themeFill="accent1" w:themeFillShade="80"/>
            <w:noWrap/>
            <w:hideMark/>
          </w:tcPr>
          <w:p w14:paraId="5E2987DD" w14:textId="77777777" w:rsidR="005711BA" w:rsidRPr="005711BA" w:rsidRDefault="005711BA" w:rsidP="005711BA">
            <w:pPr>
              <w:rPr>
                <w:b/>
                <w:bCs/>
              </w:rPr>
            </w:pPr>
            <w:r w:rsidRPr="005711BA">
              <w:rPr>
                <w:b/>
                <w:bCs/>
              </w:rPr>
              <w:t>RISK LEVEL</w:t>
            </w:r>
          </w:p>
        </w:tc>
        <w:tc>
          <w:tcPr>
            <w:tcW w:w="5046" w:type="dxa"/>
            <w:shd w:val="clear" w:color="auto" w:fill="244061" w:themeFill="accent1" w:themeFillShade="80"/>
            <w:hideMark/>
          </w:tcPr>
          <w:p w14:paraId="7A4E0D63" w14:textId="77777777" w:rsidR="005711BA" w:rsidRPr="005711BA" w:rsidRDefault="005711BA">
            <w:pPr>
              <w:rPr>
                <w:b/>
                <w:bCs/>
              </w:rPr>
            </w:pPr>
            <w:r w:rsidRPr="005711BA">
              <w:rPr>
                <w:b/>
                <w:bCs/>
              </w:rPr>
              <w:t>COMMENTS</w:t>
            </w:r>
          </w:p>
        </w:tc>
      </w:tr>
      <w:tr w:rsidR="002D0579" w:rsidRPr="005711BA" w14:paraId="5EED7B2B" w14:textId="77777777" w:rsidTr="002D0579">
        <w:trPr>
          <w:trHeight w:val="841"/>
        </w:trPr>
        <w:tc>
          <w:tcPr>
            <w:tcW w:w="1650" w:type="dxa"/>
            <w:hideMark/>
          </w:tcPr>
          <w:p w14:paraId="6DF24C18" w14:textId="1A03A53B" w:rsidR="005711BA" w:rsidRPr="005711BA" w:rsidRDefault="005711BA">
            <w:pPr>
              <w:rPr>
                <w:rFonts w:ascii="Calibri" w:hAnsi="Calibri" w:cs="Calibri"/>
              </w:rPr>
            </w:pPr>
            <w:r>
              <w:rPr>
                <w:rFonts w:ascii="Calibri" w:hAnsi="Calibri" w:cs="Calibri"/>
              </w:rPr>
              <w:t xml:space="preserve">691 - </w:t>
            </w:r>
            <w:r w:rsidRPr="005711BA">
              <w:rPr>
                <w:rFonts w:ascii="Calibri" w:hAnsi="Calibri" w:cs="Calibri"/>
              </w:rPr>
              <w:t>Lack of support for Fusion Financial and Procurement Modules</w:t>
            </w:r>
          </w:p>
        </w:tc>
        <w:tc>
          <w:tcPr>
            <w:tcW w:w="2267" w:type="dxa"/>
            <w:hideMark/>
          </w:tcPr>
          <w:p w14:paraId="035E16E1" w14:textId="77777777" w:rsidR="005711BA" w:rsidRPr="005711BA" w:rsidRDefault="005711BA">
            <w:pPr>
              <w:rPr>
                <w:rFonts w:ascii="Calibri" w:hAnsi="Calibri" w:cs="Calibri"/>
              </w:rPr>
            </w:pPr>
            <w:r w:rsidRPr="005711BA">
              <w:rPr>
                <w:rFonts w:ascii="Calibri" w:hAnsi="Calibri" w:cs="Calibri"/>
              </w:rPr>
              <w:t xml:space="preserve">Due to the specialised nature of Oracle Fusion and the interface with </w:t>
            </w:r>
            <w:proofErr w:type="spellStart"/>
            <w:r w:rsidRPr="005711BA">
              <w:rPr>
                <w:rFonts w:ascii="Calibri" w:hAnsi="Calibri" w:cs="Calibri"/>
              </w:rPr>
              <w:t>NatureScot’s</w:t>
            </w:r>
            <w:proofErr w:type="spellEnd"/>
            <w:r w:rsidRPr="005711BA">
              <w:rPr>
                <w:rFonts w:ascii="Calibri" w:hAnsi="Calibri" w:cs="Calibri"/>
              </w:rPr>
              <w:t xml:space="preserve"> Business Planning System, as a result of key system support staff leaving the organisation, there is a risk that there will be insufficient knowledge and ability to operate key financial processes or to develop the system and reports.  This may result in an inability to adapt the system to changing business needs, reporting delays or to operational inefficiencies and payment challenges that could affect all users of the system.</w:t>
            </w:r>
          </w:p>
        </w:tc>
        <w:tc>
          <w:tcPr>
            <w:tcW w:w="3578" w:type="dxa"/>
            <w:hideMark/>
          </w:tcPr>
          <w:p w14:paraId="4BA0676A" w14:textId="58F5F366" w:rsidR="005711BA" w:rsidRPr="005711BA" w:rsidRDefault="005711BA" w:rsidP="005711BA">
            <w:pPr>
              <w:rPr>
                <w:rFonts w:ascii="Calibri" w:hAnsi="Calibri" w:cs="Calibri"/>
              </w:rPr>
            </w:pPr>
            <w:r w:rsidRPr="005711BA">
              <w:rPr>
                <w:rFonts w:ascii="Calibri" w:hAnsi="Calibri" w:cs="Calibri"/>
              </w:rPr>
              <w:t>- Engage in a shared service arrangement with other organisati</w:t>
            </w:r>
            <w:r w:rsidR="002D0579">
              <w:rPr>
                <w:rFonts w:ascii="Calibri" w:hAnsi="Calibri" w:cs="Calibri"/>
              </w:rPr>
              <w:t>ons using Fusion e.g. HES, SLAB</w:t>
            </w:r>
            <w:r w:rsidRPr="005711BA">
              <w:rPr>
                <w:rFonts w:ascii="Calibri" w:hAnsi="Calibri" w:cs="Calibri"/>
              </w:rPr>
              <w:br/>
              <w:t xml:space="preserve">- Make use of the support arrangement from </w:t>
            </w:r>
            <w:proofErr w:type="spellStart"/>
            <w:r w:rsidRPr="005711BA">
              <w:rPr>
                <w:rFonts w:ascii="Calibri" w:hAnsi="Calibri" w:cs="Calibri"/>
              </w:rPr>
              <w:t>Inoapps</w:t>
            </w:r>
            <w:proofErr w:type="spellEnd"/>
            <w:r w:rsidRPr="005711BA">
              <w:rPr>
                <w:rFonts w:ascii="Calibri" w:hAnsi="Calibri" w:cs="Calibri"/>
              </w:rPr>
              <w:t xml:space="preserve"> currently utilised by POD.  There may not be sufficient knowledge from </w:t>
            </w:r>
            <w:proofErr w:type="spellStart"/>
            <w:r w:rsidRPr="005711BA">
              <w:rPr>
                <w:rFonts w:ascii="Calibri" w:hAnsi="Calibri" w:cs="Calibri"/>
              </w:rPr>
              <w:t>Inoapps</w:t>
            </w:r>
            <w:proofErr w:type="spellEnd"/>
            <w:r w:rsidRPr="005711BA">
              <w:rPr>
                <w:rFonts w:ascii="Calibri" w:hAnsi="Calibri" w:cs="Calibri"/>
              </w:rPr>
              <w:t xml:space="preserve"> to initially support some fin</w:t>
            </w:r>
            <w:r w:rsidR="002D0579">
              <w:rPr>
                <w:rFonts w:ascii="Calibri" w:hAnsi="Calibri" w:cs="Calibri"/>
              </w:rPr>
              <w:t>ance and procurement processes.</w:t>
            </w:r>
            <w:r w:rsidRPr="005711BA">
              <w:rPr>
                <w:rFonts w:ascii="Calibri" w:hAnsi="Calibri" w:cs="Calibri"/>
              </w:rPr>
              <w:br/>
              <w:t>- Explore potential for a third party to provide level 2 support to assist tha</w:t>
            </w:r>
            <w:r w:rsidR="002D0579">
              <w:rPr>
                <w:rFonts w:ascii="Calibri" w:hAnsi="Calibri" w:cs="Calibri"/>
              </w:rPr>
              <w:t>t provided by NatureScot staff.</w:t>
            </w:r>
            <w:r w:rsidRPr="005711BA">
              <w:rPr>
                <w:rFonts w:ascii="Calibri" w:hAnsi="Calibri" w:cs="Calibri"/>
              </w:rPr>
              <w:br/>
              <w:t>- Recruit to the two vacan</w:t>
            </w:r>
            <w:r w:rsidR="002D0579">
              <w:rPr>
                <w:rFonts w:ascii="Calibri" w:hAnsi="Calibri" w:cs="Calibri"/>
              </w:rPr>
              <w:t>t functional analyst positions.</w:t>
            </w:r>
            <w:r w:rsidRPr="005711BA">
              <w:rPr>
                <w:rFonts w:ascii="Calibri" w:hAnsi="Calibri" w:cs="Calibri"/>
              </w:rPr>
              <w:br/>
              <w:t xml:space="preserve">- Recruit to the vacant Oracle </w:t>
            </w:r>
            <w:r w:rsidR="002D0579">
              <w:rPr>
                <w:rFonts w:ascii="Calibri" w:hAnsi="Calibri" w:cs="Calibri"/>
              </w:rPr>
              <w:t xml:space="preserve">Cloud Service Manager position </w:t>
            </w:r>
            <w:r w:rsidRPr="005711BA">
              <w:rPr>
                <w:rFonts w:ascii="Calibri" w:hAnsi="Calibri" w:cs="Calibri"/>
              </w:rPr>
              <w:br/>
              <w:t>- Draw on finance staff with an awareness of Fusion and the interface with Business Planning as well as the functional analysts who support the POD elements of Fusion, in order to support the finance elements of Fusion.  It should be noted that this will not provide all of the</w:t>
            </w:r>
            <w:r w:rsidR="002D0579">
              <w:rPr>
                <w:rFonts w:ascii="Calibri" w:hAnsi="Calibri" w:cs="Calibri"/>
              </w:rPr>
              <w:t xml:space="preserve"> specialist knowledge required.</w:t>
            </w:r>
            <w:r w:rsidRPr="005711BA">
              <w:rPr>
                <w:rFonts w:ascii="Calibri" w:hAnsi="Calibri" w:cs="Calibri"/>
              </w:rPr>
              <w:br/>
              <w:t xml:space="preserve">- Implement a networked team approach to involve staff from a wider group to share knowledge and provide resilience in future.  </w:t>
            </w:r>
          </w:p>
        </w:tc>
        <w:tc>
          <w:tcPr>
            <w:tcW w:w="1060" w:type="dxa"/>
            <w:noWrap/>
            <w:hideMark/>
          </w:tcPr>
          <w:p w14:paraId="63AC37C1" w14:textId="77777777" w:rsidR="005711BA" w:rsidRPr="005711BA" w:rsidRDefault="005711BA" w:rsidP="002D0579">
            <w:pPr>
              <w:jc w:val="center"/>
              <w:rPr>
                <w:rFonts w:ascii="Calibri" w:hAnsi="Calibri" w:cs="Calibri"/>
              </w:rPr>
            </w:pPr>
            <w:r w:rsidRPr="005711BA">
              <w:rPr>
                <w:rFonts w:ascii="Calibri" w:hAnsi="Calibri" w:cs="Calibri"/>
              </w:rPr>
              <w:t>4</w:t>
            </w:r>
          </w:p>
        </w:tc>
        <w:tc>
          <w:tcPr>
            <w:tcW w:w="925" w:type="dxa"/>
            <w:noWrap/>
            <w:hideMark/>
          </w:tcPr>
          <w:p w14:paraId="60E3D6AE" w14:textId="77777777" w:rsidR="005711BA" w:rsidRPr="005711BA" w:rsidRDefault="005711BA" w:rsidP="002D0579">
            <w:pPr>
              <w:jc w:val="center"/>
              <w:rPr>
                <w:rFonts w:ascii="Calibri" w:hAnsi="Calibri" w:cs="Calibri"/>
              </w:rPr>
            </w:pPr>
            <w:r w:rsidRPr="005711BA">
              <w:rPr>
                <w:rFonts w:ascii="Calibri" w:hAnsi="Calibri" w:cs="Calibri"/>
              </w:rPr>
              <w:t>4</w:t>
            </w:r>
          </w:p>
        </w:tc>
        <w:tc>
          <w:tcPr>
            <w:tcW w:w="925" w:type="dxa"/>
            <w:shd w:val="clear" w:color="auto" w:fill="E76565"/>
            <w:noWrap/>
            <w:hideMark/>
          </w:tcPr>
          <w:p w14:paraId="1FAFBCCF" w14:textId="77777777" w:rsidR="005711BA" w:rsidRPr="005711BA" w:rsidRDefault="005711BA">
            <w:pPr>
              <w:rPr>
                <w:rFonts w:ascii="Calibri" w:hAnsi="Calibri" w:cs="Calibri"/>
                <w:b/>
                <w:bCs/>
              </w:rPr>
            </w:pPr>
            <w:r w:rsidRPr="005711BA">
              <w:rPr>
                <w:rFonts w:ascii="Calibri" w:hAnsi="Calibri" w:cs="Calibri"/>
                <w:b/>
                <w:bCs/>
              </w:rPr>
              <w:t>High</w:t>
            </w:r>
          </w:p>
        </w:tc>
        <w:tc>
          <w:tcPr>
            <w:tcW w:w="5046" w:type="dxa"/>
            <w:hideMark/>
          </w:tcPr>
          <w:p w14:paraId="33EB24BF" w14:textId="77777777" w:rsidR="005711BA" w:rsidRPr="005711BA" w:rsidRDefault="005711BA">
            <w:pPr>
              <w:rPr>
                <w:rFonts w:ascii="Calibri" w:hAnsi="Calibri" w:cs="Calibri"/>
              </w:rPr>
            </w:pPr>
            <w:r w:rsidRPr="005711BA">
              <w:rPr>
                <w:rFonts w:ascii="Calibri" w:hAnsi="Calibri" w:cs="Calibri"/>
              </w:rPr>
              <w:t xml:space="preserve">Having been unsuccessful in an initial recruitment round for the functional analyst, this is to be </w:t>
            </w:r>
            <w:proofErr w:type="spellStart"/>
            <w:r w:rsidRPr="005711BA">
              <w:rPr>
                <w:rFonts w:ascii="Calibri" w:hAnsi="Calibri" w:cs="Calibri"/>
              </w:rPr>
              <w:t>readvertised</w:t>
            </w:r>
            <w:proofErr w:type="spellEnd"/>
            <w:r w:rsidRPr="005711BA">
              <w:rPr>
                <w:rFonts w:ascii="Calibri" w:hAnsi="Calibri" w:cs="Calibri"/>
              </w:rPr>
              <w:t xml:space="preserve">.  Recruitment for the Oracle Cloud Manager roles is currently live.  We have also confirmed with </w:t>
            </w:r>
            <w:proofErr w:type="spellStart"/>
            <w:r w:rsidRPr="005711BA">
              <w:rPr>
                <w:rFonts w:ascii="Calibri" w:hAnsi="Calibri" w:cs="Calibri"/>
              </w:rPr>
              <w:t>InoApps</w:t>
            </w:r>
            <w:proofErr w:type="spellEnd"/>
            <w:r w:rsidRPr="005711BA">
              <w:rPr>
                <w:rFonts w:ascii="Calibri" w:hAnsi="Calibri" w:cs="Calibri"/>
              </w:rPr>
              <w:t xml:space="preserve"> that support will be provided for FPP queries.  Work on the procurement tender document for Fusion support is progressing and will now explore the possibility of providing level 2 support to assist NatureScot staff while recruitment is underway and then the skills of staff developed.  If our recruitment efforts continue to be unsuccessful then we will revisit this model and potentially have to be more active in sourcing 3rd party assistance, which will come at a higher cost.</w:t>
            </w:r>
            <w:r w:rsidRPr="005711BA">
              <w:rPr>
                <w:rFonts w:ascii="Calibri" w:hAnsi="Calibri" w:cs="Calibri"/>
              </w:rPr>
              <w:br/>
            </w:r>
            <w:r w:rsidRPr="005711BA">
              <w:rPr>
                <w:rFonts w:ascii="Calibri" w:hAnsi="Calibri" w:cs="Calibri"/>
              </w:rPr>
              <w:br/>
              <w:t>The recent issues with Fusion would not have been resolved more speedily if the team was up to full complement.  However, they did highlight the need to have someone lead the relationship with Oracle.  A focus on this relationship and on managing the support for Fusion across both FPP and POD will be the main priorities for the new Oracle Cloud Service Manager before then moving on to new areas of development.  Exploring the potential for a shared service with fellow Fusion users in SG will also be advanced once the current recruitment and procurement activity eases.  This is likely to take some time to progress and will most likely focus initially on developing staff across the participants rather than immediately helping with resilience.</w:t>
            </w:r>
          </w:p>
        </w:tc>
      </w:tr>
    </w:tbl>
    <w:p w14:paraId="727EE678" w14:textId="77777777" w:rsidR="00E530DC" w:rsidRPr="001129E1" w:rsidRDefault="00E530DC" w:rsidP="002E50CA">
      <w:bookmarkStart w:id="1" w:name="_GoBack"/>
      <w:bookmarkEnd w:id="1"/>
    </w:p>
    <w:sectPr w:rsidR="00E530DC" w:rsidRPr="001129E1" w:rsidSect="0049693B">
      <w:pgSz w:w="16840" w:h="11907"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09D26" w14:textId="77777777" w:rsidR="00F94343" w:rsidRDefault="00F94343" w:rsidP="00081AEE">
      <w:r>
        <w:separator/>
      </w:r>
    </w:p>
  </w:endnote>
  <w:endnote w:type="continuationSeparator" w:id="0">
    <w:p w14:paraId="589C2E64" w14:textId="77777777" w:rsidR="00F94343" w:rsidRDefault="00F94343"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B6D94" w14:textId="77777777" w:rsidR="002D0579" w:rsidRDefault="002D0579" w:rsidP="000E0B5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B8F1C" w14:textId="77777777" w:rsidR="00F94343" w:rsidRDefault="00F94343" w:rsidP="00081AEE">
      <w:r>
        <w:separator/>
      </w:r>
    </w:p>
  </w:footnote>
  <w:footnote w:type="continuationSeparator" w:id="0">
    <w:p w14:paraId="1B095BC1" w14:textId="77777777" w:rsidR="00F94343" w:rsidRDefault="00F94343"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1F17E" w14:textId="07FBC5CD" w:rsidR="002D0579" w:rsidRPr="00C2207A" w:rsidRDefault="00C2207A" w:rsidP="00C2207A">
    <w:pPr>
      <w:pStyle w:val="Header"/>
      <w:jc w:val="right"/>
      <w:rPr>
        <w:rFonts w:ascii="Calibri" w:hAnsi="Calibri" w:cs="Calibri"/>
        <w:b/>
        <w:sz w:val="24"/>
        <w:szCs w:val="24"/>
      </w:rPr>
    </w:pPr>
    <w:r w:rsidRPr="00C2207A">
      <w:rPr>
        <w:rFonts w:ascii="Calibri" w:hAnsi="Calibri" w:cs="Calibri"/>
        <w:b/>
        <w:sz w:val="24"/>
        <w:szCs w:val="24"/>
      </w:rPr>
      <w:t>BOARD/202/08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FFA41" w14:textId="6D724115" w:rsidR="002D0579" w:rsidRDefault="002D0579" w:rsidP="00CC7C36">
    <w:pPr>
      <w:pStyle w:val="Header"/>
      <w:jc w:val="center"/>
    </w:pPr>
    <w:r w:rsidRPr="00E030AC">
      <w:rPr>
        <w:b/>
        <w:color w:val="FF0000"/>
      </w:rPr>
      <w:t>OFFICIAL - SENSITIVE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F1D3" w14:textId="77777777" w:rsidR="00C2207A" w:rsidRPr="00C2207A" w:rsidRDefault="00C2207A" w:rsidP="00C2207A">
    <w:pPr>
      <w:tabs>
        <w:tab w:val="center" w:pos="4513"/>
        <w:tab w:val="right" w:pos="9026"/>
      </w:tabs>
      <w:jc w:val="right"/>
      <w:rPr>
        <w:rFonts w:ascii="Calibri" w:hAnsi="Calibri" w:cs="Calibri"/>
        <w:b/>
        <w:sz w:val="24"/>
        <w:szCs w:val="24"/>
      </w:rPr>
    </w:pPr>
    <w:r w:rsidRPr="00C2207A">
      <w:rPr>
        <w:rFonts w:ascii="Calibri" w:hAnsi="Calibri" w:cs="Calibri"/>
        <w:b/>
        <w:sz w:val="24"/>
        <w:szCs w:val="24"/>
      </w:rPr>
      <w:t>BOARD/202/08</w:t>
    </w:r>
  </w:p>
  <w:p w14:paraId="435C83FB" w14:textId="598EBCE0" w:rsidR="002D0579" w:rsidRDefault="002D0579" w:rsidP="00CC7C3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E23483"/>
    <w:multiLevelType w:val="hybridMultilevel"/>
    <w:tmpl w:val="101A0CC8"/>
    <w:lvl w:ilvl="0" w:tplc="08090001">
      <w:start w:val="1"/>
      <w:numFmt w:val="bullet"/>
      <w:lvlText w:val=""/>
      <w:lvlJc w:val="left"/>
      <w:pPr>
        <w:ind w:left="720" w:hanging="360"/>
      </w:pPr>
      <w:rPr>
        <w:rFonts w:ascii="Symbol" w:hAnsi="Symbol" w:hint="default"/>
      </w:rPr>
    </w:lvl>
    <w:lvl w:ilvl="1" w:tplc="91A63402">
      <w:start w:val="1"/>
      <w:numFmt w:val="bullet"/>
      <w:lvlText w:val=""/>
      <w:lvlJc w:val="left"/>
      <w:pPr>
        <w:ind w:left="1440" w:hanging="360"/>
      </w:pPr>
      <w:rPr>
        <w:rFonts w:ascii="Symbol" w:hAnsi="Symbol" w:hint="default"/>
        <w:color w:val="auto"/>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353DD"/>
    <w:multiLevelType w:val="hybridMultilevel"/>
    <w:tmpl w:val="0FC2C7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13163"/>
    <w:multiLevelType w:val="hybridMultilevel"/>
    <w:tmpl w:val="57DE5ED6"/>
    <w:lvl w:ilvl="0" w:tplc="08090001">
      <w:start w:val="1"/>
      <w:numFmt w:val="bullet"/>
      <w:lvlText w:val=""/>
      <w:lvlJc w:val="left"/>
      <w:pPr>
        <w:ind w:left="360" w:hanging="360"/>
      </w:pPr>
      <w:rPr>
        <w:rFonts w:ascii="Symbol" w:hAnsi="Symbol" w:hint="default"/>
      </w:rPr>
    </w:lvl>
    <w:lvl w:ilvl="1" w:tplc="91A63402">
      <w:start w:val="1"/>
      <w:numFmt w:val="bullet"/>
      <w:lvlText w:val=""/>
      <w:lvlJc w:val="left"/>
      <w:pPr>
        <w:ind w:left="1440" w:hanging="360"/>
      </w:pPr>
      <w:rPr>
        <w:rFonts w:ascii="Symbol" w:hAnsi="Symbol" w:hint="default"/>
        <w:color w:val="auto"/>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C273E6"/>
    <w:multiLevelType w:val="hybridMultilevel"/>
    <w:tmpl w:val="1ADA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E7E7A"/>
    <w:multiLevelType w:val="hybridMultilevel"/>
    <w:tmpl w:val="C066BAB6"/>
    <w:lvl w:ilvl="0" w:tplc="64184E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04C55"/>
    <w:multiLevelType w:val="hybridMultilevel"/>
    <w:tmpl w:val="38E64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161056"/>
    <w:multiLevelType w:val="hybridMultilevel"/>
    <w:tmpl w:val="A72E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5A31F0"/>
    <w:multiLevelType w:val="hybridMultilevel"/>
    <w:tmpl w:val="E186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31EE1"/>
    <w:multiLevelType w:val="hybridMultilevel"/>
    <w:tmpl w:val="08702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CA4062"/>
    <w:multiLevelType w:val="hybridMultilevel"/>
    <w:tmpl w:val="68D6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A33D76"/>
    <w:multiLevelType w:val="hybridMultilevel"/>
    <w:tmpl w:val="C4428982"/>
    <w:lvl w:ilvl="0" w:tplc="0809000F">
      <w:start w:val="1"/>
      <w:numFmt w:val="decimal"/>
      <w:lvlText w:val="%1."/>
      <w:lvlJc w:val="left"/>
      <w:pPr>
        <w:ind w:left="360" w:hanging="360"/>
      </w:pPr>
    </w:lvl>
    <w:lvl w:ilvl="1" w:tplc="91A63402">
      <w:start w:val="1"/>
      <w:numFmt w:val="bullet"/>
      <w:lvlText w:val=""/>
      <w:lvlJc w:val="left"/>
      <w:pPr>
        <w:ind w:left="1080" w:hanging="360"/>
      </w:pPr>
      <w:rPr>
        <w:rFonts w:ascii="Symbol" w:hAnsi="Symbol" w:hint="default"/>
        <w:color w:val="auto"/>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7C6FFC"/>
    <w:multiLevelType w:val="hybridMultilevel"/>
    <w:tmpl w:val="E8CEE6B0"/>
    <w:lvl w:ilvl="0" w:tplc="A7B432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A47E52"/>
    <w:multiLevelType w:val="hybridMultilevel"/>
    <w:tmpl w:val="AECEA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804B2"/>
    <w:multiLevelType w:val="hybridMultilevel"/>
    <w:tmpl w:val="C4428982"/>
    <w:lvl w:ilvl="0" w:tplc="0809000F">
      <w:start w:val="1"/>
      <w:numFmt w:val="decimal"/>
      <w:lvlText w:val="%1."/>
      <w:lvlJc w:val="left"/>
      <w:pPr>
        <w:ind w:left="360" w:hanging="360"/>
      </w:pPr>
    </w:lvl>
    <w:lvl w:ilvl="1" w:tplc="91A63402">
      <w:start w:val="1"/>
      <w:numFmt w:val="bullet"/>
      <w:lvlText w:val=""/>
      <w:lvlJc w:val="left"/>
      <w:pPr>
        <w:ind w:left="1080" w:hanging="360"/>
      </w:pPr>
      <w:rPr>
        <w:rFonts w:ascii="Symbol" w:hAnsi="Symbol" w:hint="default"/>
        <w:color w:val="auto"/>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F820AF"/>
    <w:multiLevelType w:val="hybridMultilevel"/>
    <w:tmpl w:val="70B07A02"/>
    <w:lvl w:ilvl="0" w:tplc="08090001">
      <w:start w:val="1"/>
      <w:numFmt w:val="bullet"/>
      <w:lvlText w:val=""/>
      <w:lvlJc w:val="left"/>
      <w:pPr>
        <w:ind w:left="720" w:hanging="360"/>
      </w:pPr>
      <w:rPr>
        <w:rFonts w:ascii="Symbol" w:hAnsi="Symbol" w:hint="default"/>
      </w:rPr>
    </w:lvl>
    <w:lvl w:ilvl="1" w:tplc="91A63402">
      <w:start w:val="1"/>
      <w:numFmt w:val="bullet"/>
      <w:lvlText w:val=""/>
      <w:lvlJc w:val="left"/>
      <w:pPr>
        <w:ind w:left="1440" w:hanging="360"/>
      </w:pPr>
      <w:rPr>
        <w:rFonts w:ascii="Symbol" w:hAnsi="Symbol" w:hint="default"/>
        <w:color w:val="auto"/>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E066BB"/>
    <w:multiLevelType w:val="hybridMultilevel"/>
    <w:tmpl w:val="2EAE3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AA2601"/>
    <w:multiLevelType w:val="hybridMultilevel"/>
    <w:tmpl w:val="DB1A1714"/>
    <w:lvl w:ilvl="0" w:tplc="9F46DF2C">
      <w:start w:val="1"/>
      <w:numFmt w:val="decimal"/>
      <w:lvlText w:val="%1."/>
      <w:lvlJc w:val="left"/>
      <w:pPr>
        <w:ind w:left="360" w:hanging="360"/>
      </w:pPr>
      <w:rPr>
        <w:color w:val="auto"/>
      </w:rPr>
    </w:lvl>
    <w:lvl w:ilvl="1" w:tplc="91A63402">
      <w:start w:val="1"/>
      <w:numFmt w:val="bullet"/>
      <w:lvlText w:val=""/>
      <w:lvlJc w:val="left"/>
      <w:pPr>
        <w:ind w:left="643" w:hanging="360"/>
      </w:pPr>
      <w:rPr>
        <w:rFonts w:ascii="Symbol" w:hAnsi="Symbol" w:hint="default"/>
        <w:color w:val="auto"/>
        <w:sz w:val="24"/>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D5D4DB8"/>
    <w:multiLevelType w:val="hybridMultilevel"/>
    <w:tmpl w:val="5202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322DAD"/>
    <w:multiLevelType w:val="hybridMultilevel"/>
    <w:tmpl w:val="DFB27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B36476"/>
    <w:multiLevelType w:val="hybridMultilevel"/>
    <w:tmpl w:val="1D0CB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C1B6EB7"/>
    <w:multiLevelType w:val="hybridMultilevel"/>
    <w:tmpl w:val="6ADCE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4"/>
  </w:num>
  <w:num w:numId="4">
    <w:abstractNumId w:val="18"/>
  </w:num>
  <w:num w:numId="5">
    <w:abstractNumId w:val="23"/>
  </w:num>
  <w:num w:numId="6">
    <w:abstractNumId w:val="9"/>
  </w:num>
  <w:num w:numId="7">
    <w:abstractNumId w:val="2"/>
  </w:num>
  <w:num w:numId="8">
    <w:abstractNumId w:val="16"/>
  </w:num>
  <w:num w:numId="9">
    <w:abstractNumId w:val="1"/>
  </w:num>
  <w:num w:numId="10">
    <w:abstractNumId w:val="3"/>
  </w:num>
  <w:num w:numId="11">
    <w:abstractNumId w:val="17"/>
  </w:num>
  <w:num w:numId="12">
    <w:abstractNumId w:val="6"/>
  </w:num>
  <w:num w:numId="13">
    <w:abstractNumId w:val="8"/>
  </w:num>
  <w:num w:numId="14">
    <w:abstractNumId w:val="19"/>
  </w:num>
  <w:num w:numId="15">
    <w:abstractNumId w:val="5"/>
  </w:num>
  <w:num w:numId="16">
    <w:abstractNumId w:val="13"/>
  </w:num>
  <w:num w:numId="17">
    <w:abstractNumId w:val="15"/>
  </w:num>
  <w:num w:numId="18">
    <w:abstractNumId w:val="4"/>
  </w:num>
  <w:num w:numId="19">
    <w:abstractNumId w:val="21"/>
  </w:num>
  <w:num w:numId="20">
    <w:abstractNumId w:val="11"/>
  </w:num>
  <w:num w:numId="21">
    <w:abstractNumId w:val="10"/>
  </w:num>
  <w:num w:numId="22">
    <w:abstractNumId w:val="12"/>
  </w:num>
  <w:num w:numId="23">
    <w:abstractNumId w:val="22"/>
  </w:num>
  <w:num w:numId="24">
    <w:abstractNumId w:val="20"/>
  </w:num>
  <w:num w:numId="2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5E"/>
    <w:rsid w:val="000054D4"/>
    <w:rsid w:val="0000789E"/>
    <w:rsid w:val="000169C4"/>
    <w:rsid w:val="00024985"/>
    <w:rsid w:val="000255B0"/>
    <w:rsid w:val="00033D1B"/>
    <w:rsid w:val="00035417"/>
    <w:rsid w:val="00036936"/>
    <w:rsid w:val="00040336"/>
    <w:rsid w:val="0005092F"/>
    <w:rsid w:val="000553C1"/>
    <w:rsid w:val="00055F9E"/>
    <w:rsid w:val="00056C4E"/>
    <w:rsid w:val="00056E23"/>
    <w:rsid w:val="00060C6E"/>
    <w:rsid w:val="00062474"/>
    <w:rsid w:val="000635BA"/>
    <w:rsid w:val="00066343"/>
    <w:rsid w:val="00074CBA"/>
    <w:rsid w:val="00076CA4"/>
    <w:rsid w:val="000774DA"/>
    <w:rsid w:val="0008033A"/>
    <w:rsid w:val="00080817"/>
    <w:rsid w:val="00081AEE"/>
    <w:rsid w:val="00084DEE"/>
    <w:rsid w:val="000873A3"/>
    <w:rsid w:val="00087F40"/>
    <w:rsid w:val="000920A8"/>
    <w:rsid w:val="00095AAB"/>
    <w:rsid w:val="000A27A5"/>
    <w:rsid w:val="000A6B19"/>
    <w:rsid w:val="000B6D71"/>
    <w:rsid w:val="000C2277"/>
    <w:rsid w:val="000C6848"/>
    <w:rsid w:val="000C71A9"/>
    <w:rsid w:val="000D13FC"/>
    <w:rsid w:val="000D2C68"/>
    <w:rsid w:val="000D336E"/>
    <w:rsid w:val="000D496F"/>
    <w:rsid w:val="000D678E"/>
    <w:rsid w:val="000D6858"/>
    <w:rsid w:val="000D719B"/>
    <w:rsid w:val="000E0B5A"/>
    <w:rsid w:val="000E2DC6"/>
    <w:rsid w:val="000E62C1"/>
    <w:rsid w:val="000E7E23"/>
    <w:rsid w:val="000F2114"/>
    <w:rsid w:val="000F43FE"/>
    <w:rsid w:val="000F49BB"/>
    <w:rsid w:val="000F6E57"/>
    <w:rsid w:val="001044A7"/>
    <w:rsid w:val="001100DE"/>
    <w:rsid w:val="001129E1"/>
    <w:rsid w:val="001157A6"/>
    <w:rsid w:val="00120ED1"/>
    <w:rsid w:val="0012163A"/>
    <w:rsid w:val="00122E1C"/>
    <w:rsid w:val="00123F33"/>
    <w:rsid w:val="0012442C"/>
    <w:rsid w:val="00124A15"/>
    <w:rsid w:val="00131557"/>
    <w:rsid w:val="001418B8"/>
    <w:rsid w:val="00143C55"/>
    <w:rsid w:val="001455A5"/>
    <w:rsid w:val="0014781B"/>
    <w:rsid w:val="00147858"/>
    <w:rsid w:val="00153FB4"/>
    <w:rsid w:val="00163493"/>
    <w:rsid w:val="00165C21"/>
    <w:rsid w:val="001669D7"/>
    <w:rsid w:val="001703D8"/>
    <w:rsid w:val="00171082"/>
    <w:rsid w:val="00184D87"/>
    <w:rsid w:val="001871FE"/>
    <w:rsid w:val="0019448C"/>
    <w:rsid w:val="00195283"/>
    <w:rsid w:val="001975DA"/>
    <w:rsid w:val="001A0C6C"/>
    <w:rsid w:val="001A132A"/>
    <w:rsid w:val="001A3583"/>
    <w:rsid w:val="001A3B73"/>
    <w:rsid w:val="001A780F"/>
    <w:rsid w:val="001B45F9"/>
    <w:rsid w:val="001C07BE"/>
    <w:rsid w:val="001C547B"/>
    <w:rsid w:val="001C60DD"/>
    <w:rsid w:val="001C6243"/>
    <w:rsid w:val="001D0D7C"/>
    <w:rsid w:val="001D6103"/>
    <w:rsid w:val="001D66FE"/>
    <w:rsid w:val="001E100D"/>
    <w:rsid w:val="001E1C5C"/>
    <w:rsid w:val="001E64E9"/>
    <w:rsid w:val="001F13D5"/>
    <w:rsid w:val="001F146C"/>
    <w:rsid w:val="001F4A5A"/>
    <w:rsid w:val="001F6F65"/>
    <w:rsid w:val="001F7F3F"/>
    <w:rsid w:val="002049C8"/>
    <w:rsid w:val="002056C3"/>
    <w:rsid w:val="00210304"/>
    <w:rsid w:val="002157B9"/>
    <w:rsid w:val="002213D8"/>
    <w:rsid w:val="00223D9C"/>
    <w:rsid w:val="00223F89"/>
    <w:rsid w:val="002250DF"/>
    <w:rsid w:val="00232FCB"/>
    <w:rsid w:val="002336D3"/>
    <w:rsid w:val="0024247C"/>
    <w:rsid w:val="00244B79"/>
    <w:rsid w:val="00247BF0"/>
    <w:rsid w:val="0025390E"/>
    <w:rsid w:val="00267BA9"/>
    <w:rsid w:val="0027660F"/>
    <w:rsid w:val="00283F8D"/>
    <w:rsid w:val="00286C7A"/>
    <w:rsid w:val="002930C7"/>
    <w:rsid w:val="002979EE"/>
    <w:rsid w:val="002A1CC0"/>
    <w:rsid w:val="002A1FFB"/>
    <w:rsid w:val="002A2E98"/>
    <w:rsid w:val="002A43F7"/>
    <w:rsid w:val="002A45B4"/>
    <w:rsid w:val="002A5D6D"/>
    <w:rsid w:val="002A6ABC"/>
    <w:rsid w:val="002A7E87"/>
    <w:rsid w:val="002B01A3"/>
    <w:rsid w:val="002B0C5D"/>
    <w:rsid w:val="002B3833"/>
    <w:rsid w:val="002C01B8"/>
    <w:rsid w:val="002C0D29"/>
    <w:rsid w:val="002C1A66"/>
    <w:rsid w:val="002C66CD"/>
    <w:rsid w:val="002C6C5B"/>
    <w:rsid w:val="002D0579"/>
    <w:rsid w:val="002D4357"/>
    <w:rsid w:val="002D5065"/>
    <w:rsid w:val="002E50CA"/>
    <w:rsid w:val="002F23BF"/>
    <w:rsid w:val="002F2B19"/>
    <w:rsid w:val="00301619"/>
    <w:rsid w:val="00303082"/>
    <w:rsid w:val="003039E9"/>
    <w:rsid w:val="003077F8"/>
    <w:rsid w:val="00316A40"/>
    <w:rsid w:val="003171C4"/>
    <w:rsid w:val="00325D1E"/>
    <w:rsid w:val="003438F3"/>
    <w:rsid w:val="00344362"/>
    <w:rsid w:val="003450A7"/>
    <w:rsid w:val="003509BE"/>
    <w:rsid w:val="00351C16"/>
    <w:rsid w:val="003527D4"/>
    <w:rsid w:val="003552C7"/>
    <w:rsid w:val="0035596A"/>
    <w:rsid w:val="0036045F"/>
    <w:rsid w:val="00361FD4"/>
    <w:rsid w:val="00365782"/>
    <w:rsid w:val="00371E4F"/>
    <w:rsid w:val="00373733"/>
    <w:rsid w:val="003758B5"/>
    <w:rsid w:val="00376A91"/>
    <w:rsid w:val="00382D12"/>
    <w:rsid w:val="0038660A"/>
    <w:rsid w:val="00390F7A"/>
    <w:rsid w:val="00393C96"/>
    <w:rsid w:val="003A166C"/>
    <w:rsid w:val="003A180E"/>
    <w:rsid w:val="003A2ECD"/>
    <w:rsid w:val="003A4BCC"/>
    <w:rsid w:val="003A58C6"/>
    <w:rsid w:val="003A5DA5"/>
    <w:rsid w:val="003A7586"/>
    <w:rsid w:val="003C00E2"/>
    <w:rsid w:val="003C2CFB"/>
    <w:rsid w:val="003C3A3E"/>
    <w:rsid w:val="003D1CEA"/>
    <w:rsid w:val="003D306D"/>
    <w:rsid w:val="003D5BD3"/>
    <w:rsid w:val="003E0F72"/>
    <w:rsid w:val="003E1F97"/>
    <w:rsid w:val="003F0825"/>
    <w:rsid w:val="003F0925"/>
    <w:rsid w:val="003F1D96"/>
    <w:rsid w:val="003F4206"/>
    <w:rsid w:val="003F4825"/>
    <w:rsid w:val="003F5DAF"/>
    <w:rsid w:val="003F6E35"/>
    <w:rsid w:val="00402171"/>
    <w:rsid w:val="0041057D"/>
    <w:rsid w:val="004122E1"/>
    <w:rsid w:val="00416B1E"/>
    <w:rsid w:val="004206E4"/>
    <w:rsid w:val="00420FA0"/>
    <w:rsid w:val="0042261E"/>
    <w:rsid w:val="0042370B"/>
    <w:rsid w:val="00423B62"/>
    <w:rsid w:val="00430C68"/>
    <w:rsid w:val="00437CE1"/>
    <w:rsid w:val="0044049F"/>
    <w:rsid w:val="004413E0"/>
    <w:rsid w:val="004439F4"/>
    <w:rsid w:val="00443FC1"/>
    <w:rsid w:val="00444F8B"/>
    <w:rsid w:val="004471E2"/>
    <w:rsid w:val="00450A7C"/>
    <w:rsid w:val="00460251"/>
    <w:rsid w:val="00462FFC"/>
    <w:rsid w:val="00470FA2"/>
    <w:rsid w:val="00473577"/>
    <w:rsid w:val="00474043"/>
    <w:rsid w:val="00475CBF"/>
    <w:rsid w:val="00480CB2"/>
    <w:rsid w:val="004813C4"/>
    <w:rsid w:val="004862BA"/>
    <w:rsid w:val="00486490"/>
    <w:rsid w:val="00487A19"/>
    <w:rsid w:val="0049693B"/>
    <w:rsid w:val="004A32F0"/>
    <w:rsid w:val="004A3395"/>
    <w:rsid w:val="004A38C6"/>
    <w:rsid w:val="004C5118"/>
    <w:rsid w:val="004C52EF"/>
    <w:rsid w:val="004C7C14"/>
    <w:rsid w:val="004D0366"/>
    <w:rsid w:val="004D18D9"/>
    <w:rsid w:val="004D3EAA"/>
    <w:rsid w:val="004D4FE3"/>
    <w:rsid w:val="004D5D56"/>
    <w:rsid w:val="004E14B2"/>
    <w:rsid w:val="004E6ADB"/>
    <w:rsid w:val="004E6FCA"/>
    <w:rsid w:val="004E748B"/>
    <w:rsid w:val="004F1021"/>
    <w:rsid w:val="004F2095"/>
    <w:rsid w:val="00503719"/>
    <w:rsid w:val="00515503"/>
    <w:rsid w:val="00517485"/>
    <w:rsid w:val="00531430"/>
    <w:rsid w:val="00533390"/>
    <w:rsid w:val="0053546B"/>
    <w:rsid w:val="005409E6"/>
    <w:rsid w:val="00541C9B"/>
    <w:rsid w:val="0054292E"/>
    <w:rsid w:val="00546813"/>
    <w:rsid w:val="00553485"/>
    <w:rsid w:val="00553DFF"/>
    <w:rsid w:val="00555B99"/>
    <w:rsid w:val="00560E81"/>
    <w:rsid w:val="005657B3"/>
    <w:rsid w:val="00566B6C"/>
    <w:rsid w:val="0057071B"/>
    <w:rsid w:val="005711BA"/>
    <w:rsid w:val="00572800"/>
    <w:rsid w:val="005775A9"/>
    <w:rsid w:val="005777E4"/>
    <w:rsid w:val="005868E9"/>
    <w:rsid w:val="005946E6"/>
    <w:rsid w:val="0059486F"/>
    <w:rsid w:val="00595367"/>
    <w:rsid w:val="005977EB"/>
    <w:rsid w:val="005A5ACD"/>
    <w:rsid w:val="005A66B3"/>
    <w:rsid w:val="005B1453"/>
    <w:rsid w:val="005B5C30"/>
    <w:rsid w:val="005C7CE8"/>
    <w:rsid w:val="005D003E"/>
    <w:rsid w:val="005D3768"/>
    <w:rsid w:val="005D3E47"/>
    <w:rsid w:val="005D5E2D"/>
    <w:rsid w:val="005D6816"/>
    <w:rsid w:val="005D7258"/>
    <w:rsid w:val="005E7838"/>
    <w:rsid w:val="005F2163"/>
    <w:rsid w:val="005F283A"/>
    <w:rsid w:val="005F425F"/>
    <w:rsid w:val="005F4D35"/>
    <w:rsid w:val="005F4D66"/>
    <w:rsid w:val="006001B3"/>
    <w:rsid w:val="006016B6"/>
    <w:rsid w:val="006167CE"/>
    <w:rsid w:val="00616E5C"/>
    <w:rsid w:val="0062583C"/>
    <w:rsid w:val="00625D4B"/>
    <w:rsid w:val="00627D12"/>
    <w:rsid w:val="00637F91"/>
    <w:rsid w:val="006402ED"/>
    <w:rsid w:val="006428DC"/>
    <w:rsid w:val="00643B91"/>
    <w:rsid w:val="00644AA9"/>
    <w:rsid w:val="006554F6"/>
    <w:rsid w:val="006639CD"/>
    <w:rsid w:val="00670598"/>
    <w:rsid w:val="00670ABC"/>
    <w:rsid w:val="006753F9"/>
    <w:rsid w:val="00675CEE"/>
    <w:rsid w:val="00675DB4"/>
    <w:rsid w:val="00680988"/>
    <w:rsid w:val="00686FAA"/>
    <w:rsid w:val="00687EE7"/>
    <w:rsid w:val="00692D96"/>
    <w:rsid w:val="00694128"/>
    <w:rsid w:val="00695C72"/>
    <w:rsid w:val="006A0B90"/>
    <w:rsid w:val="006A2AB3"/>
    <w:rsid w:val="006A6B1E"/>
    <w:rsid w:val="006B0083"/>
    <w:rsid w:val="006B282E"/>
    <w:rsid w:val="006B2C59"/>
    <w:rsid w:val="006B2FAE"/>
    <w:rsid w:val="006B6A7D"/>
    <w:rsid w:val="006B746D"/>
    <w:rsid w:val="006C15E2"/>
    <w:rsid w:val="006C418D"/>
    <w:rsid w:val="006C4DFE"/>
    <w:rsid w:val="006C7CEC"/>
    <w:rsid w:val="006D2C02"/>
    <w:rsid w:val="006D35C1"/>
    <w:rsid w:val="006D6C3D"/>
    <w:rsid w:val="006E0DDA"/>
    <w:rsid w:val="006E118B"/>
    <w:rsid w:val="006E1839"/>
    <w:rsid w:val="006E1879"/>
    <w:rsid w:val="006E28A5"/>
    <w:rsid w:val="006E3AD0"/>
    <w:rsid w:val="006E621B"/>
    <w:rsid w:val="006E6643"/>
    <w:rsid w:val="006F2988"/>
    <w:rsid w:val="006F6CCB"/>
    <w:rsid w:val="006F6CF3"/>
    <w:rsid w:val="0070007A"/>
    <w:rsid w:val="00700BAA"/>
    <w:rsid w:val="00703C88"/>
    <w:rsid w:val="007114B5"/>
    <w:rsid w:val="007115B2"/>
    <w:rsid w:val="007123B9"/>
    <w:rsid w:val="00713C40"/>
    <w:rsid w:val="00714EB0"/>
    <w:rsid w:val="00716C90"/>
    <w:rsid w:val="00720D18"/>
    <w:rsid w:val="00721038"/>
    <w:rsid w:val="007213AC"/>
    <w:rsid w:val="00722284"/>
    <w:rsid w:val="00730788"/>
    <w:rsid w:val="0073147A"/>
    <w:rsid w:val="0073171D"/>
    <w:rsid w:val="00734158"/>
    <w:rsid w:val="00744B62"/>
    <w:rsid w:val="00746A28"/>
    <w:rsid w:val="007514B0"/>
    <w:rsid w:val="00753FA4"/>
    <w:rsid w:val="00756D16"/>
    <w:rsid w:val="007766E9"/>
    <w:rsid w:val="0078058B"/>
    <w:rsid w:val="0078186D"/>
    <w:rsid w:val="00781DCD"/>
    <w:rsid w:val="0078372F"/>
    <w:rsid w:val="007844C6"/>
    <w:rsid w:val="00795EFB"/>
    <w:rsid w:val="007A018F"/>
    <w:rsid w:val="007A06C5"/>
    <w:rsid w:val="007A08B9"/>
    <w:rsid w:val="007A1036"/>
    <w:rsid w:val="007A5A8B"/>
    <w:rsid w:val="007A6667"/>
    <w:rsid w:val="007A6B2E"/>
    <w:rsid w:val="007B59C4"/>
    <w:rsid w:val="007B5E82"/>
    <w:rsid w:val="007B6202"/>
    <w:rsid w:val="007C1C9F"/>
    <w:rsid w:val="007C3D2E"/>
    <w:rsid w:val="007C7F9A"/>
    <w:rsid w:val="007D1BA1"/>
    <w:rsid w:val="007D1E79"/>
    <w:rsid w:val="007E6D92"/>
    <w:rsid w:val="007F6D3E"/>
    <w:rsid w:val="00800CE2"/>
    <w:rsid w:val="008047D0"/>
    <w:rsid w:val="008075F1"/>
    <w:rsid w:val="00810FD0"/>
    <w:rsid w:val="00811045"/>
    <w:rsid w:val="00813ADD"/>
    <w:rsid w:val="0081514E"/>
    <w:rsid w:val="0081764C"/>
    <w:rsid w:val="008209C8"/>
    <w:rsid w:val="00823B00"/>
    <w:rsid w:val="0082698A"/>
    <w:rsid w:val="008356A3"/>
    <w:rsid w:val="00842A7C"/>
    <w:rsid w:val="00845123"/>
    <w:rsid w:val="00845966"/>
    <w:rsid w:val="00845990"/>
    <w:rsid w:val="00847C9C"/>
    <w:rsid w:val="008508C0"/>
    <w:rsid w:val="008524A2"/>
    <w:rsid w:val="00852FAE"/>
    <w:rsid w:val="0085464F"/>
    <w:rsid w:val="008640A7"/>
    <w:rsid w:val="00872889"/>
    <w:rsid w:val="00873A1F"/>
    <w:rsid w:val="0087729E"/>
    <w:rsid w:val="00880869"/>
    <w:rsid w:val="00881235"/>
    <w:rsid w:val="00881C6D"/>
    <w:rsid w:val="00883750"/>
    <w:rsid w:val="00884E37"/>
    <w:rsid w:val="00886D4D"/>
    <w:rsid w:val="008924D5"/>
    <w:rsid w:val="008A2BA4"/>
    <w:rsid w:val="008A7B4A"/>
    <w:rsid w:val="008B21D3"/>
    <w:rsid w:val="008C0744"/>
    <w:rsid w:val="008C3A71"/>
    <w:rsid w:val="008C4937"/>
    <w:rsid w:val="008D0B1E"/>
    <w:rsid w:val="008D2C19"/>
    <w:rsid w:val="008D338A"/>
    <w:rsid w:val="008D4C87"/>
    <w:rsid w:val="008D7B2C"/>
    <w:rsid w:val="008E1C66"/>
    <w:rsid w:val="008E3784"/>
    <w:rsid w:val="008E5228"/>
    <w:rsid w:val="008E70BD"/>
    <w:rsid w:val="008F13CC"/>
    <w:rsid w:val="008F23C9"/>
    <w:rsid w:val="008F588E"/>
    <w:rsid w:val="008F777D"/>
    <w:rsid w:val="0090055E"/>
    <w:rsid w:val="00904F37"/>
    <w:rsid w:val="0090745F"/>
    <w:rsid w:val="0091136A"/>
    <w:rsid w:val="009121F4"/>
    <w:rsid w:val="00912344"/>
    <w:rsid w:val="00914EB7"/>
    <w:rsid w:val="009205D4"/>
    <w:rsid w:val="0092500E"/>
    <w:rsid w:val="00930F18"/>
    <w:rsid w:val="0093300A"/>
    <w:rsid w:val="0093780F"/>
    <w:rsid w:val="00940560"/>
    <w:rsid w:val="009409BA"/>
    <w:rsid w:val="00944452"/>
    <w:rsid w:val="00944A5D"/>
    <w:rsid w:val="00955D2E"/>
    <w:rsid w:val="0096541B"/>
    <w:rsid w:val="00975984"/>
    <w:rsid w:val="009862BE"/>
    <w:rsid w:val="00986DEE"/>
    <w:rsid w:val="00986FB6"/>
    <w:rsid w:val="009903D9"/>
    <w:rsid w:val="009913B7"/>
    <w:rsid w:val="0099541D"/>
    <w:rsid w:val="0099584E"/>
    <w:rsid w:val="009A18BD"/>
    <w:rsid w:val="009A25C8"/>
    <w:rsid w:val="009A3013"/>
    <w:rsid w:val="009A7A96"/>
    <w:rsid w:val="009B08B3"/>
    <w:rsid w:val="009B324B"/>
    <w:rsid w:val="009B3CD8"/>
    <w:rsid w:val="009B7EEC"/>
    <w:rsid w:val="009D2CBB"/>
    <w:rsid w:val="009D33E4"/>
    <w:rsid w:val="009D64FA"/>
    <w:rsid w:val="009D65AA"/>
    <w:rsid w:val="009D7787"/>
    <w:rsid w:val="009E3AF6"/>
    <w:rsid w:val="009E6D0D"/>
    <w:rsid w:val="009F40F5"/>
    <w:rsid w:val="009F43D4"/>
    <w:rsid w:val="009F5421"/>
    <w:rsid w:val="009F7670"/>
    <w:rsid w:val="00A0017B"/>
    <w:rsid w:val="00A07262"/>
    <w:rsid w:val="00A1396B"/>
    <w:rsid w:val="00A164DE"/>
    <w:rsid w:val="00A20715"/>
    <w:rsid w:val="00A2096E"/>
    <w:rsid w:val="00A21749"/>
    <w:rsid w:val="00A239B6"/>
    <w:rsid w:val="00A25EE5"/>
    <w:rsid w:val="00A27304"/>
    <w:rsid w:val="00A275B4"/>
    <w:rsid w:val="00A3217E"/>
    <w:rsid w:val="00A34A26"/>
    <w:rsid w:val="00A34EF1"/>
    <w:rsid w:val="00A42925"/>
    <w:rsid w:val="00A42BF3"/>
    <w:rsid w:val="00A43FFE"/>
    <w:rsid w:val="00A45377"/>
    <w:rsid w:val="00A4721C"/>
    <w:rsid w:val="00A47724"/>
    <w:rsid w:val="00A61BCD"/>
    <w:rsid w:val="00A665FC"/>
    <w:rsid w:val="00A84E8F"/>
    <w:rsid w:val="00A86933"/>
    <w:rsid w:val="00A86FD0"/>
    <w:rsid w:val="00A93854"/>
    <w:rsid w:val="00A95195"/>
    <w:rsid w:val="00A976D7"/>
    <w:rsid w:val="00AA0781"/>
    <w:rsid w:val="00AA0D18"/>
    <w:rsid w:val="00AB0F0E"/>
    <w:rsid w:val="00AB4CE2"/>
    <w:rsid w:val="00AC26BA"/>
    <w:rsid w:val="00AD209A"/>
    <w:rsid w:val="00AD40BE"/>
    <w:rsid w:val="00AD453F"/>
    <w:rsid w:val="00AD58A5"/>
    <w:rsid w:val="00AD6456"/>
    <w:rsid w:val="00AD7891"/>
    <w:rsid w:val="00AE10CF"/>
    <w:rsid w:val="00AE17E6"/>
    <w:rsid w:val="00AE2B21"/>
    <w:rsid w:val="00AF0A90"/>
    <w:rsid w:val="00AF4190"/>
    <w:rsid w:val="00AF4CE5"/>
    <w:rsid w:val="00AF4D32"/>
    <w:rsid w:val="00AF6034"/>
    <w:rsid w:val="00B056D7"/>
    <w:rsid w:val="00B05757"/>
    <w:rsid w:val="00B05DD9"/>
    <w:rsid w:val="00B064DF"/>
    <w:rsid w:val="00B0667C"/>
    <w:rsid w:val="00B1494E"/>
    <w:rsid w:val="00B173B7"/>
    <w:rsid w:val="00B179FF"/>
    <w:rsid w:val="00B20915"/>
    <w:rsid w:val="00B249BD"/>
    <w:rsid w:val="00B2758B"/>
    <w:rsid w:val="00B35FD1"/>
    <w:rsid w:val="00B36AC4"/>
    <w:rsid w:val="00B36E02"/>
    <w:rsid w:val="00B41820"/>
    <w:rsid w:val="00B41BBB"/>
    <w:rsid w:val="00B5244E"/>
    <w:rsid w:val="00B54899"/>
    <w:rsid w:val="00B552F2"/>
    <w:rsid w:val="00B6075A"/>
    <w:rsid w:val="00B63A6B"/>
    <w:rsid w:val="00B643BE"/>
    <w:rsid w:val="00B65AD4"/>
    <w:rsid w:val="00B65EF4"/>
    <w:rsid w:val="00B6615A"/>
    <w:rsid w:val="00B72D3E"/>
    <w:rsid w:val="00B76BEB"/>
    <w:rsid w:val="00B8354D"/>
    <w:rsid w:val="00B84413"/>
    <w:rsid w:val="00B859EB"/>
    <w:rsid w:val="00B86123"/>
    <w:rsid w:val="00B87C56"/>
    <w:rsid w:val="00B92A68"/>
    <w:rsid w:val="00B962EB"/>
    <w:rsid w:val="00B97BB0"/>
    <w:rsid w:val="00BA3EED"/>
    <w:rsid w:val="00BA4CB1"/>
    <w:rsid w:val="00BA6E50"/>
    <w:rsid w:val="00BA77E5"/>
    <w:rsid w:val="00BA79A8"/>
    <w:rsid w:val="00BB1E73"/>
    <w:rsid w:val="00BB33F2"/>
    <w:rsid w:val="00BB4A82"/>
    <w:rsid w:val="00BB5138"/>
    <w:rsid w:val="00BC36E2"/>
    <w:rsid w:val="00BC4DF7"/>
    <w:rsid w:val="00BC6BD3"/>
    <w:rsid w:val="00BC7E83"/>
    <w:rsid w:val="00BD091B"/>
    <w:rsid w:val="00BD12F6"/>
    <w:rsid w:val="00BD4240"/>
    <w:rsid w:val="00BE6876"/>
    <w:rsid w:val="00BF4293"/>
    <w:rsid w:val="00BF55DB"/>
    <w:rsid w:val="00BF5667"/>
    <w:rsid w:val="00BF73DA"/>
    <w:rsid w:val="00C013BA"/>
    <w:rsid w:val="00C0530A"/>
    <w:rsid w:val="00C1149C"/>
    <w:rsid w:val="00C2027E"/>
    <w:rsid w:val="00C2207A"/>
    <w:rsid w:val="00C279C1"/>
    <w:rsid w:val="00C321CB"/>
    <w:rsid w:val="00C32E4A"/>
    <w:rsid w:val="00C32F36"/>
    <w:rsid w:val="00C40065"/>
    <w:rsid w:val="00C47CAA"/>
    <w:rsid w:val="00C57CDA"/>
    <w:rsid w:val="00C65CB9"/>
    <w:rsid w:val="00C70B58"/>
    <w:rsid w:val="00C80B15"/>
    <w:rsid w:val="00C810DA"/>
    <w:rsid w:val="00C81A7F"/>
    <w:rsid w:val="00C82B80"/>
    <w:rsid w:val="00C82D9E"/>
    <w:rsid w:val="00C845CD"/>
    <w:rsid w:val="00C846D9"/>
    <w:rsid w:val="00C84CE6"/>
    <w:rsid w:val="00C90C4F"/>
    <w:rsid w:val="00C96B35"/>
    <w:rsid w:val="00CA399C"/>
    <w:rsid w:val="00CA3DD7"/>
    <w:rsid w:val="00CA41C1"/>
    <w:rsid w:val="00CA45F8"/>
    <w:rsid w:val="00CB05F8"/>
    <w:rsid w:val="00CB0B5F"/>
    <w:rsid w:val="00CB48D1"/>
    <w:rsid w:val="00CB601C"/>
    <w:rsid w:val="00CB7897"/>
    <w:rsid w:val="00CC4E88"/>
    <w:rsid w:val="00CC66CC"/>
    <w:rsid w:val="00CC7C36"/>
    <w:rsid w:val="00CD2738"/>
    <w:rsid w:val="00CD36EB"/>
    <w:rsid w:val="00CE06FF"/>
    <w:rsid w:val="00CE090B"/>
    <w:rsid w:val="00CE52FD"/>
    <w:rsid w:val="00CF3070"/>
    <w:rsid w:val="00D03860"/>
    <w:rsid w:val="00D03BCE"/>
    <w:rsid w:val="00D107BC"/>
    <w:rsid w:val="00D126A7"/>
    <w:rsid w:val="00D14415"/>
    <w:rsid w:val="00D16EFD"/>
    <w:rsid w:val="00D24336"/>
    <w:rsid w:val="00D2521D"/>
    <w:rsid w:val="00D30CE7"/>
    <w:rsid w:val="00D346B5"/>
    <w:rsid w:val="00D451B2"/>
    <w:rsid w:val="00D50D67"/>
    <w:rsid w:val="00D50D78"/>
    <w:rsid w:val="00D510BA"/>
    <w:rsid w:val="00D51218"/>
    <w:rsid w:val="00D5149A"/>
    <w:rsid w:val="00D52779"/>
    <w:rsid w:val="00D52EED"/>
    <w:rsid w:val="00D5515E"/>
    <w:rsid w:val="00D61C00"/>
    <w:rsid w:val="00D66351"/>
    <w:rsid w:val="00D7136F"/>
    <w:rsid w:val="00D72F59"/>
    <w:rsid w:val="00D731AA"/>
    <w:rsid w:val="00D74C38"/>
    <w:rsid w:val="00D7537F"/>
    <w:rsid w:val="00D83879"/>
    <w:rsid w:val="00D84BCC"/>
    <w:rsid w:val="00D91F3F"/>
    <w:rsid w:val="00DA6DA2"/>
    <w:rsid w:val="00DA70D4"/>
    <w:rsid w:val="00DA7C6A"/>
    <w:rsid w:val="00DB05E7"/>
    <w:rsid w:val="00DB0782"/>
    <w:rsid w:val="00DC4223"/>
    <w:rsid w:val="00DC4551"/>
    <w:rsid w:val="00DC4B12"/>
    <w:rsid w:val="00DC5A8C"/>
    <w:rsid w:val="00DC6DEC"/>
    <w:rsid w:val="00DC7CE2"/>
    <w:rsid w:val="00DD2F4C"/>
    <w:rsid w:val="00DD45CB"/>
    <w:rsid w:val="00DF210C"/>
    <w:rsid w:val="00DF74F3"/>
    <w:rsid w:val="00E10E4F"/>
    <w:rsid w:val="00E1259C"/>
    <w:rsid w:val="00E147E3"/>
    <w:rsid w:val="00E17946"/>
    <w:rsid w:val="00E24DE8"/>
    <w:rsid w:val="00E300C4"/>
    <w:rsid w:val="00E31D25"/>
    <w:rsid w:val="00E3590E"/>
    <w:rsid w:val="00E36CE5"/>
    <w:rsid w:val="00E374D3"/>
    <w:rsid w:val="00E411C4"/>
    <w:rsid w:val="00E47901"/>
    <w:rsid w:val="00E47C0C"/>
    <w:rsid w:val="00E530DC"/>
    <w:rsid w:val="00E53C82"/>
    <w:rsid w:val="00E56196"/>
    <w:rsid w:val="00E64114"/>
    <w:rsid w:val="00E74806"/>
    <w:rsid w:val="00E76204"/>
    <w:rsid w:val="00E80101"/>
    <w:rsid w:val="00E84A84"/>
    <w:rsid w:val="00E84E75"/>
    <w:rsid w:val="00E86009"/>
    <w:rsid w:val="00E8644D"/>
    <w:rsid w:val="00E907CF"/>
    <w:rsid w:val="00E914BC"/>
    <w:rsid w:val="00E95C3C"/>
    <w:rsid w:val="00E95D39"/>
    <w:rsid w:val="00EA0CA3"/>
    <w:rsid w:val="00EB725A"/>
    <w:rsid w:val="00EC0013"/>
    <w:rsid w:val="00ED450A"/>
    <w:rsid w:val="00ED4EF9"/>
    <w:rsid w:val="00EE07AA"/>
    <w:rsid w:val="00EE1145"/>
    <w:rsid w:val="00EE3576"/>
    <w:rsid w:val="00EE55EC"/>
    <w:rsid w:val="00EE5C4C"/>
    <w:rsid w:val="00EF0AD8"/>
    <w:rsid w:val="00EF2D61"/>
    <w:rsid w:val="00EF51BB"/>
    <w:rsid w:val="00EF68F0"/>
    <w:rsid w:val="00F10262"/>
    <w:rsid w:val="00F13F35"/>
    <w:rsid w:val="00F1562D"/>
    <w:rsid w:val="00F158DC"/>
    <w:rsid w:val="00F1691D"/>
    <w:rsid w:val="00F2033F"/>
    <w:rsid w:val="00F2086F"/>
    <w:rsid w:val="00F27980"/>
    <w:rsid w:val="00F30013"/>
    <w:rsid w:val="00F302D2"/>
    <w:rsid w:val="00F33339"/>
    <w:rsid w:val="00F33AAF"/>
    <w:rsid w:val="00F35513"/>
    <w:rsid w:val="00F3589E"/>
    <w:rsid w:val="00F375D8"/>
    <w:rsid w:val="00F44A4A"/>
    <w:rsid w:val="00F477F5"/>
    <w:rsid w:val="00F547CB"/>
    <w:rsid w:val="00F61202"/>
    <w:rsid w:val="00F651B4"/>
    <w:rsid w:val="00F67F5A"/>
    <w:rsid w:val="00F735CD"/>
    <w:rsid w:val="00F823B9"/>
    <w:rsid w:val="00F83481"/>
    <w:rsid w:val="00F86A9A"/>
    <w:rsid w:val="00F90E2F"/>
    <w:rsid w:val="00F92FA3"/>
    <w:rsid w:val="00F94343"/>
    <w:rsid w:val="00FA2A32"/>
    <w:rsid w:val="00FA3B14"/>
    <w:rsid w:val="00FB28C9"/>
    <w:rsid w:val="00FB3B80"/>
    <w:rsid w:val="00FB43AB"/>
    <w:rsid w:val="00FB43C6"/>
    <w:rsid w:val="00FB4A98"/>
    <w:rsid w:val="00FD089F"/>
    <w:rsid w:val="00FD21DA"/>
    <w:rsid w:val="00FD4C69"/>
    <w:rsid w:val="00FE0D3B"/>
    <w:rsid w:val="00FE1B7A"/>
    <w:rsid w:val="00FE4730"/>
    <w:rsid w:val="00FE4F10"/>
    <w:rsid w:val="00FE698C"/>
    <w:rsid w:val="00FF0E42"/>
    <w:rsid w:val="00FF0FA0"/>
    <w:rsid w:val="00FF2E78"/>
    <w:rsid w:val="00FF3F61"/>
    <w:rsid w:val="00FF41A8"/>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A5DEC"/>
  <w15:chartTrackingRefBased/>
  <w15:docId w15:val="{51364E11-BA3B-4215-A678-E1120D45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07A"/>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3"/>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table" w:styleId="GridTable6Colorful-Accent1">
    <w:name w:val="Grid Table 6 Colorful Accent 1"/>
    <w:basedOn w:val="TableNormal"/>
    <w:uiPriority w:val="51"/>
    <w:rsid w:val="0090055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1">
    <w:name w:val="Plain Table 1"/>
    <w:basedOn w:val="TableNormal"/>
    <w:uiPriority w:val="41"/>
    <w:rsid w:val="009005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90055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1E1C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1E1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locked/>
    <w:rsid w:val="00E80101"/>
    <w:rPr>
      <w:rFonts w:ascii="Arial" w:hAnsi="Arial"/>
    </w:rPr>
  </w:style>
  <w:style w:type="paragraph" w:styleId="NormalWeb">
    <w:name w:val="Normal (Web)"/>
    <w:basedOn w:val="Normal"/>
    <w:uiPriority w:val="99"/>
    <w:unhideWhenUsed/>
    <w:rsid w:val="00E80101"/>
    <w:pPr>
      <w:spacing w:before="100" w:beforeAutospacing="1" w:after="100" w:afterAutospacing="1"/>
    </w:pPr>
    <w:rPr>
      <w:rFonts w:ascii="Times New Roman" w:eastAsiaTheme="minorEastAsia" w:hAnsi="Times New Roman" w:cs="Times New Roman"/>
      <w:sz w:val="24"/>
      <w:szCs w:val="24"/>
      <w:lang w:eastAsia="en-GB"/>
    </w:rPr>
  </w:style>
  <w:style w:type="table" w:styleId="ListTable4-Accent1">
    <w:name w:val="List Table 4 Accent 1"/>
    <w:basedOn w:val="TableNormal"/>
    <w:uiPriority w:val="49"/>
    <w:rsid w:val="00EF68F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EF68F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83481"/>
    <w:rPr>
      <w:sz w:val="16"/>
      <w:szCs w:val="16"/>
    </w:rPr>
  </w:style>
  <w:style w:type="paragraph" w:styleId="CommentText">
    <w:name w:val="annotation text"/>
    <w:basedOn w:val="Normal"/>
    <w:link w:val="CommentTextChar"/>
    <w:uiPriority w:val="99"/>
    <w:semiHidden/>
    <w:unhideWhenUsed/>
    <w:rsid w:val="00F83481"/>
    <w:rPr>
      <w:sz w:val="20"/>
      <w:szCs w:val="20"/>
    </w:rPr>
  </w:style>
  <w:style w:type="character" w:customStyle="1" w:styleId="CommentTextChar">
    <w:name w:val="Comment Text Char"/>
    <w:basedOn w:val="DefaultParagraphFont"/>
    <w:link w:val="CommentText"/>
    <w:uiPriority w:val="99"/>
    <w:semiHidden/>
    <w:rsid w:val="00F834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83481"/>
    <w:rPr>
      <w:b/>
      <w:bCs/>
    </w:rPr>
  </w:style>
  <w:style w:type="character" w:customStyle="1" w:styleId="CommentSubjectChar">
    <w:name w:val="Comment Subject Char"/>
    <w:basedOn w:val="CommentTextChar"/>
    <w:link w:val="CommentSubject"/>
    <w:uiPriority w:val="99"/>
    <w:semiHidden/>
    <w:rsid w:val="00F83481"/>
    <w:rPr>
      <w:rFonts w:ascii="Arial" w:hAnsi="Arial"/>
      <w:b/>
      <w:bCs/>
      <w:sz w:val="20"/>
      <w:szCs w:val="20"/>
    </w:rPr>
  </w:style>
  <w:style w:type="character" w:styleId="FollowedHyperlink">
    <w:name w:val="FollowedHyperlink"/>
    <w:basedOn w:val="DefaultParagraphFont"/>
    <w:uiPriority w:val="99"/>
    <w:semiHidden/>
    <w:unhideWhenUsed/>
    <w:rsid w:val="00A20715"/>
    <w:rPr>
      <w:color w:val="800080" w:themeColor="followedHyperlink"/>
      <w:u w:val="single"/>
    </w:rPr>
  </w:style>
  <w:style w:type="table" w:styleId="GridTable1Light-Accent1">
    <w:name w:val="Grid Table 1 Light Accent 1"/>
    <w:basedOn w:val="TableNormal"/>
    <w:uiPriority w:val="46"/>
    <w:rsid w:val="00D5149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D5149A"/>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1">
    <w:name w:val="Grid Table 3 Accent 1"/>
    <w:basedOn w:val="TableNormal"/>
    <w:uiPriority w:val="48"/>
    <w:rsid w:val="00D5149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1">
    <w:name w:val="Grid Table 7 Colorful Accent 1"/>
    <w:basedOn w:val="TableNormal"/>
    <w:uiPriority w:val="52"/>
    <w:rsid w:val="00D5149A"/>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2-Accent1">
    <w:name w:val="List Table 2 Accent 1"/>
    <w:basedOn w:val="TableNormal"/>
    <w:uiPriority w:val="47"/>
    <w:rsid w:val="00D5149A"/>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1">
    <w:name w:val="List Table 1 Light Accent 1"/>
    <w:basedOn w:val="TableNormal"/>
    <w:uiPriority w:val="46"/>
    <w:rsid w:val="00D5149A"/>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D5149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5Dark-Accent1">
    <w:name w:val="List Table 5 Dark Accent 1"/>
    <w:basedOn w:val="TableNormal"/>
    <w:uiPriority w:val="50"/>
    <w:rsid w:val="00D5149A"/>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11">
    <w:name w:val="Grid Table 4 - Accent 11"/>
    <w:basedOn w:val="TableNormal"/>
    <w:next w:val="GridTable4-Accent1"/>
    <w:uiPriority w:val="49"/>
    <w:rsid w:val="004D18D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6900">
      <w:bodyDiv w:val="1"/>
      <w:marLeft w:val="0"/>
      <w:marRight w:val="0"/>
      <w:marTop w:val="0"/>
      <w:marBottom w:val="0"/>
      <w:divBdr>
        <w:top w:val="none" w:sz="0" w:space="0" w:color="auto"/>
        <w:left w:val="none" w:sz="0" w:space="0" w:color="auto"/>
        <w:bottom w:val="none" w:sz="0" w:space="0" w:color="auto"/>
        <w:right w:val="none" w:sz="0" w:space="0" w:color="auto"/>
      </w:divBdr>
    </w:div>
    <w:div w:id="107088253">
      <w:bodyDiv w:val="1"/>
      <w:marLeft w:val="0"/>
      <w:marRight w:val="0"/>
      <w:marTop w:val="0"/>
      <w:marBottom w:val="0"/>
      <w:divBdr>
        <w:top w:val="none" w:sz="0" w:space="0" w:color="auto"/>
        <w:left w:val="none" w:sz="0" w:space="0" w:color="auto"/>
        <w:bottom w:val="none" w:sz="0" w:space="0" w:color="auto"/>
        <w:right w:val="none" w:sz="0" w:space="0" w:color="auto"/>
      </w:divBdr>
    </w:div>
    <w:div w:id="142696190">
      <w:bodyDiv w:val="1"/>
      <w:marLeft w:val="0"/>
      <w:marRight w:val="0"/>
      <w:marTop w:val="0"/>
      <w:marBottom w:val="0"/>
      <w:divBdr>
        <w:top w:val="none" w:sz="0" w:space="0" w:color="auto"/>
        <w:left w:val="none" w:sz="0" w:space="0" w:color="auto"/>
        <w:bottom w:val="none" w:sz="0" w:space="0" w:color="auto"/>
        <w:right w:val="none" w:sz="0" w:space="0" w:color="auto"/>
      </w:divBdr>
    </w:div>
    <w:div w:id="163056079">
      <w:bodyDiv w:val="1"/>
      <w:marLeft w:val="0"/>
      <w:marRight w:val="0"/>
      <w:marTop w:val="0"/>
      <w:marBottom w:val="0"/>
      <w:divBdr>
        <w:top w:val="none" w:sz="0" w:space="0" w:color="auto"/>
        <w:left w:val="none" w:sz="0" w:space="0" w:color="auto"/>
        <w:bottom w:val="none" w:sz="0" w:space="0" w:color="auto"/>
        <w:right w:val="none" w:sz="0" w:space="0" w:color="auto"/>
      </w:divBdr>
    </w:div>
    <w:div w:id="178355822">
      <w:bodyDiv w:val="1"/>
      <w:marLeft w:val="0"/>
      <w:marRight w:val="0"/>
      <w:marTop w:val="0"/>
      <w:marBottom w:val="0"/>
      <w:divBdr>
        <w:top w:val="none" w:sz="0" w:space="0" w:color="auto"/>
        <w:left w:val="none" w:sz="0" w:space="0" w:color="auto"/>
        <w:bottom w:val="none" w:sz="0" w:space="0" w:color="auto"/>
        <w:right w:val="none" w:sz="0" w:space="0" w:color="auto"/>
      </w:divBdr>
    </w:div>
    <w:div w:id="194927599">
      <w:bodyDiv w:val="1"/>
      <w:marLeft w:val="0"/>
      <w:marRight w:val="0"/>
      <w:marTop w:val="0"/>
      <w:marBottom w:val="0"/>
      <w:divBdr>
        <w:top w:val="none" w:sz="0" w:space="0" w:color="auto"/>
        <w:left w:val="none" w:sz="0" w:space="0" w:color="auto"/>
        <w:bottom w:val="none" w:sz="0" w:space="0" w:color="auto"/>
        <w:right w:val="none" w:sz="0" w:space="0" w:color="auto"/>
      </w:divBdr>
    </w:div>
    <w:div w:id="195120062">
      <w:bodyDiv w:val="1"/>
      <w:marLeft w:val="0"/>
      <w:marRight w:val="0"/>
      <w:marTop w:val="0"/>
      <w:marBottom w:val="0"/>
      <w:divBdr>
        <w:top w:val="none" w:sz="0" w:space="0" w:color="auto"/>
        <w:left w:val="none" w:sz="0" w:space="0" w:color="auto"/>
        <w:bottom w:val="none" w:sz="0" w:space="0" w:color="auto"/>
        <w:right w:val="none" w:sz="0" w:space="0" w:color="auto"/>
      </w:divBdr>
    </w:div>
    <w:div w:id="210113332">
      <w:bodyDiv w:val="1"/>
      <w:marLeft w:val="0"/>
      <w:marRight w:val="0"/>
      <w:marTop w:val="0"/>
      <w:marBottom w:val="0"/>
      <w:divBdr>
        <w:top w:val="none" w:sz="0" w:space="0" w:color="auto"/>
        <w:left w:val="none" w:sz="0" w:space="0" w:color="auto"/>
        <w:bottom w:val="none" w:sz="0" w:space="0" w:color="auto"/>
        <w:right w:val="none" w:sz="0" w:space="0" w:color="auto"/>
      </w:divBdr>
    </w:div>
    <w:div w:id="243996596">
      <w:bodyDiv w:val="1"/>
      <w:marLeft w:val="0"/>
      <w:marRight w:val="0"/>
      <w:marTop w:val="0"/>
      <w:marBottom w:val="0"/>
      <w:divBdr>
        <w:top w:val="none" w:sz="0" w:space="0" w:color="auto"/>
        <w:left w:val="none" w:sz="0" w:space="0" w:color="auto"/>
        <w:bottom w:val="none" w:sz="0" w:space="0" w:color="auto"/>
        <w:right w:val="none" w:sz="0" w:space="0" w:color="auto"/>
      </w:divBdr>
    </w:div>
    <w:div w:id="251016875">
      <w:bodyDiv w:val="1"/>
      <w:marLeft w:val="0"/>
      <w:marRight w:val="0"/>
      <w:marTop w:val="0"/>
      <w:marBottom w:val="0"/>
      <w:divBdr>
        <w:top w:val="none" w:sz="0" w:space="0" w:color="auto"/>
        <w:left w:val="none" w:sz="0" w:space="0" w:color="auto"/>
        <w:bottom w:val="none" w:sz="0" w:space="0" w:color="auto"/>
        <w:right w:val="none" w:sz="0" w:space="0" w:color="auto"/>
      </w:divBdr>
    </w:div>
    <w:div w:id="274752595">
      <w:bodyDiv w:val="1"/>
      <w:marLeft w:val="0"/>
      <w:marRight w:val="0"/>
      <w:marTop w:val="0"/>
      <w:marBottom w:val="0"/>
      <w:divBdr>
        <w:top w:val="none" w:sz="0" w:space="0" w:color="auto"/>
        <w:left w:val="none" w:sz="0" w:space="0" w:color="auto"/>
        <w:bottom w:val="none" w:sz="0" w:space="0" w:color="auto"/>
        <w:right w:val="none" w:sz="0" w:space="0" w:color="auto"/>
      </w:divBdr>
    </w:div>
    <w:div w:id="283581870">
      <w:bodyDiv w:val="1"/>
      <w:marLeft w:val="0"/>
      <w:marRight w:val="0"/>
      <w:marTop w:val="0"/>
      <w:marBottom w:val="0"/>
      <w:divBdr>
        <w:top w:val="none" w:sz="0" w:space="0" w:color="auto"/>
        <w:left w:val="none" w:sz="0" w:space="0" w:color="auto"/>
        <w:bottom w:val="none" w:sz="0" w:space="0" w:color="auto"/>
        <w:right w:val="none" w:sz="0" w:space="0" w:color="auto"/>
      </w:divBdr>
    </w:div>
    <w:div w:id="322315945">
      <w:bodyDiv w:val="1"/>
      <w:marLeft w:val="0"/>
      <w:marRight w:val="0"/>
      <w:marTop w:val="0"/>
      <w:marBottom w:val="0"/>
      <w:divBdr>
        <w:top w:val="none" w:sz="0" w:space="0" w:color="auto"/>
        <w:left w:val="none" w:sz="0" w:space="0" w:color="auto"/>
        <w:bottom w:val="none" w:sz="0" w:space="0" w:color="auto"/>
        <w:right w:val="none" w:sz="0" w:space="0" w:color="auto"/>
      </w:divBdr>
    </w:div>
    <w:div w:id="323819459">
      <w:bodyDiv w:val="1"/>
      <w:marLeft w:val="0"/>
      <w:marRight w:val="0"/>
      <w:marTop w:val="0"/>
      <w:marBottom w:val="0"/>
      <w:divBdr>
        <w:top w:val="none" w:sz="0" w:space="0" w:color="auto"/>
        <w:left w:val="none" w:sz="0" w:space="0" w:color="auto"/>
        <w:bottom w:val="none" w:sz="0" w:space="0" w:color="auto"/>
        <w:right w:val="none" w:sz="0" w:space="0" w:color="auto"/>
      </w:divBdr>
    </w:div>
    <w:div w:id="343672807">
      <w:bodyDiv w:val="1"/>
      <w:marLeft w:val="0"/>
      <w:marRight w:val="0"/>
      <w:marTop w:val="0"/>
      <w:marBottom w:val="0"/>
      <w:divBdr>
        <w:top w:val="none" w:sz="0" w:space="0" w:color="auto"/>
        <w:left w:val="none" w:sz="0" w:space="0" w:color="auto"/>
        <w:bottom w:val="none" w:sz="0" w:space="0" w:color="auto"/>
        <w:right w:val="none" w:sz="0" w:space="0" w:color="auto"/>
      </w:divBdr>
    </w:div>
    <w:div w:id="347677302">
      <w:bodyDiv w:val="1"/>
      <w:marLeft w:val="0"/>
      <w:marRight w:val="0"/>
      <w:marTop w:val="0"/>
      <w:marBottom w:val="0"/>
      <w:divBdr>
        <w:top w:val="none" w:sz="0" w:space="0" w:color="auto"/>
        <w:left w:val="none" w:sz="0" w:space="0" w:color="auto"/>
        <w:bottom w:val="none" w:sz="0" w:space="0" w:color="auto"/>
        <w:right w:val="none" w:sz="0" w:space="0" w:color="auto"/>
      </w:divBdr>
    </w:div>
    <w:div w:id="348875672">
      <w:bodyDiv w:val="1"/>
      <w:marLeft w:val="0"/>
      <w:marRight w:val="0"/>
      <w:marTop w:val="0"/>
      <w:marBottom w:val="0"/>
      <w:divBdr>
        <w:top w:val="none" w:sz="0" w:space="0" w:color="auto"/>
        <w:left w:val="none" w:sz="0" w:space="0" w:color="auto"/>
        <w:bottom w:val="none" w:sz="0" w:space="0" w:color="auto"/>
        <w:right w:val="none" w:sz="0" w:space="0" w:color="auto"/>
      </w:divBdr>
    </w:div>
    <w:div w:id="351885386">
      <w:bodyDiv w:val="1"/>
      <w:marLeft w:val="0"/>
      <w:marRight w:val="0"/>
      <w:marTop w:val="0"/>
      <w:marBottom w:val="0"/>
      <w:divBdr>
        <w:top w:val="none" w:sz="0" w:space="0" w:color="auto"/>
        <w:left w:val="none" w:sz="0" w:space="0" w:color="auto"/>
        <w:bottom w:val="none" w:sz="0" w:space="0" w:color="auto"/>
        <w:right w:val="none" w:sz="0" w:space="0" w:color="auto"/>
      </w:divBdr>
    </w:div>
    <w:div w:id="352584051">
      <w:bodyDiv w:val="1"/>
      <w:marLeft w:val="0"/>
      <w:marRight w:val="0"/>
      <w:marTop w:val="0"/>
      <w:marBottom w:val="0"/>
      <w:divBdr>
        <w:top w:val="none" w:sz="0" w:space="0" w:color="auto"/>
        <w:left w:val="none" w:sz="0" w:space="0" w:color="auto"/>
        <w:bottom w:val="none" w:sz="0" w:space="0" w:color="auto"/>
        <w:right w:val="none" w:sz="0" w:space="0" w:color="auto"/>
      </w:divBdr>
    </w:div>
    <w:div w:id="356320328">
      <w:bodyDiv w:val="1"/>
      <w:marLeft w:val="0"/>
      <w:marRight w:val="0"/>
      <w:marTop w:val="0"/>
      <w:marBottom w:val="0"/>
      <w:divBdr>
        <w:top w:val="none" w:sz="0" w:space="0" w:color="auto"/>
        <w:left w:val="none" w:sz="0" w:space="0" w:color="auto"/>
        <w:bottom w:val="none" w:sz="0" w:space="0" w:color="auto"/>
        <w:right w:val="none" w:sz="0" w:space="0" w:color="auto"/>
      </w:divBdr>
    </w:div>
    <w:div w:id="357857823">
      <w:bodyDiv w:val="1"/>
      <w:marLeft w:val="0"/>
      <w:marRight w:val="0"/>
      <w:marTop w:val="0"/>
      <w:marBottom w:val="0"/>
      <w:divBdr>
        <w:top w:val="none" w:sz="0" w:space="0" w:color="auto"/>
        <w:left w:val="none" w:sz="0" w:space="0" w:color="auto"/>
        <w:bottom w:val="none" w:sz="0" w:space="0" w:color="auto"/>
        <w:right w:val="none" w:sz="0" w:space="0" w:color="auto"/>
      </w:divBdr>
    </w:div>
    <w:div w:id="423696639">
      <w:bodyDiv w:val="1"/>
      <w:marLeft w:val="0"/>
      <w:marRight w:val="0"/>
      <w:marTop w:val="0"/>
      <w:marBottom w:val="0"/>
      <w:divBdr>
        <w:top w:val="none" w:sz="0" w:space="0" w:color="auto"/>
        <w:left w:val="none" w:sz="0" w:space="0" w:color="auto"/>
        <w:bottom w:val="none" w:sz="0" w:space="0" w:color="auto"/>
        <w:right w:val="none" w:sz="0" w:space="0" w:color="auto"/>
      </w:divBdr>
    </w:div>
    <w:div w:id="431315644">
      <w:bodyDiv w:val="1"/>
      <w:marLeft w:val="0"/>
      <w:marRight w:val="0"/>
      <w:marTop w:val="0"/>
      <w:marBottom w:val="0"/>
      <w:divBdr>
        <w:top w:val="none" w:sz="0" w:space="0" w:color="auto"/>
        <w:left w:val="none" w:sz="0" w:space="0" w:color="auto"/>
        <w:bottom w:val="none" w:sz="0" w:space="0" w:color="auto"/>
        <w:right w:val="none" w:sz="0" w:space="0" w:color="auto"/>
      </w:divBdr>
    </w:div>
    <w:div w:id="458691472">
      <w:bodyDiv w:val="1"/>
      <w:marLeft w:val="0"/>
      <w:marRight w:val="0"/>
      <w:marTop w:val="0"/>
      <w:marBottom w:val="0"/>
      <w:divBdr>
        <w:top w:val="none" w:sz="0" w:space="0" w:color="auto"/>
        <w:left w:val="none" w:sz="0" w:space="0" w:color="auto"/>
        <w:bottom w:val="none" w:sz="0" w:space="0" w:color="auto"/>
        <w:right w:val="none" w:sz="0" w:space="0" w:color="auto"/>
      </w:divBdr>
    </w:div>
    <w:div w:id="462622305">
      <w:bodyDiv w:val="1"/>
      <w:marLeft w:val="0"/>
      <w:marRight w:val="0"/>
      <w:marTop w:val="0"/>
      <w:marBottom w:val="0"/>
      <w:divBdr>
        <w:top w:val="none" w:sz="0" w:space="0" w:color="auto"/>
        <w:left w:val="none" w:sz="0" w:space="0" w:color="auto"/>
        <w:bottom w:val="none" w:sz="0" w:space="0" w:color="auto"/>
        <w:right w:val="none" w:sz="0" w:space="0" w:color="auto"/>
      </w:divBdr>
    </w:div>
    <w:div w:id="487747783">
      <w:bodyDiv w:val="1"/>
      <w:marLeft w:val="0"/>
      <w:marRight w:val="0"/>
      <w:marTop w:val="0"/>
      <w:marBottom w:val="0"/>
      <w:divBdr>
        <w:top w:val="none" w:sz="0" w:space="0" w:color="auto"/>
        <w:left w:val="none" w:sz="0" w:space="0" w:color="auto"/>
        <w:bottom w:val="none" w:sz="0" w:space="0" w:color="auto"/>
        <w:right w:val="none" w:sz="0" w:space="0" w:color="auto"/>
      </w:divBdr>
    </w:div>
    <w:div w:id="508839430">
      <w:bodyDiv w:val="1"/>
      <w:marLeft w:val="0"/>
      <w:marRight w:val="0"/>
      <w:marTop w:val="0"/>
      <w:marBottom w:val="0"/>
      <w:divBdr>
        <w:top w:val="none" w:sz="0" w:space="0" w:color="auto"/>
        <w:left w:val="none" w:sz="0" w:space="0" w:color="auto"/>
        <w:bottom w:val="none" w:sz="0" w:space="0" w:color="auto"/>
        <w:right w:val="none" w:sz="0" w:space="0" w:color="auto"/>
      </w:divBdr>
    </w:div>
    <w:div w:id="521893948">
      <w:bodyDiv w:val="1"/>
      <w:marLeft w:val="0"/>
      <w:marRight w:val="0"/>
      <w:marTop w:val="0"/>
      <w:marBottom w:val="0"/>
      <w:divBdr>
        <w:top w:val="none" w:sz="0" w:space="0" w:color="auto"/>
        <w:left w:val="none" w:sz="0" w:space="0" w:color="auto"/>
        <w:bottom w:val="none" w:sz="0" w:space="0" w:color="auto"/>
        <w:right w:val="none" w:sz="0" w:space="0" w:color="auto"/>
      </w:divBdr>
    </w:div>
    <w:div w:id="579406590">
      <w:bodyDiv w:val="1"/>
      <w:marLeft w:val="0"/>
      <w:marRight w:val="0"/>
      <w:marTop w:val="0"/>
      <w:marBottom w:val="0"/>
      <w:divBdr>
        <w:top w:val="none" w:sz="0" w:space="0" w:color="auto"/>
        <w:left w:val="none" w:sz="0" w:space="0" w:color="auto"/>
        <w:bottom w:val="none" w:sz="0" w:space="0" w:color="auto"/>
        <w:right w:val="none" w:sz="0" w:space="0" w:color="auto"/>
      </w:divBdr>
    </w:div>
    <w:div w:id="592664358">
      <w:bodyDiv w:val="1"/>
      <w:marLeft w:val="0"/>
      <w:marRight w:val="0"/>
      <w:marTop w:val="0"/>
      <w:marBottom w:val="0"/>
      <w:divBdr>
        <w:top w:val="none" w:sz="0" w:space="0" w:color="auto"/>
        <w:left w:val="none" w:sz="0" w:space="0" w:color="auto"/>
        <w:bottom w:val="none" w:sz="0" w:space="0" w:color="auto"/>
        <w:right w:val="none" w:sz="0" w:space="0" w:color="auto"/>
      </w:divBdr>
    </w:div>
    <w:div w:id="602231631">
      <w:bodyDiv w:val="1"/>
      <w:marLeft w:val="0"/>
      <w:marRight w:val="0"/>
      <w:marTop w:val="0"/>
      <w:marBottom w:val="0"/>
      <w:divBdr>
        <w:top w:val="none" w:sz="0" w:space="0" w:color="auto"/>
        <w:left w:val="none" w:sz="0" w:space="0" w:color="auto"/>
        <w:bottom w:val="none" w:sz="0" w:space="0" w:color="auto"/>
        <w:right w:val="none" w:sz="0" w:space="0" w:color="auto"/>
      </w:divBdr>
    </w:div>
    <w:div w:id="616185340">
      <w:bodyDiv w:val="1"/>
      <w:marLeft w:val="0"/>
      <w:marRight w:val="0"/>
      <w:marTop w:val="0"/>
      <w:marBottom w:val="0"/>
      <w:divBdr>
        <w:top w:val="none" w:sz="0" w:space="0" w:color="auto"/>
        <w:left w:val="none" w:sz="0" w:space="0" w:color="auto"/>
        <w:bottom w:val="none" w:sz="0" w:space="0" w:color="auto"/>
        <w:right w:val="none" w:sz="0" w:space="0" w:color="auto"/>
      </w:divBdr>
    </w:div>
    <w:div w:id="636644497">
      <w:bodyDiv w:val="1"/>
      <w:marLeft w:val="0"/>
      <w:marRight w:val="0"/>
      <w:marTop w:val="0"/>
      <w:marBottom w:val="0"/>
      <w:divBdr>
        <w:top w:val="none" w:sz="0" w:space="0" w:color="auto"/>
        <w:left w:val="none" w:sz="0" w:space="0" w:color="auto"/>
        <w:bottom w:val="none" w:sz="0" w:space="0" w:color="auto"/>
        <w:right w:val="none" w:sz="0" w:space="0" w:color="auto"/>
      </w:divBdr>
    </w:div>
    <w:div w:id="720599548">
      <w:bodyDiv w:val="1"/>
      <w:marLeft w:val="0"/>
      <w:marRight w:val="0"/>
      <w:marTop w:val="0"/>
      <w:marBottom w:val="0"/>
      <w:divBdr>
        <w:top w:val="none" w:sz="0" w:space="0" w:color="auto"/>
        <w:left w:val="none" w:sz="0" w:space="0" w:color="auto"/>
        <w:bottom w:val="none" w:sz="0" w:space="0" w:color="auto"/>
        <w:right w:val="none" w:sz="0" w:space="0" w:color="auto"/>
      </w:divBdr>
    </w:div>
    <w:div w:id="724186557">
      <w:bodyDiv w:val="1"/>
      <w:marLeft w:val="0"/>
      <w:marRight w:val="0"/>
      <w:marTop w:val="0"/>
      <w:marBottom w:val="0"/>
      <w:divBdr>
        <w:top w:val="none" w:sz="0" w:space="0" w:color="auto"/>
        <w:left w:val="none" w:sz="0" w:space="0" w:color="auto"/>
        <w:bottom w:val="none" w:sz="0" w:space="0" w:color="auto"/>
        <w:right w:val="none" w:sz="0" w:space="0" w:color="auto"/>
      </w:divBdr>
    </w:div>
    <w:div w:id="727844661">
      <w:bodyDiv w:val="1"/>
      <w:marLeft w:val="0"/>
      <w:marRight w:val="0"/>
      <w:marTop w:val="0"/>
      <w:marBottom w:val="0"/>
      <w:divBdr>
        <w:top w:val="none" w:sz="0" w:space="0" w:color="auto"/>
        <w:left w:val="none" w:sz="0" w:space="0" w:color="auto"/>
        <w:bottom w:val="none" w:sz="0" w:space="0" w:color="auto"/>
        <w:right w:val="none" w:sz="0" w:space="0" w:color="auto"/>
      </w:divBdr>
    </w:div>
    <w:div w:id="733698676">
      <w:bodyDiv w:val="1"/>
      <w:marLeft w:val="0"/>
      <w:marRight w:val="0"/>
      <w:marTop w:val="0"/>
      <w:marBottom w:val="0"/>
      <w:divBdr>
        <w:top w:val="none" w:sz="0" w:space="0" w:color="auto"/>
        <w:left w:val="none" w:sz="0" w:space="0" w:color="auto"/>
        <w:bottom w:val="none" w:sz="0" w:space="0" w:color="auto"/>
        <w:right w:val="none" w:sz="0" w:space="0" w:color="auto"/>
      </w:divBdr>
    </w:div>
    <w:div w:id="735125820">
      <w:bodyDiv w:val="1"/>
      <w:marLeft w:val="0"/>
      <w:marRight w:val="0"/>
      <w:marTop w:val="0"/>
      <w:marBottom w:val="0"/>
      <w:divBdr>
        <w:top w:val="none" w:sz="0" w:space="0" w:color="auto"/>
        <w:left w:val="none" w:sz="0" w:space="0" w:color="auto"/>
        <w:bottom w:val="none" w:sz="0" w:space="0" w:color="auto"/>
        <w:right w:val="none" w:sz="0" w:space="0" w:color="auto"/>
      </w:divBdr>
    </w:div>
    <w:div w:id="758789339">
      <w:bodyDiv w:val="1"/>
      <w:marLeft w:val="0"/>
      <w:marRight w:val="0"/>
      <w:marTop w:val="0"/>
      <w:marBottom w:val="0"/>
      <w:divBdr>
        <w:top w:val="none" w:sz="0" w:space="0" w:color="auto"/>
        <w:left w:val="none" w:sz="0" w:space="0" w:color="auto"/>
        <w:bottom w:val="none" w:sz="0" w:space="0" w:color="auto"/>
        <w:right w:val="none" w:sz="0" w:space="0" w:color="auto"/>
      </w:divBdr>
    </w:div>
    <w:div w:id="762651898">
      <w:bodyDiv w:val="1"/>
      <w:marLeft w:val="0"/>
      <w:marRight w:val="0"/>
      <w:marTop w:val="0"/>
      <w:marBottom w:val="0"/>
      <w:divBdr>
        <w:top w:val="none" w:sz="0" w:space="0" w:color="auto"/>
        <w:left w:val="none" w:sz="0" w:space="0" w:color="auto"/>
        <w:bottom w:val="none" w:sz="0" w:space="0" w:color="auto"/>
        <w:right w:val="none" w:sz="0" w:space="0" w:color="auto"/>
      </w:divBdr>
    </w:div>
    <w:div w:id="772867343">
      <w:bodyDiv w:val="1"/>
      <w:marLeft w:val="0"/>
      <w:marRight w:val="0"/>
      <w:marTop w:val="0"/>
      <w:marBottom w:val="0"/>
      <w:divBdr>
        <w:top w:val="none" w:sz="0" w:space="0" w:color="auto"/>
        <w:left w:val="none" w:sz="0" w:space="0" w:color="auto"/>
        <w:bottom w:val="none" w:sz="0" w:space="0" w:color="auto"/>
        <w:right w:val="none" w:sz="0" w:space="0" w:color="auto"/>
      </w:divBdr>
    </w:div>
    <w:div w:id="785542795">
      <w:bodyDiv w:val="1"/>
      <w:marLeft w:val="0"/>
      <w:marRight w:val="0"/>
      <w:marTop w:val="0"/>
      <w:marBottom w:val="0"/>
      <w:divBdr>
        <w:top w:val="none" w:sz="0" w:space="0" w:color="auto"/>
        <w:left w:val="none" w:sz="0" w:space="0" w:color="auto"/>
        <w:bottom w:val="none" w:sz="0" w:space="0" w:color="auto"/>
        <w:right w:val="none" w:sz="0" w:space="0" w:color="auto"/>
      </w:divBdr>
    </w:div>
    <w:div w:id="794641866">
      <w:bodyDiv w:val="1"/>
      <w:marLeft w:val="0"/>
      <w:marRight w:val="0"/>
      <w:marTop w:val="0"/>
      <w:marBottom w:val="0"/>
      <w:divBdr>
        <w:top w:val="none" w:sz="0" w:space="0" w:color="auto"/>
        <w:left w:val="none" w:sz="0" w:space="0" w:color="auto"/>
        <w:bottom w:val="none" w:sz="0" w:space="0" w:color="auto"/>
        <w:right w:val="none" w:sz="0" w:space="0" w:color="auto"/>
      </w:divBdr>
    </w:div>
    <w:div w:id="813328146">
      <w:bodyDiv w:val="1"/>
      <w:marLeft w:val="0"/>
      <w:marRight w:val="0"/>
      <w:marTop w:val="0"/>
      <w:marBottom w:val="0"/>
      <w:divBdr>
        <w:top w:val="none" w:sz="0" w:space="0" w:color="auto"/>
        <w:left w:val="none" w:sz="0" w:space="0" w:color="auto"/>
        <w:bottom w:val="none" w:sz="0" w:space="0" w:color="auto"/>
        <w:right w:val="none" w:sz="0" w:space="0" w:color="auto"/>
      </w:divBdr>
    </w:div>
    <w:div w:id="838302814">
      <w:bodyDiv w:val="1"/>
      <w:marLeft w:val="0"/>
      <w:marRight w:val="0"/>
      <w:marTop w:val="0"/>
      <w:marBottom w:val="0"/>
      <w:divBdr>
        <w:top w:val="none" w:sz="0" w:space="0" w:color="auto"/>
        <w:left w:val="none" w:sz="0" w:space="0" w:color="auto"/>
        <w:bottom w:val="none" w:sz="0" w:space="0" w:color="auto"/>
        <w:right w:val="none" w:sz="0" w:space="0" w:color="auto"/>
      </w:divBdr>
    </w:div>
    <w:div w:id="864170753">
      <w:bodyDiv w:val="1"/>
      <w:marLeft w:val="0"/>
      <w:marRight w:val="0"/>
      <w:marTop w:val="0"/>
      <w:marBottom w:val="0"/>
      <w:divBdr>
        <w:top w:val="none" w:sz="0" w:space="0" w:color="auto"/>
        <w:left w:val="none" w:sz="0" w:space="0" w:color="auto"/>
        <w:bottom w:val="none" w:sz="0" w:space="0" w:color="auto"/>
        <w:right w:val="none" w:sz="0" w:space="0" w:color="auto"/>
      </w:divBdr>
    </w:div>
    <w:div w:id="866719982">
      <w:bodyDiv w:val="1"/>
      <w:marLeft w:val="0"/>
      <w:marRight w:val="0"/>
      <w:marTop w:val="0"/>
      <w:marBottom w:val="0"/>
      <w:divBdr>
        <w:top w:val="none" w:sz="0" w:space="0" w:color="auto"/>
        <w:left w:val="none" w:sz="0" w:space="0" w:color="auto"/>
        <w:bottom w:val="none" w:sz="0" w:space="0" w:color="auto"/>
        <w:right w:val="none" w:sz="0" w:space="0" w:color="auto"/>
      </w:divBdr>
    </w:div>
    <w:div w:id="867983167">
      <w:bodyDiv w:val="1"/>
      <w:marLeft w:val="0"/>
      <w:marRight w:val="0"/>
      <w:marTop w:val="0"/>
      <w:marBottom w:val="0"/>
      <w:divBdr>
        <w:top w:val="none" w:sz="0" w:space="0" w:color="auto"/>
        <w:left w:val="none" w:sz="0" w:space="0" w:color="auto"/>
        <w:bottom w:val="none" w:sz="0" w:space="0" w:color="auto"/>
        <w:right w:val="none" w:sz="0" w:space="0" w:color="auto"/>
      </w:divBdr>
    </w:div>
    <w:div w:id="915669993">
      <w:bodyDiv w:val="1"/>
      <w:marLeft w:val="0"/>
      <w:marRight w:val="0"/>
      <w:marTop w:val="0"/>
      <w:marBottom w:val="0"/>
      <w:divBdr>
        <w:top w:val="none" w:sz="0" w:space="0" w:color="auto"/>
        <w:left w:val="none" w:sz="0" w:space="0" w:color="auto"/>
        <w:bottom w:val="none" w:sz="0" w:space="0" w:color="auto"/>
        <w:right w:val="none" w:sz="0" w:space="0" w:color="auto"/>
      </w:divBdr>
    </w:div>
    <w:div w:id="919755507">
      <w:bodyDiv w:val="1"/>
      <w:marLeft w:val="0"/>
      <w:marRight w:val="0"/>
      <w:marTop w:val="0"/>
      <w:marBottom w:val="0"/>
      <w:divBdr>
        <w:top w:val="none" w:sz="0" w:space="0" w:color="auto"/>
        <w:left w:val="none" w:sz="0" w:space="0" w:color="auto"/>
        <w:bottom w:val="none" w:sz="0" w:space="0" w:color="auto"/>
        <w:right w:val="none" w:sz="0" w:space="0" w:color="auto"/>
      </w:divBdr>
    </w:div>
    <w:div w:id="928389591">
      <w:bodyDiv w:val="1"/>
      <w:marLeft w:val="0"/>
      <w:marRight w:val="0"/>
      <w:marTop w:val="0"/>
      <w:marBottom w:val="0"/>
      <w:divBdr>
        <w:top w:val="none" w:sz="0" w:space="0" w:color="auto"/>
        <w:left w:val="none" w:sz="0" w:space="0" w:color="auto"/>
        <w:bottom w:val="none" w:sz="0" w:space="0" w:color="auto"/>
        <w:right w:val="none" w:sz="0" w:space="0" w:color="auto"/>
      </w:divBdr>
    </w:div>
    <w:div w:id="934365243">
      <w:bodyDiv w:val="1"/>
      <w:marLeft w:val="0"/>
      <w:marRight w:val="0"/>
      <w:marTop w:val="0"/>
      <w:marBottom w:val="0"/>
      <w:divBdr>
        <w:top w:val="none" w:sz="0" w:space="0" w:color="auto"/>
        <w:left w:val="none" w:sz="0" w:space="0" w:color="auto"/>
        <w:bottom w:val="none" w:sz="0" w:space="0" w:color="auto"/>
        <w:right w:val="none" w:sz="0" w:space="0" w:color="auto"/>
      </w:divBdr>
    </w:div>
    <w:div w:id="950012035">
      <w:bodyDiv w:val="1"/>
      <w:marLeft w:val="0"/>
      <w:marRight w:val="0"/>
      <w:marTop w:val="0"/>
      <w:marBottom w:val="0"/>
      <w:divBdr>
        <w:top w:val="none" w:sz="0" w:space="0" w:color="auto"/>
        <w:left w:val="none" w:sz="0" w:space="0" w:color="auto"/>
        <w:bottom w:val="none" w:sz="0" w:space="0" w:color="auto"/>
        <w:right w:val="none" w:sz="0" w:space="0" w:color="auto"/>
      </w:divBdr>
    </w:div>
    <w:div w:id="952401771">
      <w:bodyDiv w:val="1"/>
      <w:marLeft w:val="0"/>
      <w:marRight w:val="0"/>
      <w:marTop w:val="0"/>
      <w:marBottom w:val="0"/>
      <w:divBdr>
        <w:top w:val="none" w:sz="0" w:space="0" w:color="auto"/>
        <w:left w:val="none" w:sz="0" w:space="0" w:color="auto"/>
        <w:bottom w:val="none" w:sz="0" w:space="0" w:color="auto"/>
        <w:right w:val="none" w:sz="0" w:space="0" w:color="auto"/>
      </w:divBdr>
    </w:div>
    <w:div w:id="993530934">
      <w:bodyDiv w:val="1"/>
      <w:marLeft w:val="0"/>
      <w:marRight w:val="0"/>
      <w:marTop w:val="0"/>
      <w:marBottom w:val="0"/>
      <w:divBdr>
        <w:top w:val="none" w:sz="0" w:space="0" w:color="auto"/>
        <w:left w:val="none" w:sz="0" w:space="0" w:color="auto"/>
        <w:bottom w:val="none" w:sz="0" w:space="0" w:color="auto"/>
        <w:right w:val="none" w:sz="0" w:space="0" w:color="auto"/>
      </w:divBdr>
    </w:div>
    <w:div w:id="1005397603">
      <w:bodyDiv w:val="1"/>
      <w:marLeft w:val="0"/>
      <w:marRight w:val="0"/>
      <w:marTop w:val="0"/>
      <w:marBottom w:val="0"/>
      <w:divBdr>
        <w:top w:val="none" w:sz="0" w:space="0" w:color="auto"/>
        <w:left w:val="none" w:sz="0" w:space="0" w:color="auto"/>
        <w:bottom w:val="none" w:sz="0" w:space="0" w:color="auto"/>
        <w:right w:val="none" w:sz="0" w:space="0" w:color="auto"/>
      </w:divBdr>
    </w:div>
    <w:div w:id="1008413028">
      <w:bodyDiv w:val="1"/>
      <w:marLeft w:val="0"/>
      <w:marRight w:val="0"/>
      <w:marTop w:val="0"/>
      <w:marBottom w:val="0"/>
      <w:divBdr>
        <w:top w:val="none" w:sz="0" w:space="0" w:color="auto"/>
        <w:left w:val="none" w:sz="0" w:space="0" w:color="auto"/>
        <w:bottom w:val="none" w:sz="0" w:space="0" w:color="auto"/>
        <w:right w:val="none" w:sz="0" w:space="0" w:color="auto"/>
      </w:divBdr>
    </w:div>
    <w:div w:id="1057586618">
      <w:bodyDiv w:val="1"/>
      <w:marLeft w:val="0"/>
      <w:marRight w:val="0"/>
      <w:marTop w:val="0"/>
      <w:marBottom w:val="0"/>
      <w:divBdr>
        <w:top w:val="none" w:sz="0" w:space="0" w:color="auto"/>
        <w:left w:val="none" w:sz="0" w:space="0" w:color="auto"/>
        <w:bottom w:val="none" w:sz="0" w:space="0" w:color="auto"/>
        <w:right w:val="none" w:sz="0" w:space="0" w:color="auto"/>
      </w:divBdr>
    </w:div>
    <w:div w:id="1058941990">
      <w:bodyDiv w:val="1"/>
      <w:marLeft w:val="0"/>
      <w:marRight w:val="0"/>
      <w:marTop w:val="0"/>
      <w:marBottom w:val="0"/>
      <w:divBdr>
        <w:top w:val="none" w:sz="0" w:space="0" w:color="auto"/>
        <w:left w:val="none" w:sz="0" w:space="0" w:color="auto"/>
        <w:bottom w:val="none" w:sz="0" w:space="0" w:color="auto"/>
        <w:right w:val="none" w:sz="0" w:space="0" w:color="auto"/>
      </w:divBdr>
    </w:div>
    <w:div w:id="1069107990">
      <w:bodyDiv w:val="1"/>
      <w:marLeft w:val="0"/>
      <w:marRight w:val="0"/>
      <w:marTop w:val="0"/>
      <w:marBottom w:val="0"/>
      <w:divBdr>
        <w:top w:val="none" w:sz="0" w:space="0" w:color="auto"/>
        <w:left w:val="none" w:sz="0" w:space="0" w:color="auto"/>
        <w:bottom w:val="none" w:sz="0" w:space="0" w:color="auto"/>
        <w:right w:val="none" w:sz="0" w:space="0" w:color="auto"/>
      </w:divBdr>
    </w:div>
    <w:div w:id="1102721650">
      <w:bodyDiv w:val="1"/>
      <w:marLeft w:val="0"/>
      <w:marRight w:val="0"/>
      <w:marTop w:val="0"/>
      <w:marBottom w:val="0"/>
      <w:divBdr>
        <w:top w:val="none" w:sz="0" w:space="0" w:color="auto"/>
        <w:left w:val="none" w:sz="0" w:space="0" w:color="auto"/>
        <w:bottom w:val="none" w:sz="0" w:space="0" w:color="auto"/>
        <w:right w:val="none" w:sz="0" w:space="0" w:color="auto"/>
      </w:divBdr>
    </w:div>
    <w:div w:id="1105342359">
      <w:bodyDiv w:val="1"/>
      <w:marLeft w:val="0"/>
      <w:marRight w:val="0"/>
      <w:marTop w:val="0"/>
      <w:marBottom w:val="0"/>
      <w:divBdr>
        <w:top w:val="none" w:sz="0" w:space="0" w:color="auto"/>
        <w:left w:val="none" w:sz="0" w:space="0" w:color="auto"/>
        <w:bottom w:val="none" w:sz="0" w:space="0" w:color="auto"/>
        <w:right w:val="none" w:sz="0" w:space="0" w:color="auto"/>
      </w:divBdr>
    </w:div>
    <w:div w:id="1110736078">
      <w:bodyDiv w:val="1"/>
      <w:marLeft w:val="0"/>
      <w:marRight w:val="0"/>
      <w:marTop w:val="0"/>
      <w:marBottom w:val="0"/>
      <w:divBdr>
        <w:top w:val="none" w:sz="0" w:space="0" w:color="auto"/>
        <w:left w:val="none" w:sz="0" w:space="0" w:color="auto"/>
        <w:bottom w:val="none" w:sz="0" w:space="0" w:color="auto"/>
        <w:right w:val="none" w:sz="0" w:space="0" w:color="auto"/>
      </w:divBdr>
    </w:div>
    <w:div w:id="1121607001">
      <w:bodyDiv w:val="1"/>
      <w:marLeft w:val="0"/>
      <w:marRight w:val="0"/>
      <w:marTop w:val="0"/>
      <w:marBottom w:val="0"/>
      <w:divBdr>
        <w:top w:val="none" w:sz="0" w:space="0" w:color="auto"/>
        <w:left w:val="none" w:sz="0" w:space="0" w:color="auto"/>
        <w:bottom w:val="none" w:sz="0" w:space="0" w:color="auto"/>
        <w:right w:val="none" w:sz="0" w:space="0" w:color="auto"/>
      </w:divBdr>
    </w:div>
    <w:div w:id="1146049829">
      <w:bodyDiv w:val="1"/>
      <w:marLeft w:val="0"/>
      <w:marRight w:val="0"/>
      <w:marTop w:val="0"/>
      <w:marBottom w:val="0"/>
      <w:divBdr>
        <w:top w:val="none" w:sz="0" w:space="0" w:color="auto"/>
        <w:left w:val="none" w:sz="0" w:space="0" w:color="auto"/>
        <w:bottom w:val="none" w:sz="0" w:space="0" w:color="auto"/>
        <w:right w:val="none" w:sz="0" w:space="0" w:color="auto"/>
      </w:divBdr>
      <w:divsChild>
        <w:div w:id="1406954731">
          <w:marLeft w:val="0"/>
          <w:marRight w:val="0"/>
          <w:marTop w:val="0"/>
          <w:marBottom w:val="0"/>
          <w:divBdr>
            <w:top w:val="none" w:sz="0" w:space="0" w:color="auto"/>
            <w:left w:val="none" w:sz="0" w:space="0" w:color="auto"/>
            <w:bottom w:val="none" w:sz="0" w:space="0" w:color="auto"/>
            <w:right w:val="none" w:sz="0" w:space="0" w:color="auto"/>
          </w:divBdr>
        </w:div>
      </w:divsChild>
    </w:div>
    <w:div w:id="1161702389">
      <w:bodyDiv w:val="1"/>
      <w:marLeft w:val="0"/>
      <w:marRight w:val="0"/>
      <w:marTop w:val="0"/>
      <w:marBottom w:val="0"/>
      <w:divBdr>
        <w:top w:val="none" w:sz="0" w:space="0" w:color="auto"/>
        <w:left w:val="none" w:sz="0" w:space="0" w:color="auto"/>
        <w:bottom w:val="none" w:sz="0" w:space="0" w:color="auto"/>
        <w:right w:val="none" w:sz="0" w:space="0" w:color="auto"/>
      </w:divBdr>
    </w:div>
    <w:div w:id="1161854130">
      <w:bodyDiv w:val="1"/>
      <w:marLeft w:val="0"/>
      <w:marRight w:val="0"/>
      <w:marTop w:val="0"/>
      <w:marBottom w:val="0"/>
      <w:divBdr>
        <w:top w:val="none" w:sz="0" w:space="0" w:color="auto"/>
        <w:left w:val="none" w:sz="0" w:space="0" w:color="auto"/>
        <w:bottom w:val="none" w:sz="0" w:space="0" w:color="auto"/>
        <w:right w:val="none" w:sz="0" w:space="0" w:color="auto"/>
      </w:divBdr>
    </w:div>
    <w:div w:id="1173909367">
      <w:bodyDiv w:val="1"/>
      <w:marLeft w:val="0"/>
      <w:marRight w:val="0"/>
      <w:marTop w:val="0"/>
      <w:marBottom w:val="0"/>
      <w:divBdr>
        <w:top w:val="none" w:sz="0" w:space="0" w:color="auto"/>
        <w:left w:val="none" w:sz="0" w:space="0" w:color="auto"/>
        <w:bottom w:val="none" w:sz="0" w:space="0" w:color="auto"/>
        <w:right w:val="none" w:sz="0" w:space="0" w:color="auto"/>
      </w:divBdr>
    </w:div>
    <w:div w:id="1183934250">
      <w:bodyDiv w:val="1"/>
      <w:marLeft w:val="0"/>
      <w:marRight w:val="0"/>
      <w:marTop w:val="0"/>
      <w:marBottom w:val="0"/>
      <w:divBdr>
        <w:top w:val="none" w:sz="0" w:space="0" w:color="auto"/>
        <w:left w:val="none" w:sz="0" w:space="0" w:color="auto"/>
        <w:bottom w:val="none" w:sz="0" w:space="0" w:color="auto"/>
        <w:right w:val="none" w:sz="0" w:space="0" w:color="auto"/>
      </w:divBdr>
    </w:div>
    <w:div w:id="1190947076">
      <w:bodyDiv w:val="1"/>
      <w:marLeft w:val="0"/>
      <w:marRight w:val="0"/>
      <w:marTop w:val="0"/>
      <w:marBottom w:val="0"/>
      <w:divBdr>
        <w:top w:val="none" w:sz="0" w:space="0" w:color="auto"/>
        <w:left w:val="none" w:sz="0" w:space="0" w:color="auto"/>
        <w:bottom w:val="none" w:sz="0" w:space="0" w:color="auto"/>
        <w:right w:val="none" w:sz="0" w:space="0" w:color="auto"/>
      </w:divBdr>
    </w:div>
    <w:div w:id="1200239550">
      <w:bodyDiv w:val="1"/>
      <w:marLeft w:val="0"/>
      <w:marRight w:val="0"/>
      <w:marTop w:val="0"/>
      <w:marBottom w:val="0"/>
      <w:divBdr>
        <w:top w:val="none" w:sz="0" w:space="0" w:color="auto"/>
        <w:left w:val="none" w:sz="0" w:space="0" w:color="auto"/>
        <w:bottom w:val="none" w:sz="0" w:space="0" w:color="auto"/>
        <w:right w:val="none" w:sz="0" w:space="0" w:color="auto"/>
      </w:divBdr>
    </w:div>
    <w:div w:id="1203127691">
      <w:bodyDiv w:val="1"/>
      <w:marLeft w:val="0"/>
      <w:marRight w:val="0"/>
      <w:marTop w:val="0"/>
      <w:marBottom w:val="0"/>
      <w:divBdr>
        <w:top w:val="none" w:sz="0" w:space="0" w:color="auto"/>
        <w:left w:val="none" w:sz="0" w:space="0" w:color="auto"/>
        <w:bottom w:val="none" w:sz="0" w:space="0" w:color="auto"/>
        <w:right w:val="none" w:sz="0" w:space="0" w:color="auto"/>
      </w:divBdr>
    </w:div>
    <w:div w:id="1203858153">
      <w:bodyDiv w:val="1"/>
      <w:marLeft w:val="0"/>
      <w:marRight w:val="0"/>
      <w:marTop w:val="0"/>
      <w:marBottom w:val="0"/>
      <w:divBdr>
        <w:top w:val="none" w:sz="0" w:space="0" w:color="auto"/>
        <w:left w:val="none" w:sz="0" w:space="0" w:color="auto"/>
        <w:bottom w:val="none" w:sz="0" w:space="0" w:color="auto"/>
        <w:right w:val="none" w:sz="0" w:space="0" w:color="auto"/>
      </w:divBdr>
    </w:div>
    <w:div w:id="1234243432">
      <w:bodyDiv w:val="1"/>
      <w:marLeft w:val="0"/>
      <w:marRight w:val="0"/>
      <w:marTop w:val="0"/>
      <w:marBottom w:val="0"/>
      <w:divBdr>
        <w:top w:val="none" w:sz="0" w:space="0" w:color="auto"/>
        <w:left w:val="none" w:sz="0" w:space="0" w:color="auto"/>
        <w:bottom w:val="none" w:sz="0" w:space="0" w:color="auto"/>
        <w:right w:val="none" w:sz="0" w:space="0" w:color="auto"/>
      </w:divBdr>
    </w:div>
    <w:div w:id="1287660423">
      <w:bodyDiv w:val="1"/>
      <w:marLeft w:val="0"/>
      <w:marRight w:val="0"/>
      <w:marTop w:val="0"/>
      <w:marBottom w:val="0"/>
      <w:divBdr>
        <w:top w:val="none" w:sz="0" w:space="0" w:color="auto"/>
        <w:left w:val="none" w:sz="0" w:space="0" w:color="auto"/>
        <w:bottom w:val="none" w:sz="0" w:space="0" w:color="auto"/>
        <w:right w:val="none" w:sz="0" w:space="0" w:color="auto"/>
      </w:divBdr>
    </w:div>
    <w:div w:id="1304234246">
      <w:bodyDiv w:val="1"/>
      <w:marLeft w:val="0"/>
      <w:marRight w:val="0"/>
      <w:marTop w:val="0"/>
      <w:marBottom w:val="0"/>
      <w:divBdr>
        <w:top w:val="none" w:sz="0" w:space="0" w:color="auto"/>
        <w:left w:val="none" w:sz="0" w:space="0" w:color="auto"/>
        <w:bottom w:val="none" w:sz="0" w:space="0" w:color="auto"/>
        <w:right w:val="none" w:sz="0" w:space="0" w:color="auto"/>
      </w:divBdr>
    </w:div>
    <w:div w:id="1320158025">
      <w:bodyDiv w:val="1"/>
      <w:marLeft w:val="0"/>
      <w:marRight w:val="0"/>
      <w:marTop w:val="0"/>
      <w:marBottom w:val="0"/>
      <w:divBdr>
        <w:top w:val="none" w:sz="0" w:space="0" w:color="auto"/>
        <w:left w:val="none" w:sz="0" w:space="0" w:color="auto"/>
        <w:bottom w:val="none" w:sz="0" w:space="0" w:color="auto"/>
        <w:right w:val="none" w:sz="0" w:space="0" w:color="auto"/>
      </w:divBdr>
      <w:divsChild>
        <w:div w:id="1655378237">
          <w:marLeft w:val="0"/>
          <w:marRight w:val="0"/>
          <w:marTop w:val="0"/>
          <w:marBottom w:val="0"/>
          <w:divBdr>
            <w:top w:val="none" w:sz="0" w:space="0" w:color="auto"/>
            <w:left w:val="none" w:sz="0" w:space="0" w:color="auto"/>
            <w:bottom w:val="none" w:sz="0" w:space="0" w:color="auto"/>
            <w:right w:val="none" w:sz="0" w:space="0" w:color="auto"/>
          </w:divBdr>
          <w:divsChild>
            <w:div w:id="17363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8912">
      <w:bodyDiv w:val="1"/>
      <w:marLeft w:val="0"/>
      <w:marRight w:val="0"/>
      <w:marTop w:val="0"/>
      <w:marBottom w:val="0"/>
      <w:divBdr>
        <w:top w:val="none" w:sz="0" w:space="0" w:color="auto"/>
        <w:left w:val="none" w:sz="0" w:space="0" w:color="auto"/>
        <w:bottom w:val="none" w:sz="0" w:space="0" w:color="auto"/>
        <w:right w:val="none" w:sz="0" w:space="0" w:color="auto"/>
      </w:divBdr>
    </w:div>
    <w:div w:id="1334607128">
      <w:bodyDiv w:val="1"/>
      <w:marLeft w:val="0"/>
      <w:marRight w:val="0"/>
      <w:marTop w:val="0"/>
      <w:marBottom w:val="0"/>
      <w:divBdr>
        <w:top w:val="none" w:sz="0" w:space="0" w:color="auto"/>
        <w:left w:val="none" w:sz="0" w:space="0" w:color="auto"/>
        <w:bottom w:val="none" w:sz="0" w:space="0" w:color="auto"/>
        <w:right w:val="none" w:sz="0" w:space="0" w:color="auto"/>
      </w:divBdr>
    </w:div>
    <w:div w:id="1353730240">
      <w:bodyDiv w:val="1"/>
      <w:marLeft w:val="0"/>
      <w:marRight w:val="0"/>
      <w:marTop w:val="0"/>
      <w:marBottom w:val="0"/>
      <w:divBdr>
        <w:top w:val="none" w:sz="0" w:space="0" w:color="auto"/>
        <w:left w:val="none" w:sz="0" w:space="0" w:color="auto"/>
        <w:bottom w:val="none" w:sz="0" w:space="0" w:color="auto"/>
        <w:right w:val="none" w:sz="0" w:space="0" w:color="auto"/>
      </w:divBdr>
    </w:div>
    <w:div w:id="1353916126">
      <w:bodyDiv w:val="1"/>
      <w:marLeft w:val="0"/>
      <w:marRight w:val="0"/>
      <w:marTop w:val="0"/>
      <w:marBottom w:val="0"/>
      <w:divBdr>
        <w:top w:val="none" w:sz="0" w:space="0" w:color="auto"/>
        <w:left w:val="none" w:sz="0" w:space="0" w:color="auto"/>
        <w:bottom w:val="none" w:sz="0" w:space="0" w:color="auto"/>
        <w:right w:val="none" w:sz="0" w:space="0" w:color="auto"/>
      </w:divBdr>
    </w:div>
    <w:div w:id="1396473614">
      <w:bodyDiv w:val="1"/>
      <w:marLeft w:val="0"/>
      <w:marRight w:val="0"/>
      <w:marTop w:val="0"/>
      <w:marBottom w:val="0"/>
      <w:divBdr>
        <w:top w:val="none" w:sz="0" w:space="0" w:color="auto"/>
        <w:left w:val="none" w:sz="0" w:space="0" w:color="auto"/>
        <w:bottom w:val="none" w:sz="0" w:space="0" w:color="auto"/>
        <w:right w:val="none" w:sz="0" w:space="0" w:color="auto"/>
      </w:divBdr>
    </w:div>
    <w:div w:id="1410612495">
      <w:bodyDiv w:val="1"/>
      <w:marLeft w:val="0"/>
      <w:marRight w:val="0"/>
      <w:marTop w:val="0"/>
      <w:marBottom w:val="0"/>
      <w:divBdr>
        <w:top w:val="none" w:sz="0" w:space="0" w:color="auto"/>
        <w:left w:val="none" w:sz="0" w:space="0" w:color="auto"/>
        <w:bottom w:val="none" w:sz="0" w:space="0" w:color="auto"/>
        <w:right w:val="none" w:sz="0" w:space="0" w:color="auto"/>
      </w:divBdr>
    </w:div>
    <w:div w:id="1436634104">
      <w:bodyDiv w:val="1"/>
      <w:marLeft w:val="0"/>
      <w:marRight w:val="0"/>
      <w:marTop w:val="0"/>
      <w:marBottom w:val="0"/>
      <w:divBdr>
        <w:top w:val="none" w:sz="0" w:space="0" w:color="auto"/>
        <w:left w:val="none" w:sz="0" w:space="0" w:color="auto"/>
        <w:bottom w:val="none" w:sz="0" w:space="0" w:color="auto"/>
        <w:right w:val="none" w:sz="0" w:space="0" w:color="auto"/>
      </w:divBdr>
    </w:div>
    <w:div w:id="1459030653">
      <w:bodyDiv w:val="1"/>
      <w:marLeft w:val="0"/>
      <w:marRight w:val="0"/>
      <w:marTop w:val="0"/>
      <w:marBottom w:val="0"/>
      <w:divBdr>
        <w:top w:val="none" w:sz="0" w:space="0" w:color="auto"/>
        <w:left w:val="none" w:sz="0" w:space="0" w:color="auto"/>
        <w:bottom w:val="none" w:sz="0" w:space="0" w:color="auto"/>
        <w:right w:val="none" w:sz="0" w:space="0" w:color="auto"/>
      </w:divBdr>
    </w:div>
    <w:div w:id="1509173337">
      <w:bodyDiv w:val="1"/>
      <w:marLeft w:val="0"/>
      <w:marRight w:val="0"/>
      <w:marTop w:val="0"/>
      <w:marBottom w:val="0"/>
      <w:divBdr>
        <w:top w:val="none" w:sz="0" w:space="0" w:color="auto"/>
        <w:left w:val="none" w:sz="0" w:space="0" w:color="auto"/>
        <w:bottom w:val="none" w:sz="0" w:space="0" w:color="auto"/>
        <w:right w:val="none" w:sz="0" w:space="0" w:color="auto"/>
      </w:divBdr>
    </w:div>
    <w:div w:id="1510101066">
      <w:bodyDiv w:val="1"/>
      <w:marLeft w:val="0"/>
      <w:marRight w:val="0"/>
      <w:marTop w:val="0"/>
      <w:marBottom w:val="0"/>
      <w:divBdr>
        <w:top w:val="none" w:sz="0" w:space="0" w:color="auto"/>
        <w:left w:val="none" w:sz="0" w:space="0" w:color="auto"/>
        <w:bottom w:val="none" w:sz="0" w:space="0" w:color="auto"/>
        <w:right w:val="none" w:sz="0" w:space="0" w:color="auto"/>
      </w:divBdr>
    </w:div>
    <w:div w:id="1520586955">
      <w:bodyDiv w:val="1"/>
      <w:marLeft w:val="0"/>
      <w:marRight w:val="0"/>
      <w:marTop w:val="0"/>
      <w:marBottom w:val="0"/>
      <w:divBdr>
        <w:top w:val="none" w:sz="0" w:space="0" w:color="auto"/>
        <w:left w:val="none" w:sz="0" w:space="0" w:color="auto"/>
        <w:bottom w:val="none" w:sz="0" w:space="0" w:color="auto"/>
        <w:right w:val="none" w:sz="0" w:space="0" w:color="auto"/>
      </w:divBdr>
    </w:div>
    <w:div w:id="1529105655">
      <w:bodyDiv w:val="1"/>
      <w:marLeft w:val="0"/>
      <w:marRight w:val="0"/>
      <w:marTop w:val="0"/>
      <w:marBottom w:val="0"/>
      <w:divBdr>
        <w:top w:val="none" w:sz="0" w:space="0" w:color="auto"/>
        <w:left w:val="none" w:sz="0" w:space="0" w:color="auto"/>
        <w:bottom w:val="none" w:sz="0" w:space="0" w:color="auto"/>
        <w:right w:val="none" w:sz="0" w:space="0" w:color="auto"/>
      </w:divBdr>
    </w:div>
    <w:div w:id="1554728881">
      <w:bodyDiv w:val="1"/>
      <w:marLeft w:val="0"/>
      <w:marRight w:val="0"/>
      <w:marTop w:val="0"/>
      <w:marBottom w:val="0"/>
      <w:divBdr>
        <w:top w:val="none" w:sz="0" w:space="0" w:color="auto"/>
        <w:left w:val="none" w:sz="0" w:space="0" w:color="auto"/>
        <w:bottom w:val="none" w:sz="0" w:space="0" w:color="auto"/>
        <w:right w:val="none" w:sz="0" w:space="0" w:color="auto"/>
      </w:divBdr>
    </w:div>
    <w:div w:id="1575896425">
      <w:bodyDiv w:val="1"/>
      <w:marLeft w:val="0"/>
      <w:marRight w:val="0"/>
      <w:marTop w:val="0"/>
      <w:marBottom w:val="0"/>
      <w:divBdr>
        <w:top w:val="none" w:sz="0" w:space="0" w:color="auto"/>
        <w:left w:val="none" w:sz="0" w:space="0" w:color="auto"/>
        <w:bottom w:val="none" w:sz="0" w:space="0" w:color="auto"/>
        <w:right w:val="none" w:sz="0" w:space="0" w:color="auto"/>
      </w:divBdr>
    </w:div>
    <w:div w:id="1585215717">
      <w:bodyDiv w:val="1"/>
      <w:marLeft w:val="0"/>
      <w:marRight w:val="0"/>
      <w:marTop w:val="0"/>
      <w:marBottom w:val="0"/>
      <w:divBdr>
        <w:top w:val="none" w:sz="0" w:space="0" w:color="auto"/>
        <w:left w:val="none" w:sz="0" w:space="0" w:color="auto"/>
        <w:bottom w:val="none" w:sz="0" w:space="0" w:color="auto"/>
        <w:right w:val="none" w:sz="0" w:space="0" w:color="auto"/>
      </w:divBdr>
    </w:div>
    <w:div w:id="1594319075">
      <w:bodyDiv w:val="1"/>
      <w:marLeft w:val="0"/>
      <w:marRight w:val="0"/>
      <w:marTop w:val="0"/>
      <w:marBottom w:val="0"/>
      <w:divBdr>
        <w:top w:val="none" w:sz="0" w:space="0" w:color="auto"/>
        <w:left w:val="none" w:sz="0" w:space="0" w:color="auto"/>
        <w:bottom w:val="none" w:sz="0" w:space="0" w:color="auto"/>
        <w:right w:val="none" w:sz="0" w:space="0" w:color="auto"/>
      </w:divBdr>
    </w:div>
    <w:div w:id="1601793068">
      <w:bodyDiv w:val="1"/>
      <w:marLeft w:val="0"/>
      <w:marRight w:val="0"/>
      <w:marTop w:val="0"/>
      <w:marBottom w:val="0"/>
      <w:divBdr>
        <w:top w:val="none" w:sz="0" w:space="0" w:color="auto"/>
        <w:left w:val="none" w:sz="0" w:space="0" w:color="auto"/>
        <w:bottom w:val="none" w:sz="0" w:space="0" w:color="auto"/>
        <w:right w:val="none" w:sz="0" w:space="0" w:color="auto"/>
      </w:divBdr>
    </w:div>
    <w:div w:id="1603807224">
      <w:bodyDiv w:val="1"/>
      <w:marLeft w:val="0"/>
      <w:marRight w:val="0"/>
      <w:marTop w:val="0"/>
      <w:marBottom w:val="0"/>
      <w:divBdr>
        <w:top w:val="none" w:sz="0" w:space="0" w:color="auto"/>
        <w:left w:val="none" w:sz="0" w:space="0" w:color="auto"/>
        <w:bottom w:val="none" w:sz="0" w:space="0" w:color="auto"/>
        <w:right w:val="none" w:sz="0" w:space="0" w:color="auto"/>
      </w:divBdr>
    </w:div>
    <w:div w:id="1616132499">
      <w:bodyDiv w:val="1"/>
      <w:marLeft w:val="0"/>
      <w:marRight w:val="0"/>
      <w:marTop w:val="0"/>
      <w:marBottom w:val="0"/>
      <w:divBdr>
        <w:top w:val="none" w:sz="0" w:space="0" w:color="auto"/>
        <w:left w:val="none" w:sz="0" w:space="0" w:color="auto"/>
        <w:bottom w:val="none" w:sz="0" w:space="0" w:color="auto"/>
        <w:right w:val="none" w:sz="0" w:space="0" w:color="auto"/>
      </w:divBdr>
    </w:div>
    <w:div w:id="1623923714">
      <w:bodyDiv w:val="1"/>
      <w:marLeft w:val="0"/>
      <w:marRight w:val="0"/>
      <w:marTop w:val="0"/>
      <w:marBottom w:val="0"/>
      <w:divBdr>
        <w:top w:val="none" w:sz="0" w:space="0" w:color="auto"/>
        <w:left w:val="none" w:sz="0" w:space="0" w:color="auto"/>
        <w:bottom w:val="none" w:sz="0" w:space="0" w:color="auto"/>
        <w:right w:val="none" w:sz="0" w:space="0" w:color="auto"/>
      </w:divBdr>
    </w:div>
    <w:div w:id="1648439689">
      <w:bodyDiv w:val="1"/>
      <w:marLeft w:val="0"/>
      <w:marRight w:val="0"/>
      <w:marTop w:val="0"/>
      <w:marBottom w:val="0"/>
      <w:divBdr>
        <w:top w:val="none" w:sz="0" w:space="0" w:color="auto"/>
        <w:left w:val="none" w:sz="0" w:space="0" w:color="auto"/>
        <w:bottom w:val="none" w:sz="0" w:space="0" w:color="auto"/>
        <w:right w:val="none" w:sz="0" w:space="0" w:color="auto"/>
      </w:divBdr>
    </w:div>
    <w:div w:id="1650749300">
      <w:bodyDiv w:val="1"/>
      <w:marLeft w:val="0"/>
      <w:marRight w:val="0"/>
      <w:marTop w:val="0"/>
      <w:marBottom w:val="0"/>
      <w:divBdr>
        <w:top w:val="none" w:sz="0" w:space="0" w:color="auto"/>
        <w:left w:val="none" w:sz="0" w:space="0" w:color="auto"/>
        <w:bottom w:val="none" w:sz="0" w:space="0" w:color="auto"/>
        <w:right w:val="none" w:sz="0" w:space="0" w:color="auto"/>
      </w:divBdr>
    </w:div>
    <w:div w:id="1672680075">
      <w:bodyDiv w:val="1"/>
      <w:marLeft w:val="0"/>
      <w:marRight w:val="0"/>
      <w:marTop w:val="0"/>
      <w:marBottom w:val="0"/>
      <w:divBdr>
        <w:top w:val="none" w:sz="0" w:space="0" w:color="auto"/>
        <w:left w:val="none" w:sz="0" w:space="0" w:color="auto"/>
        <w:bottom w:val="none" w:sz="0" w:space="0" w:color="auto"/>
        <w:right w:val="none" w:sz="0" w:space="0" w:color="auto"/>
      </w:divBdr>
    </w:div>
    <w:div w:id="1688750788">
      <w:bodyDiv w:val="1"/>
      <w:marLeft w:val="0"/>
      <w:marRight w:val="0"/>
      <w:marTop w:val="0"/>
      <w:marBottom w:val="0"/>
      <w:divBdr>
        <w:top w:val="none" w:sz="0" w:space="0" w:color="auto"/>
        <w:left w:val="none" w:sz="0" w:space="0" w:color="auto"/>
        <w:bottom w:val="none" w:sz="0" w:space="0" w:color="auto"/>
        <w:right w:val="none" w:sz="0" w:space="0" w:color="auto"/>
      </w:divBdr>
    </w:div>
    <w:div w:id="1689604200">
      <w:bodyDiv w:val="1"/>
      <w:marLeft w:val="0"/>
      <w:marRight w:val="0"/>
      <w:marTop w:val="0"/>
      <w:marBottom w:val="0"/>
      <w:divBdr>
        <w:top w:val="none" w:sz="0" w:space="0" w:color="auto"/>
        <w:left w:val="none" w:sz="0" w:space="0" w:color="auto"/>
        <w:bottom w:val="none" w:sz="0" w:space="0" w:color="auto"/>
        <w:right w:val="none" w:sz="0" w:space="0" w:color="auto"/>
      </w:divBdr>
    </w:div>
    <w:div w:id="1711952950">
      <w:bodyDiv w:val="1"/>
      <w:marLeft w:val="0"/>
      <w:marRight w:val="0"/>
      <w:marTop w:val="0"/>
      <w:marBottom w:val="0"/>
      <w:divBdr>
        <w:top w:val="none" w:sz="0" w:space="0" w:color="auto"/>
        <w:left w:val="none" w:sz="0" w:space="0" w:color="auto"/>
        <w:bottom w:val="none" w:sz="0" w:space="0" w:color="auto"/>
        <w:right w:val="none" w:sz="0" w:space="0" w:color="auto"/>
      </w:divBdr>
    </w:div>
    <w:div w:id="1715350239">
      <w:bodyDiv w:val="1"/>
      <w:marLeft w:val="0"/>
      <w:marRight w:val="0"/>
      <w:marTop w:val="0"/>
      <w:marBottom w:val="0"/>
      <w:divBdr>
        <w:top w:val="none" w:sz="0" w:space="0" w:color="auto"/>
        <w:left w:val="none" w:sz="0" w:space="0" w:color="auto"/>
        <w:bottom w:val="none" w:sz="0" w:space="0" w:color="auto"/>
        <w:right w:val="none" w:sz="0" w:space="0" w:color="auto"/>
      </w:divBdr>
    </w:div>
    <w:div w:id="1742210976">
      <w:bodyDiv w:val="1"/>
      <w:marLeft w:val="0"/>
      <w:marRight w:val="0"/>
      <w:marTop w:val="0"/>
      <w:marBottom w:val="0"/>
      <w:divBdr>
        <w:top w:val="none" w:sz="0" w:space="0" w:color="auto"/>
        <w:left w:val="none" w:sz="0" w:space="0" w:color="auto"/>
        <w:bottom w:val="none" w:sz="0" w:space="0" w:color="auto"/>
        <w:right w:val="none" w:sz="0" w:space="0" w:color="auto"/>
      </w:divBdr>
    </w:div>
    <w:div w:id="1745295298">
      <w:bodyDiv w:val="1"/>
      <w:marLeft w:val="0"/>
      <w:marRight w:val="0"/>
      <w:marTop w:val="0"/>
      <w:marBottom w:val="0"/>
      <w:divBdr>
        <w:top w:val="none" w:sz="0" w:space="0" w:color="auto"/>
        <w:left w:val="none" w:sz="0" w:space="0" w:color="auto"/>
        <w:bottom w:val="none" w:sz="0" w:space="0" w:color="auto"/>
        <w:right w:val="none" w:sz="0" w:space="0" w:color="auto"/>
      </w:divBdr>
    </w:div>
    <w:div w:id="1752314908">
      <w:bodyDiv w:val="1"/>
      <w:marLeft w:val="0"/>
      <w:marRight w:val="0"/>
      <w:marTop w:val="0"/>
      <w:marBottom w:val="0"/>
      <w:divBdr>
        <w:top w:val="none" w:sz="0" w:space="0" w:color="auto"/>
        <w:left w:val="none" w:sz="0" w:space="0" w:color="auto"/>
        <w:bottom w:val="none" w:sz="0" w:space="0" w:color="auto"/>
        <w:right w:val="none" w:sz="0" w:space="0" w:color="auto"/>
      </w:divBdr>
    </w:div>
    <w:div w:id="1757750672">
      <w:bodyDiv w:val="1"/>
      <w:marLeft w:val="0"/>
      <w:marRight w:val="0"/>
      <w:marTop w:val="0"/>
      <w:marBottom w:val="0"/>
      <w:divBdr>
        <w:top w:val="none" w:sz="0" w:space="0" w:color="auto"/>
        <w:left w:val="none" w:sz="0" w:space="0" w:color="auto"/>
        <w:bottom w:val="none" w:sz="0" w:space="0" w:color="auto"/>
        <w:right w:val="none" w:sz="0" w:space="0" w:color="auto"/>
      </w:divBdr>
    </w:div>
    <w:div w:id="1794983217">
      <w:bodyDiv w:val="1"/>
      <w:marLeft w:val="0"/>
      <w:marRight w:val="0"/>
      <w:marTop w:val="0"/>
      <w:marBottom w:val="0"/>
      <w:divBdr>
        <w:top w:val="none" w:sz="0" w:space="0" w:color="auto"/>
        <w:left w:val="none" w:sz="0" w:space="0" w:color="auto"/>
        <w:bottom w:val="none" w:sz="0" w:space="0" w:color="auto"/>
        <w:right w:val="none" w:sz="0" w:space="0" w:color="auto"/>
      </w:divBdr>
    </w:div>
    <w:div w:id="1810856015">
      <w:bodyDiv w:val="1"/>
      <w:marLeft w:val="0"/>
      <w:marRight w:val="0"/>
      <w:marTop w:val="0"/>
      <w:marBottom w:val="0"/>
      <w:divBdr>
        <w:top w:val="none" w:sz="0" w:space="0" w:color="auto"/>
        <w:left w:val="none" w:sz="0" w:space="0" w:color="auto"/>
        <w:bottom w:val="none" w:sz="0" w:space="0" w:color="auto"/>
        <w:right w:val="none" w:sz="0" w:space="0" w:color="auto"/>
      </w:divBdr>
    </w:div>
    <w:div w:id="1818839375">
      <w:bodyDiv w:val="1"/>
      <w:marLeft w:val="0"/>
      <w:marRight w:val="0"/>
      <w:marTop w:val="0"/>
      <w:marBottom w:val="0"/>
      <w:divBdr>
        <w:top w:val="none" w:sz="0" w:space="0" w:color="auto"/>
        <w:left w:val="none" w:sz="0" w:space="0" w:color="auto"/>
        <w:bottom w:val="none" w:sz="0" w:space="0" w:color="auto"/>
        <w:right w:val="none" w:sz="0" w:space="0" w:color="auto"/>
      </w:divBdr>
    </w:div>
    <w:div w:id="1822380679">
      <w:bodyDiv w:val="1"/>
      <w:marLeft w:val="0"/>
      <w:marRight w:val="0"/>
      <w:marTop w:val="0"/>
      <w:marBottom w:val="0"/>
      <w:divBdr>
        <w:top w:val="none" w:sz="0" w:space="0" w:color="auto"/>
        <w:left w:val="none" w:sz="0" w:space="0" w:color="auto"/>
        <w:bottom w:val="none" w:sz="0" w:space="0" w:color="auto"/>
        <w:right w:val="none" w:sz="0" w:space="0" w:color="auto"/>
      </w:divBdr>
    </w:div>
    <w:div w:id="1834493756">
      <w:bodyDiv w:val="1"/>
      <w:marLeft w:val="0"/>
      <w:marRight w:val="0"/>
      <w:marTop w:val="0"/>
      <w:marBottom w:val="0"/>
      <w:divBdr>
        <w:top w:val="none" w:sz="0" w:space="0" w:color="auto"/>
        <w:left w:val="none" w:sz="0" w:space="0" w:color="auto"/>
        <w:bottom w:val="none" w:sz="0" w:space="0" w:color="auto"/>
        <w:right w:val="none" w:sz="0" w:space="0" w:color="auto"/>
      </w:divBdr>
    </w:div>
    <w:div w:id="1835603878">
      <w:bodyDiv w:val="1"/>
      <w:marLeft w:val="0"/>
      <w:marRight w:val="0"/>
      <w:marTop w:val="0"/>
      <w:marBottom w:val="0"/>
      <w:divBdr>
        <w:top w:val="none" w:sz="0" w:space="0" w:color="auto"/>
        <w:left w:val="none" w:sz="0" w:space="0" w:color="auto"/>
        <w:bottom w:val="none" w:sz="0" w:space="0" w:color="auto"/>
        <w:right w:val="none" w:sz="0" w:space="0" w:color="auto"/>
      </w:divBdr>
    </w:div>
    <w:div w:id="1847816697">
      <w:bodyDiv w:val="1"/>
      <w:marLeft w:val="0"/>
      <w:marRight w:val="0"/>
      <w:marTop w:val="0"/>
      <w:marBottom w:val="0"/>
      <w:divBdr>
        <w:top w:val="none" w:sz="0" w:space="0" w:color="auto"/>
        <w:left w:val="none" w:sz="0" w:space="0" w:color="auto"/>
        <w:bottom w:val="none" w:sz="0" w:space="0" w:color="auto"/>
        <w:right w:val="none" w:sz="0" w:space="0" w:color="auto"/>
      </w:divBdr>
    </w:div>
    <w:div w:id="1872759424">
      <w:bodyDiv w:val="1"/>
      <w:marLeft w:val="0"/>
      <w:marRight w:val="0"/>
      <w:marTop w:val="0"/>
      <w:marBottom w:val="0"/>
      <w:divBdr>
        <w:top w:val="none" w:sz="0" w:space="0" w:color="auto"/>
        <w:left w:val="none" w:sz="0" w:space="0" w:color="auto"/>
        <w:bottom w:val="none" w:sz="0" w:space="0" w:color="auto"/>
        <w:right w:val="none" w:sz="0" w:space="0" w:color="auto"/>
      </w:divBdr>
    </w:div>
    <w:div w:id="1876699518">
      <w:bodyDiv w:val="1"/>
      <w:marLeft w:val="0"/>
      <w:marRight w:val="0"/>
      <w:marTop w:val="0"/>
      <w:marBottom w:val="0"/>
      <w:divBdr>
        <w:top w:val="none" w:sz="0" w:space="0" w:color="auto"/>
        <w:left w:val="none" w:sz="0" w:space="0" w:color="auto"/>
        <w:bottom w:val="none" w:sz="0" w:space="0" w:color="auto"/>
        <w:right w:val="none" w:sz="0" w:space="0" w:color="auto"/>
      </w:divBdr>
    </w:div>
    <w:div w:id="1886865001">
      <w:bodyDiv w:val="1"/>
      <w:marLeft w:val="0"/>
      <w:marRight w:val="0"/>
      <w:marTop w:val="0"/>
      <w:marBottom w:val="0"/>
      <w:divBdr>
        <w:top w:val="none" w:sz="0" w:space="0" w:color="auto"/>
        <w:left w:val="none" w:sz="0" w:space="0" w:color="auto"/>
        <w:bottom w:val="none" w:sz="0" w:space="0" w:color="auto"/>
        <w:right w:val="none" w:sz="0" w:space="0" w:color="auto"/>
      </w:divBdr>
    </w:div>
    <w:div w:id="1918905545">
      <w:bodyDiv w:val="1"/>
      <w:marLeft w:val="0"/>
      <w:marRight w:val="0"/>
      <w:marTop w:val="0"/>
      <w:marBottom w:val="0"/>
      <w:divBdr>
        <w:top w:val="none" w:sz="0" w:space="0" w:color="auto"/>
        <w:left w:val="none" w:sz="0" w:space="0" w:color="auto"/>
        <w:bottom w:val="none" w:sz="0" w:space="0" w:color="auto"/>
        <w:right w:val="none" w:sz="0" w:space="0" w:color="auto"/>
      </w:divBdr>
    </w:div>
    <w:div w:id="1928339609">
      <w:bodyDiv w:val="1"/>
      <w:marLeft w:val="0"/>
      <w:marRight w:val="0"/>
      <w:marTop w:val="0"/>
      <w:marBottom w:val="0"/>
      <w:divBdr>
        <w:top w:val="none" w:sz="0" w:space="0" w:color="auto"/>
        <w:left w:val="none" w:sz="0" w:space="0" w:color="auto"/>
        <w:bottom w:val="none" w:sz="0" w:space="0" w:color="auto"/>
        <w:right w:val="none" w:sz="0" w:space="0" w:color="auto"/>
      </w:divBdr>
      <w:divsChild>
        <w:div w:id="1195074059">
          <w:marLeft w:val="0"/>
          <w:marRight w:val="0"/>
          <w:marTop w:val="0"/>
          <w:marBottom w:val="0"/>
          <w:divBdr>
            <w:top w:val="none" w:sz="0" w:space="0" w:color="auto"/>
            <w:left w:val="none" w:sz="0" w:space="0" w:color="auto"/>
            <w:bottom w:val="none" w:sz="0" w:space="0" w:color="auto"/>
            <w:right w:val="none" w:sz="0" w:space="0" w:color="auto"/>
          </w:divBdr>
        </w:div>
      </w:divsChild>
    </w:div>
    <w:div w:id="1929070830">
      <w:bodyDiv w:val="1"/>
      <w:marLeft w:val="0"/>
      <w:marRight w:val="0"/>
      <w:marTop w:val="0"/>
      <w:marBottom w:val="0"/>
      <w:divBdr>
        <w:top w:val="none" w:sz="0" w:space="0" w:color="auto"/>
        <w:left w:val="none" w:sz="0" w:space="0" w:color="auto"/>
        <w:bottom w:val="none" w:sz="0" w:space="0" w:color="auto"/>
        <w:right w:val="none" w:sz="0" w:space="0" w:color="auto"/>
      </w:divBdr>
    </w:div>
    <w:div w:id="1929654113">
      <w:bodyDiv w:val="1"/>
      <w:marLeft w:val="0"/>
      <w:marRight w:val="0"/>
      <w:marTop w:val="0"/>
      <w:marBottom w:val="0"/>
      <w:divBdr>
        <w:top w:val="none" w:sz="0" w:space="0" w:color="auto"/>
        <w:left w:val="none" w:sz="0" w:space="0" w:color="auto"/>
        <w:bottom w:val="none" w:sz="0" w:space="0" w:color="auto"/>
        <w:right w:val="none" w:sz="0" w:space="0" w:color="auto"/>
      </w:divBdr>
    </w:div>
    <w:div w:id="1933783186">
      <w:bodyDiv w:val="1"/>
      <w:marLeft w:val="0"/>
      <w:marRight w:val="0"/>
      <w:marTop w:val="0"/>
      <w:marBottom w:val="0"/>
      <w:divBdr>
        <w:top w:val="none" w:sz="0" w:space="0" w:color="auto"/>
        <w:left w:val="none" w:sz="0" w:space="0" w:color="auto"/>
        <w:bottom w:val="none" w:sz="0" w:space="0" w:color="auto"/>
        <w:right w:val="none" w:sz="0" w:space="0" w:color="auto"/>
      </w:divBdr>
    </w:div>
    <w:div w:id="1967615066">
      <w:bodyDiv w:val="1"/>
      <w:marLeft w:val="0"/>
      <w:marRight w:val="0"/>
      <w:marTop w:val="0"/>
      <w:marBottom w:val="0"/>
      <w:divBdr>
        <w:top w:val="none" w:sz="0" w:space="0" w:color="auto"/>
        <w:left w:val="none" w:sz="0" w:space="0" w:color="auto"/>
        <w:bottom w:val="none" w:sz="0" w:space="0" w:color="auto"/>
        <w:right w:val="none" w:sz="0" w:space="0" w:color="auto"/>
      </w:divBdr>
    </w:div>
    <w:div w:id="1992714981">
      <w:bodyDiv w:val="1"/>
      <w:marLeft w:val="0"/>
      <w:marRight w:val="0"/>
      <w:marTop w:val="0"/>
      <w:marBottom w:val="0"/>
      <w:divBdr>
        <w:top w:val="none" w:sz="0" w:space="0" w:color="auto"/>
        <w:left w:val="none" w:sz="0" w:space="0" w:color="auto"/>
        <w:bottom w:val="none" w:sz="0" w:space="0" w:color="auto"/>
        <w:right w:val="none" w:sz="0" w:space="0" w:color="auto"/>
      </w:divBdr>
    </w:div>
    <w:div w:id="2013485955">
      <w:bodyDiv w:val="1"/>
      <w:marLeft w:val="0"/>
      <w:marRight w:val="0"/>
      <w:marTop w:val="0"/>
      <w:marBottom w:val="0"/>
      <w:divBdr>
        <w:top w:val="none" w:sz="0" w:space="0" w:color="auto"/>
        <w:left w:val="none" w:sz="0" w:space="0" w:color="auto"/>
        <w:bottom w:val="none" w:sz="0" w:space="0" w:color="auto"/>
        <w:right w:val="none" w:sz="0" w:space="0" w:color="auto"/>
      </w:divBdr>
    </w:div>
    <w:div w:id="2030835660">
      <w:bodyDiv w:val="1"/>
      <w:marLeft w:val="0"/>
      <w:marRight w:val="0"/>
      <w:marTop w:val="0"/>
      <w:marBottom w:val="0"/>
      <w:divBdr>
        <w:top w:val="none" w:sz="0" w:space="0" w:color="auto"/>
        <w:left w:val="none" w:sz="0" w:space="0" w:color="auto"/>
        <w:bottom w:val="none" w:sz="0" w:space="0" w:color="auto"/>
        <w:right w:val="none" w:sz="0" w:space="0" w:color="auto"/>
      </w:divBdr>
    </w:div>
    <w:div w:id="2061509652">
      <w:bodyDiv w:val="1"/>
      <w:marLeft w:val="0"/>
      <w:marRight w:val="0"/>
      <w:marTop w:val="0"/>
      <w:marBottom w:val="0"/>
      <w:divBdr>
        <w:top w:val="none" w:sz="0" w:space="0" w:color="auto"/>
        <w:left w:val="none" w:sz="0" w:space="0" w:color="auto"/>
        <w:bottom w:val="none" w:sz="0" w:space="0" w:color="auto"/>
        <w:right w:val="none" w:sz="0" w:space="0" w:color="auto"/>
      </w:divBdr>
    </w:div>
    <w:div w:id="2094013302">
      <w:bodyDiv w:val="1"/>
      <w:marLeft w:val="0"/>
      <w:marRight w:val="0"/>
      <w:marTop w:val="0"/>
      <w:marBottom w:val="0"/>
      <w:divBdr>
        <w:top w:val="none" w:sz="0" w:space="0" w:color="auto"/>
        <w:left w:val="none" w:sz="0" w:space="0" w:color="auto"/>
        <w:bottom w:val="none" w:sz="0" w:space="0" w:color="auto"/>
        <w:right w:val="none" w:sz="0" w:space="0" w:color="auto"/>
      </w:divBdr>
    </w:div>
    <w:div w:id="2102220877">
      <w:bodyDiv w:val="1"/>
      <w:marLeft w:val="0"/>
      <w:marRight w:val="0"/>
      <w:marTop w:val="0"/>
      <w:marBottom w:val="0"/>
      <w:divBdr>
        <w:top w:val="none" w:sz="0" w:space="0" w:color="auto"/>
        <w:left w:val="none" w:sz="0" w:space="0" w:color="auto"/>
        <w:bottom w:val="none" w:sz="0" w:space="0" w:color="auto"/>
        <w:right w:val="none" w:sz="0" w:space="0" w:color="auto"/>
      </w:divBdr>
    </w:div>
    <w:div w:id="2111781622">
      <w:bodyDiv w:val="1"/>
      <w:marLeft w:val="0"/>
      <w:marRight w:val="0"/>
      <w:marTop w:val="0"/>
      <w:marBottom w:val="0"/>
      <w:divBdr>
        <w:top w:val="none" w:sz="0" w:space="0" w:color="auto"/>
        <w:left w:val="none" w:sz="0" w:space="0" w:color="auto"/>
        <w:bottom w:val="none" w:sz="0" w:space="0" w:color="auto"/>
        <w:right w:val="none" w:sz="0" w:space="0" w:color="auto"/>
      </w:divBdr>
    </w:div>
    <w:div w:id="2130738861">
      <w:bodyDiv w:val="1"/>
      <w:marLeft w:val="0"/>
      <w:marRight w:val="0"/>
      <w:marTop w:val="0"/>
      <w:marBottom w:val="0"/>
      <w:divBdr>
        <w:top w:val="none" w:sz="0" w:space="0" w:color="auto"/>
        <w:left w:val="none" w:sz="0" w:space="0" w:color="auto"/>
        <w:bottom w:val="none" w:sz="0" w:space="0" w:color="auto"/>
        <w:right w:val="none" w:sz="0" w:space="0" w:color="auto"/>
      </w:divBdr>
    </w:div>
    <w:div w:id="213406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chart" Target="charts/chart1.xml" Id="rId18" /><Relationship Type="http://schemas.openxmlformats.org/officeDocument/2006/relationships/hyperlink" Target="https://erdms.nature.scot/documents/A3724366/details" TargetMode="External" Id="rId26" /><Relationship Type="http://schemas.openxmlformats.org/officeDocument/2006/relationships/image" Target="media/image8.png" Id="rId39" /><Relationship Type="http://schemas.openxmlformats.org/officeDocument/2006/relationships/hyperlink" Target="https://erdms.nature.scot/documents/A3736341/details" TargetMode="External" Id="rId21" /><Relationship Type="http://schemas.openxmlformats.org/officeDocument/2006/relationships/hyperlink" Target="https://erdms.nature.scot/documents/A3733025/details" TargetMode="External" Id="rId34" /><Relationship Type="http://schemas.openxmlformats.org/officeDocument/2006/relationships/image" Target="media/image10.png" Id="rId42"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yperlink" Target="https://erdms.nature.scot/documents/A3736342/details" TargetMode="External" Id="rId16" /><Relationship Type="http://schemas.openxmlformats.org/officeDocument/2006/relationships/image" Target="media/image3.png" Id="rId20" /><Relationship Type="http://schemas.openxmlformats.org/officeDocument/2006/relationships/chart" Target="charts/chart4.xml" Id="rId29" /><Relationship Type="http://schemas.openxmlformats.org/officeDocument/2006/relationships/chart" Target="charts/chart6.xml" Id="rId4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hyperlink" Target="https://erdms.nature.scot/documents/A3736345/details" TargetMode="External" Id="rId24" /><Relationship Type="http://schemas.openxmlformats.org/officeDocument/2006/relationships/hyperlink" Target="https://erdms.nature.scot/documents/A3736962/details" TargetMode="External" Id="rId32" /><Relationship Type="http://schemas.openxmlformats.org/officeDocument/2006/relationships/image" Target="media/image7.png" Id="rId37" /><Relationship Type="http://schemas.openxmlformats.org/officeDocument/2006/relationships/image" Target="media/image9.png" Id="rId40" /><Relationship Type="http://schemas.openxmlformats.org/officeDocument/2006/relationships/settings" Target="settings.xml" Id="rId5" /><Relationship Type="http://schemas.openxmlformats.org/officeDocument/2006/relationships/image" Target="media/image2.png" Id="rId15" /><Relationship Type="http://schemas.openxmlformats.org/officeDocument/2006/relationships/hyperlink" Target="https://erdms.nature.scot/documents/A3739953/details" TargetMode="External" Id="rId23" /><Relationship Type="http://schemas.openxmlformats.org/officeDocument/2006/relationships/hyperlink" Target="https://erdms.nature.scot/documents/A3724366/details" TargetMode="External" Id="rId28" /><Relationship Type="http://schemas.openxmlformats.org/officeDocument/2006/relationships/hyperlink" Target="https://erdms.nature.scot/documents/A3736963/details" TargetMode="External" Id="rId36" /><Relationship Type="http://schemas.openxmlformats.org/officeDocument/2006/relationships/header" Target="header1.xml" Id="rId10" /><Relationship Type="http://schemas.openxmlformats.org/officeDocument/2006/relationships/hyperlink" Target="https://erdms.nature.scot/documents/A3736344/details" TargetMode="External" Id="rId19" /><Relationship Type="http://schemas.openxmlformats.org/officeDocument/2006/relationships/image" Target="media/image5.png" Id="rId31" /><Relationship Type="http://schemas.openxmlformats.org/officeDocument/2006/relationships/theme" Target="theme/theme1.xml" Id="rId44"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erdms.nature.scot/documents/A3736346/details" TargetMode="External" Id="rId14" /><Relationship Type="http://schemas.openxmlformats.org/officeDocument/2006/relationships/image" Target="media/image4.png" Id="rId22" /><Relationship Type="http://schemas.openxmlformats.org/officeDocument/2006/relationships/chart" Target="charts/chart3.xml" Id="rId27" /><Relationship Type="http://schemas.openxmlformats.org/officeDocument/2006/relationships/hyperlink" Target="https://erdms.nature.scot/documents/A3724366/details" TargetMode="External" Id="rId30" /><Relationship Type="http://schemas.openxmlformats.org/officeDocument/2006/relationships/chart" Target="charts/chart5.xml" Id="rId35" /><Relationship Type="http://schemas.openxmlformats.org/officeDocument/2006/relationships/fontTable" Target="fontTable.xml" Id="rId43"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er" Target="footer1.xml" Id="rId12" /><Relationship Type="http://schemas.openxmlformats.org/officeDocument/2006/relationships/hyperlink" Target="https://erdms.nature.scot/documents/A3736343/details" TargetMode="External" Id="rId17" /><Relationship Type="http://schemas.openxmlformats.org/officeDocument/2006/relationships/chart" Target="charts/chart2.xml" Id="rId25" /><Relationship Type="http://schemas.openxmlformats.org/officeDocument/2006/relationships/image" Target="media/image6.png" Id="rId33" /><Relationship Type="http://schemas.openxmlformats.org/officeDocument/2006/relationships/hyperlink" Target="https://www.nature.scot/doc/nature-based-jobs-and-skills-action-plan-2022-2023" TargetMode="External" Id="rId38" /><Relationship Type="http://schemas.openxmlformats.org/officeDocument/2006/relationships/customXml" Target="/customXML/item3.xml" Id="R7bbcf67440864b9b" /></Relationships>
</file>

<file path=word/charts/_rels/chart1.xml.rels><?xml version="1.0" encoding="UTF-8" standalone="yes"?>
<Relationships xmlns="http://schemas.openxmlformats.org/package/2006/relationships"><Relationship Id="rId1" Type="http://schemas.openxmlformats.org/officeDocument/2006/relationships/oleObject" Target="file:///C:\Users\INYM\Director\Cache\erdms.nature.scot%20uA920\A3736343\Measure%20No.%209%20-%20Peatlands%20(A373634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NYM\Director\Cache\erdms.nature.scot%20uA920\A3736345\Measure%20No.%2013%20-%20Online%20Engagement%20(A3736345).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MHAM\AppData\Local\Microsoft\Windows\INetCache\Content.Outlook\I4HBGQV3\Copy%20of%20Workforce%20Diversity%20Measure%20(A3724366).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HAM\AppData\Local\Microsoft\Windows\INetCache\Content.Outlook\I4HBGQV3\Copy%20of%20Workforce%20Diversity%20Measure%20(A3724366).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INYM\Director\Cache\erdms.nature.scot%20uA920\A3733025\Measure%20No.%2017%20-%20Mainstream%20Media%20Reach%20(A3733025).xls"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INYM\Director\Cache\erdms.nature.scot%20uA920\A3831524\2022-23%20Q2%20Corporate%20Risks%20(A383152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50771604938273"/>
          <c:y val="0.10765277777777778"/>
          <c:w val="0.65235905349794243"/>
          <c:h val="0.56510763888888893"/>
        </c:manualLayout>
      </c:layout>
      <c:areaChart>
        <c:grouping val="standard"/>
        <c:varyColors val="0"/>
        <c:ser>
          <c:idx val="2"/>
          <c:order val="2"/>
          <c:tx>
            <c:strRef>
              <c:f>'XMR Chart'!$I$1</c:f>
              <c:strCache>
                <c:ptCount val="1"/>
                <c:pt idx="0">
                  <c:v>Upper Natural Process Limit</c:v>
                </c:pt>
              </c:strCache>
            </c:strRef>
          </c:tx>
          <c:spPr>
            <a:solidFill>
              <a:schemeClr val="accent1">
                <a:lumMod val="20000"/>
                <a:lumOff val="80000"/>
              </a:schemeClr>
            </a:solidFill>
            <a:ln w="25400">
              <a:noFill/>
            </a:ln>
          </c:spPr>
          <c:cat>
            <c:multiLvlStrRef>
              <c:f>'XMR Chart'!$A$2:$B$8</c:f>
              <c:multiLvlStrCache>
                <c:ptCount val="7"/>
                <c:lvl>
                  <c:pt idx="0">
                    <c:v>20/21 Q2</c:v>
                  </c:pt>
                  <c:pt idx="1">
                    <c:v>Q3</c:v>
                  </c:pt>
                  <c:pt idx="2">
                    <c:v>Q4</c:v>
                  </c:pt>
                  <c:pt idx="3">
                    <c:v>Q2</c:v>
                  </c:pt>
                  <c:pt idx="4">
                    <c:v>Q3</c:v>
                  </c:pt>
                  <c:pt idx="5">
                    <c:v>21/22 Q4</c:v>
                  </c:pt>
                  <c:pt idx="6">
                    <c:v>Q2</c:v>
                  </c:pt>
                </c:lvl>
                <c:lvl>
                  <c:pt idx="3">
                    <c:v>2021/2022</c:v>
                  </c:pt>
                  <c:pt idx="6">
                    <c:v>2022/2023</c:v>
                  </c:pt>
                </c:lvl>
              </c:multiLvlStrCache>
            </c:multiLvlStrRef>
          </c:cat>
          <c:val>
            <c:numRef>
              <c:f>'XMR Chart'!$I$2:$I$8</c:f>
              <c:numCache>
                <c:formatCode>0.0</c:formatCode>
                <c:ptCount val="7"/>
                <c:pt idx="0">
                  <c:v>8586.9478666666655</c:v>
                </c:pt>
                <c:pt idx="1">
                  <c:v>8586.9478666666655</c:v>
                </c:pt>
                <c:pt idx="2">
                  <c:v>8586.9478666666655</c:v>
                </c:pt>
                <c:pt idx="3">
                  <c:v>8586.9478666666655</c:v>
                </c:pt>
                <c:pt idx="4">
                  <c:v>8586.9478666666655</c:v>
                </c:pt>
                <c:pt idx="5">
                  <c:v>8586.9478666666655</c:v>
                </c:pt>
                <c:pt idx="6">
                  <c:v>8586.9478666666655</c:v>
                </c:pt>
              </c:numCache>
            </c:numRef>
          </c:val>
          <c:extLst>
            <c:ext xmlns:c16="http://schemas.microsoft.com/office/drawing/2014/chart" uri="{C3380CC4-5D6E-409C-BE32-E72D297353CC}">
              <c16:uniqueId val="{00000000-C1C5-499D-9D61-62791BF8C0DE}"/>
            </c:ext>
          </c:extLst>
        </c:ser>
        <c:ser>
          <c:idx val="3"/>
          <c:order val="3"/>
          <c:tx>
            <c:strRef>
              <c:f>'XMR Chart'!$H$1</c:f>
              <c:strCache>
                <c:ptCount val="1"/>
                <c:pt idx="0">
                  <c:v>Lower Natural Process Limit</c:v>
                </c:pt>
              </c:strCache>
            </c:strRef>
          </c:tx>
          <c:spPr>
            <a:solidFill>
              <a:schemeClr val="accent1">
                <a:lumMod val="20000"/>
                <a:lumOff val="80000"/>
                <a:alpha val="47000"/>
              </a:schemeClr>
            </a:solidFill>
            <a:ln w="12700">
              <a:noFill/>
              <a:prstDash val="sysDash"/>
            </a:ln>
          </c:spPr>
          <c:cat>
            <c:multiLvlStrRef>
              <c:f>'XMR Chart'!$A$2:$B$8</c:f>
              <c:multiLvlStrCache>
                <c:ptCount val="7"/>
                <c:lvl>
                  <c:pt idx="0">
                    <c:v>20/21 Q2</c:v>
                  </c:pt>
                  <c:pt idx="1">
                    <c:v>Q3</c:v>
                  </c:pt>
                  <c:pt idx="2">
                    <c:v>Q4</c:v>
                  </c:pt>
                  <c:pt idx="3">
                    <c:v>Q2</c:v>
                  </c:pt>
                  <c:pt idx="4">
                    <c:v>Q3</c:v>
                  </c:pt>
                  <c:pt idx="5">
                    <c:v>21/22 Q4</c:v>
                  </c:pt>
                  <c:pt idx="6">
                    <c:v>Q2</c:v>
                  </c:pt>
                </c:lvl>
                <c:lvl>
                  <c:pt idx="3">
                    <c:v>2021/2022</c:v>
                  </c:pt>
                  <c:pt idx="6">
                    <c:v>2022/2023</c:v>
                  </c:pt>
                </c:lvl>
              </c:multiLvlStrCache>
            </c:multiLvlStrRef>
          </c:cat>
          <c:val>
            <c:numRef>
              <c:f>'XMR Chart'!$H$2:$H$7</c:f>
              <c:numCache>
                <c:formatCode>0.0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C1C5-499D-9D61-62791BF8C0DE}"/>
            </c:ext>
          </c:extLst>
        </c:ser>
        <c:dLbls>
          <c:showLegendKey val="0"/>
          <c:showVal val="0"/>
          <c:showCatName val="0"/>
          <c:showSerName val="0"/>
          <c:showPercent val="0"/>
          <c:showBubbleSize val="0"/>
        </c:dLbls>
        <c:axId val="2140294351"/>
        <c:axId val="1"/>
      </c:areaChart>
      <c:lineChart>
        <c:grouping val="standard"/>
        <c:varyColors val="0"/>
        <c:ser>
          <c:idx val="0"/>
          <c:order val="0"/>
          <c:tx>
            <c:strRef>
              <c:f>'XMR Chart'!$C$1</c:f>
              <c:strCache>
                <c:ptCount val="1"/>
                <c:pt idx="0">
                  <c:v>measure</c:v>
                </c:pt>
              </c:strCache>
            </c:strRef>
          </c:tx>
          <c:spPr>
            <a:ln w="12700">
              <a:solidFill>
                <a:schemeClr val="bg1">
                  <a:lumMod val="65000"/>
                </a:schemeClr>
              </a:solidFill>
              <a:prstDash val="solid"/>
            </a:ln>
          </c:spPr>
          <c:marker>
            <c:symbol val="diamond"/>
            <c:size val="5"/>
            <c:spPr>
              <a:solidFill>
                <a:schemeClr val="bg1">
                  <a:lumMod val="65000"/>
                </a:schemeClr>
              </a:solidFill>
              <a:ln>
                <a:solidFill>
                  <a:schemeClr val="bg1">
                    <a:lumMod val="65000"/>
                  </a:schemeClr>
                </a:solidFill>
              </a:ln>
            </c:spPr>
          </c:marker>
          <c:cat>
            <c:multiLvlStrRef>
              <c:f>'XMR Chart'!$A$2:$B$8</c:f>
              <c:multiLvlStrCache>
                <c:ptCount val="7"/>
                <c:lvl>
                  <c:pt idx="0">
                    <c:v>20/21 Q2</c:v>
                  </c:pt>
                  <c:pt idx="1">
                    <c:v>Q3</c:v>
                  </c:pt>
                  <c:pt idx="2">
                    <c:v>Q4</c:v>
                  </c:pt>
                  <c:pt idx="3">
                    <c:v>Q2</c:v>
                  </c:pt>
                  <c:pt idx="4">
                    <c:v>Q3</c:v>
                  </c:pt>
                  <c:pt idx="5">
                    <c:v>21/22 Q4</c:v>
                  </c:pt>
                  <c:pt idx="6">
                    <c:v>Q2</c:v>
                  </c:pt>
                </c:lvl>
                <c:lvl>
                  <c:pt idx="3">
                    <c:v>2021/2022</c:v>
                  </c:pt>
                  <c:pt idx="6">
                    <c:v>2022/2023</c:v>
                  </c:pt>
                </c:lvl>
              </c:multiLvlStrCache>
            </c:multiLvlStrRef>
          </c:cat>
          <c:val>
            <c:numRef>
              <c:f>'XMR Chart'!$C$2:$C$8</c:f>
              <c:numCache>
                <c:formatCode>0.00</c:formatCode>
                <c:ptCount val="7"/>
                <c:pt idx="0">
                  <c:v>600</c:v>
                </c:pt>
                <c:pt idx="1">
                  <c:v>2107</c:v>
                </c:pt>
                <c:pt idx="2">
                  <c:v>3585</c:v>
                </c:pt>
                <c:pt idx="3">
                  <c:v>1304</c:v>
                </c:pt>
                <c:pt idx="4">
                  <c:v>3367</c:v>
                </c:pt>
                <c:pt idx="5" formatCode="#,##0.00">
                  <c:v>4356.3</c:v>
                </c:pt>
                <c:pt idx="6">
                  <c:v>572</c:v>
                </c:pt>
              </c:numCache>
            </c:numRef>
          </c:val>
          <c:smooth val="0"/>
          <c:extLst>
            <c:ext xmlns:c16="http://schemas.microsoft.com/office/drawing/2014/chart" uri="{C3380CC4-5D6E-409C-BE32-E72D297353CC}">
              <c16:uniqueId val="{00000002-C1C5-499D-9D61-62791BF8C0DE}"/>
            </c:ext>
          </c:extLst>
        </c:ser>
        <c:ser>
          <c:idx val="1"/>
          <c:order val="1"/>
          <c:tx>
            <c:strRef>
              <c:f>'XMR Chart'!$D$1</c:f>
              <c:strCache>
                <c:ptCount val="1"/>
                <c:pt idx="0">
                  <c:v>Central Line</c:v>
                </c:pt>
              </c:strCache>
            </c:strRef>
          </c:tx>
          <c:spPr>
            <a:ln>
              <a:solidFill>
                <a:srgbClr val="558ED5"/>
              </a:solidFill>
            </a:ln>
          </c:spPr>
          <c:marker>
            <c:symbol val="none"/>
          </c:marker>
          <c:cat>
            <c:multiLvlStrRef>
              <c:f>'XMR Chart'!$A$2:$B$8</c:f>
              <c:multiLvlStrCache>
                <c:ptCount val="7"/>
                <c:lvl>
                  <c:pt idx="0">
                    <c:v>20/21 Q2</c:v>
                  </c:pt>
                  <c:pt idx="1">
                    <c:v>Q3</c:v>
                  </c:pt>
                  <c:pt idx="2">
                    <c:v>Q4</c:v>
                  </c:pt>
                  <c:pt idx="3">
                    <c:v>Q2</c:v>
                  </c:pt>
                  <c:pt idx="4">
                    <c:v>Q3</c:v>
                  </c:pt>
                  <c:pt idx="5">
                    <c:v>21/22 Q4</c:v>
                  </c:pt>
                  <c:pt idx="6">
                    <c:v>Q2</c:v>
                  </c:pt>
                </c:lvl>
                <c:lvl>
                  <c:pt idx="3">
                    <c:v>2021/2022</c:v>
                  </c:pt>
                  <c:pt idx="6">
                    <c:v>2022/2023</c:v>
                  </c:pt>
                </c:lvl>
              </c:multiLvlStrCache>
            </c:multiLvlStrRef>
          </c:cat>
          <c:val>
            <c:numRef>
              <c:f>'XMR Chart'!$D$2:$D$8</c:f>
              <c:numCache>
                <c:formatCode>0.0</c:formatCode>
                <c:ptCount val="7"/>
                <c:pt idx="0" formatCode="0.00">
                  <c:v>2553.2166666666667</c:v>
                </c:pt>
                <c:pt idx="1">
                  <c:v>2553.2166666666667</c:v>
                </c:pt>
                <c:pt idx="2">
                  <c:v>2553.2166666666667</c:v>
                </c:pt>
                <c:pt idx="3">
                  <c:v>2553.2166666666667</c:v>
                </c:pt>
                <c:pt idx="4">
                  <c:v>2553.2166666666667</c:v>
                </c:pt>
                <c:pt idx="5">
                  <c:v>2553.2166666666667</c:v>
                </c:pt>
                <c:pt idx="6">
                  <c:v>2553.2166666666667</c:v>
                </c:pt>
              </c:numCache>
            </c:numRef>
          </c:val>
          <c:smooth val="0"/>
          <c:extLst>
            <c:ext xmlns:c16="http://schemas.microsoft.com/office/drawing/2014/chart" uri="{C3380CC4-5D6E-409C-BE32-E72D297353CC}">
              <c16:uniqueId val="{00000003-C1C5-499D-9D61-62791BF8C0DE}"/>
            </c:ext>
          </c:extLst>
        </c:ser>
        <c:dLbls>
          <c:showLegendKey val="0"/>
          <c:showVal val="0"/>
          <c:showCatName val="0"/>
          <c:showSerName val="0"/>
          <c:showPercent val="0"/>
          <c:showBubbleSize val="0"/>
        </c:dLbls>
        <c:marker val="1"/>
        <c:smooth val="0"/>
        <c:axId val="2140294351"/>
        <c:axId val="1"/>
        <c:extLst>
          <c:ext xmlns:c15="http://schemas.microsoft.com/office/drawing/2012/chart" uri="{02D57815-91ED-43cb-92C2-25804820EDAC}">
            <c15:filteredLineSeries>
              <c15:ser>
                <c:idx val="5"/>
                <c:order val="4"/>
                <c:tx>
                  <c:strRef>
                    <c:extLst>
                      <c:ext uri="{02D57815-91ED-43cb-92C2-25804820EDAC}">
                        <c15:formulaRef>
                          <c15:sqref>'C:\Users\INKV1\AppData\Local\Temp\Temp1_PuMP Templates (A3466969).zip\Templates for sharing\Step 6\[PuMPStep6XmRChart.xls]Smart Chart and XmR Chart'!$J$1</c15:sqref>
                        </c15:formulaRef>
                      </c:ext>
                    </c:extLst>
                    <c:strCache>
                      <c:ptCount val="1"/>
                      <c:pt idx="0">
                        <c:v>Central Line Target</c:v>
                      </c:pt>
                    </c:strCache>
                  </c:strRef>
                </c:tx>
                <c:spPr>
                  <a:ln w="28575">
                    <a:noFill/>
                  </a:ln>
                </c:spPr>
                <c:marker>
                  <c:symbol val="circle"/>
                  <c:size val="6"/>
                  <c:spPr>
                    <a:solidFill>
                      <a:schemeClr val="accent1"/>
                    </a:solidFill>
                    <a:ln>
                      <a:solidFill>
                        <a:schemeClr val="accent1"/>
                      </a:solidFill>
                      <a:prstDash val="solid"/>
                    </a:ln>
                  </c:spPr>
                </c:marker>
                <c:dPt>
                  <c:idx val="23"/>
                  <c:marker>
                    <c:spPr>
                      <a:solidFill>
                        <a:schemeClr val="tx2">
                          <a:lumMod val="60000"/>
                          <a:lumOff val="40000"/>
                        </a:schemeClr>
                      </a:solidFill>
                      <a:ln>
                        <a:solidFill>
                          <a:schemeClr val="tx2">
                            <a:lumMod val="60000"/>
                            <a:lumOff val="40000"/>
                          </a:schemeClr>
                        </a:solidFill>
                        <a:prstDash val="solid"/>
                      </a:ln>
                    </c:spPr>
                  </c:marker>
                  <c:bubble3D val="0"/>
                  <c:spPr>
                    <a:ln w="28575">
                      <a:solidFill>
                        <a:schemeClr val="tx2">
                          <a:lumMod val="60000"/>
                          <a:lumOff val="40000"/>
                        </a:schemeClr>
                      </a:solidFill>
                    </a:ln>
                  </c:spPr>
                  <c:extLst>
                    <c:ext xmlns:c16="http://schemas.microsoft.com/office/drawing/2014/chart" uri="{C3380CC4-5D6E-409C-BE32-E72D297353CC}">
                      <c16:uniqueId val="{00000005-C1C5-499D-9D61-62791BF8C0DE}"/>
                    </c:ext>
                  </c:extLst>
                </c:dPt>
                <c:dPt>
                  <c:idx val="52"/>
                  <c:bubble3D val="0"/>
                  <c:extLst>
                    <c:ext xmlns:c16="http://schemas.microsoft.com/office/drawing/2014/chart" uri="{C3380CC4-5D6E-409C-BE32-E72D297353CC}">
                      <c16:uniqueId val="{00000006-C1C5-499D-9D61-62791BF8C0DE}"/>
                    </c:ext>
                  </c:extLst>
                </c:dPt>
                <c:cat>
                  <c:multiLvlStrRef>
                    <c:extLst>
                      <c:ext uri="{02D57815-91ED-43cb-92C2-25804820EDAC}">
                        <c15:formulaRef>
                          <c15:sqref>'XMR Chart'!$A$2:$B$8</c15:sqref>
                        </c15:formulaRef>
                      </c:ext>
                    </c:extLst>
                    <c:multiLvlStrCache>
                      <c:ptCount val="7"/>
                      <c:lvl>
                        <c:pt idx="0">
                          <c:v>20/21 Q2</c:v>
                        </c:pt>
                        <c:pt idx="1">
                          <c:v>Q3</c:v>
                        </c:pt>
                        <c:pt idx="2">
                          <c:v>Q4</c:v>
                        </c:pt>
                        <c:pt idx="3">
                          <c:v>Q2</c:v>
                        </c:pt>
                        <c:pt idx="4">
                          <c:v>Q3</c:v>
                        </c:pt>
                        <c:pt idx="5">
                          <c:v>21/22 Q4</c:v>
                        </c:pt>
                        <c:pt idx="6">
                          <c:v>Q2</c:v>
                        </c:pt>
                      </c:lvl>
                      <c:lvl>
                        <c:pt idx="3">
                          <c:v>2021/2022</c:v>
                        </c:pt>
                        <c:pt idx="6">
                          <c:v>2022/2023</c:v>
                        </c:pt>
                      </c:lvl>
                    </c:multiLvlStrCache>
                  </c:multiLvlStrRef>
                </c:cat>
                <c:val>
                  <c:numRef>
                    <c:extLst>
                      <c:ext uri="{02D57815-91ED-43cb-92C2-25804820EDAC}">
                        <c15:formulaRef>
                          <c15:sqref>'[1]Smart Chart and XmR Chart'!$J$2:$J$25</c15:sqref>
                        </c15:formulaRef>
                      </c:ext>
                    </c:extLst>
                    <c:numCache>
                      <c:formatCode>General</c:formatCode>
                      <c:ptCount val="24"/>
                      <c:pt idx="23">
                        <c:v>10</c:v>
                      </c:pt>
                    </c:numCache>
                  </c:numRef>
                </c:val>
                <c:smooth val="0"/>
                <c:extLst>
                  <c:ext xmlns:c16="http://schemas.microsoft.com/office/drawing/2014/chart" uri="{C3380CC4-5D6E-409C-BE32-E72D297353CC}">
                    <c16:uniqueId val="{00000007-C1C5-499D-9D61-62791BF8C0DE}"/>
                  </c:ext>
                </c:extLst>
              </c15:ser>
            </c15:filteredLineSeries>
            <c15:filteredLineSeries>
              <c15:ser>
                <c:idx val="4"/>
                <c:order val="5"/>
                <c:tx>
                  <c:strRef>
                    <c:extLst xmlns:c15="http://schemas.microsoft.com/office/drawing/2012/chart">
                      <c:ext xmlns:c15="http://schemas.microsoft.com/office/drawing/2012/chart" uri="{02D57815-91ED-43cb-92C2-25804820EDAC}">
                        <c15:formulaRef>
                          <c15:sqref>'C:\Users\INKV1\AppData\Local\Temp\Temp1_PuMP Templates (A3466969).zip\Templates for sharing\Step 6\[PuMPStep6XmRChart.xls]Smart Chart and XmR Chart'!$I$1</c15:sqref>
                        </c15:formulaRef>
                      </c:ext>
                    </c:extLst>
                    <c:strCache>
                      <c:ptCount val="1"/>
                      <c:pt idx="0">
                        <c:v>Lower Natural Process Limit Target</c:v>
                      </c:pt>
                    </c:strCache>
                  </c:strRef>
                </c:tx>
                <c:marker>
                  <c:symbol val="dash"/>
                  <c:size val="5"/>
                  <c:spPr>
                    <a:solidFill>
                      <a:schemeClr val="accent1"/>
                    </a:solidFill>
                    <a:ln>
                      <a:solidFill>
                        <a:schemeClr val="accent1"/>
                      </a:solidFill>
                      <a:prstDash val="solid"/>
                    </a:ln>
                  </c:spPr>
                </c:marker>
                <c:dPt>
                  <c:idx val="52"/>
                  <c:bubble3D val="0"/>
                  <c:extLst xmlns:c15="http://schemas.microsoft.com/office/drawing/2012/chart">
                    <c:ext xmlns:c16="http://schemas.microsoft.com/office/drawing/2014/chart" uri="{C3380CC4-5D6E-409C-BE32-E72D297353CC}">
                      <c16:uniqueId val="{00000008-C1C5-499D-9D61-62791BF8C0DE}"/>
                    </c:ext>
                  </c:extLst>
                </c:dPt>
                <c:cat>
                  <c:multiLvlStrRef>
                    <c:extLst xmlns:c15="http://schemas.microsoft.com/office/drawing/2012/chart">
                      <c:ext xmlns:c15="http://schemas.microsoft.com/office/drawing/2012/chart" uri="{02D57815-91ED-43cb-92C2-25804820EDAC}">
                        <c15:formulaRef>
                          <c15:sqref>'XMR Chart'!$A$2:$B$8</c15:sqref>
                        </c15:formulaRef>
                      </c:ext>
                    </c:extLst>
                    <c:multiLvlStrCache>
                      <c:ptCount val="7"/>
                      <c:lvl>
                        <c:pt idx="0">
                          <c:v>20/21 Q2</c:v>
                        </c:pt>
                        <c:pt idx="1">
                          <c:v>Q3</c:v>
                        </c:pt>
                        <c:pt idx="2">
                          <c:v>Q4</c:v>
                        </c:pt>
                        <c:pt idx="3">
                          <c:v>Q2</c:v>
                        </c:pt>
                        <c:pt idx="4">
                          <c:v>Q3</c:v>
                        </c:pt>
                        <c:pt idx="5">
                          <c:v>21/22 Q4</c:v>
                        </c:pt>
                        <c:pt idx="6">
                          <c:v>Q2</c:v>
                        </c:pt>
                      </c:lvl>
                      <c:lvl>
                        <c:pt idx="3">
                          <c:v>2021/2022</c:v>
                        </c:pt>
                        <c:pt idx="6">
                          <c:v>2022/2023</c:v>
                        </c:pt>
                      </c:lvl>
                    </c:multiLvlStrCache>
                  </c:multiLvlStrRef>
                </c:cat>
                <c:val>
                  <c:numRef>
                    <c:extLst xmlns:c15="http://schemas.microsoft.com/office/drawing/2012/chart">
                      <c:ext xmlns:c15="http://schemas.microsoft.com/office/drawing/2012/chart" uri="{02D57815-91ED-43cb-92C2-25804820EDAC}">
                        <c15:formulaRef>
                          <c15:sqref>'[1]Smart Chart and XmR Chart'!$I$2:$I$25</c15:sqref>
                        </c15:formulaRef>
                      </c:ext>
                    </c:extLst>
                    <c:numCache>
                      <c:formatCode>General</c:formatCode>
                      <c:ptCount val="24"/>
                      <c:pt idx="23">
                        <c:v>5</c:v>
                      </c:pt>
                    </c:numCache>
                  </c:numRef>
                </c:val>
                <c:smooth val="0"/>
                <c:extLst xmlns:c15="http://schemas.microsoft.com/office/drawing/2012/chart">
                  <c:ext xmlns:c16="http://schemas.microsoft.com/office/drawing/2014/chart" uri="{C3380CC4-5D6E-409C-BE32-E72D297353CC}">
                    <c16:uniqueId val="{00000009-C1C5-499D-9D61-62791BF8C0DE}"/>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'C:\Users\INKV1\AppData\Local\Temp\Temp1_PuMP Templates (A3466969).zip\Templates for sharing\Step 6\[PuMPStep6XmRChart.xls]Smart Chart and XmR Chart'!$K$1</c15:sqref>
                        </c15:formulaRef>
                      </c:ext>
                    </c:extLst>
                    <c:strCache>
                      <c:ptCount val="1"/>
                      <c:pt idx="0">
                        <c:v>Upper Natural Process Limit Target</c:v>
                      </c:pt>
                    </c:strCache>
                  </c:strRef>
                </c:tx>
                <c:spPr>
                  <a:ln w="28575">
                    <a:noFill/>
                  </a:ln>
                </c:spPr>
                <c:marker>
                  <c:symbol val="dash"/>
                  <c:size val="5"/>
                  <c:spPr>
                    <a:solidFill>
                      <a:schemeClr val="accent1"/>
                    </a:solidFill>
                    <a:ln>
                      <a:solidFill>
                        <a:schemeClr val="accent1"/>
                      </a:solidFill>
                      <a:prstDash val="solid"/>
                    </a:ln>
                  </c:spPr>
                </c:marker>
                <c:dPt>
                  <c:idx val="52"/>
                  <c:bubble3D val="0"/>
                  <c:spPr>
                    <a:ln w="28575">
                      <a:solidFill>
                        <a:schemeClr val="tx1">
                          <a:lumMod val="50000"/>
                          <a:lumOff val="50000"/>
                        </a:schemeClr>
                      </a:solidFill>
                    </a:ln>
                  </c:spPr>
                  <c:extLst xmlns:c15="http://schemas.microsoft.com/office/drawing/2012/chart">
                    <c:ext xmlns:c16="http://schemas.microsoft.com/office/drawing/2014/chart" uri="{C3380CC4-5D6E-409C-BE32-E72D297353CC}">
                      <c16:uniqueId val="{0000000B-C1C5-499D-9D61-62791BF8C0DE}"/>
                    </c:ext>
                  </c:extLst>
                </c:dPt>
                <c:cat>
                  <c:multiLvlStrRef>
                    <c:extLst xmlns:c15="http://schemas.microsoft.com/office/drawing/2012/chart">
                      <c:ext xmlns:c15="http://schemas.microsoft.com/office/drawing/2012/chart" uri="{02D57815-91ED-43cb-92C2-25804820EDAC}">
                        <c15:formulaRef>
                          <c15:sqref>'XMR Chart'!$A$2:$B$8</c15:sqref>
                        </c15:formulaRef>
                      </c:ext>
                    </c:extLst>
                    <c:multiLvlStrCache>
                      <c:ptCount val="7"/>
                      <c:lvl>
                        <c:pt idx="0">
                          <c:v>20/21 Q2</c:v>
                        </c:pt>
                        <c:pt idx="1">
                          <c:v>Q3</c:v>
                        </c:pt>
                        <c:pt idx="2">
                          <c:v>Q4</c:v>
                        </c:pt>
                        <c:pt idx="3">
                          <c:v>Q2</c:v>
                        </c:pt>
                        <c:pt idx="4">
                          <c:v>Q3</c:v>
                        </c:pt>
                        <c:pt idx="5">
                          <c:v>21/22 Q4</c:v>
                        </c:pt>
                        <c:pt idx="6">
                          <c:v>Q2</c:v>
                        </c:pt>
                      </c:lvl>
                      <c:lvl>
                        <c:pt idx="3">
                          <c:v>2021/2022</c:v>
                        </c:pt>
                        <c:pt idx="6">
                          <c:v>2022/2023</c:v>
                        </c:pt>
                      </c:lvl>
                    </c:multiLvlStrCache>
                  </c:multiLvlStrRef>
                </c:cat>
                <c:val>
                  <c:numRef>
                    <c:extLst xmlns:c15="http://schemas.microsoft.com/office/drawing/2012/chart">
                      <c:ext xmlns:c15="http://schemas.microsoft.com/office/drawing/2012/chart" uri="{02D57815-91ED-43cb-92C2-25804820EDAC}">
                        <c15:formulaRef>
                          <c15:sqref>'[1]Smart Chart and XmR Chart'!$K$2:$K$25</c15:sqref>
                        </c15:formulaRef>
                      </c:ext>
                    </c:extLst>
                    <c:numCache>
                      <c:formatCode>General</c:formatCode>
                      <c:ptCount val="24"/>
                      <c:pt idx="23">
                        <c:v>15</c:v>
                      </c:pt>
                    </c:numCache>
                  </c:numRef>
                </c:val>
                <c:smooth val="0"/>
                <c:extLst xmlns:c15="http://schemas.microsoft.com/office/drawing/2012/chart">
                  <c:ext xmlns:c16="http://schemas.microsoft.com/office/drawing/2014/chart" uri="{C3380CC4-5D6E-409C-BE32-E72D297353CC}">
                    <c16:uniqueId val="{0000000C-C1C5-499D-9D61-62791BF8C0DE}"/>
                  </c:ext>
                </c:extLst>
              </c15:ser>
            </c15:filteredLineSeries>
          </c:ext>
        </c:extLst>
      </c:lineChart>
      <c:catAx>
        <c:axId val="2140294351"/>
        <c:scaling>
          <c:orientation val="minMax"/>
        </c:scaling>
        <c:delete val="0"/>
        <c:axPos val="b"/>
        <c:numFmt formatCode="General" sourceLinked="1"/>
        <c:majorTickMark val="out"/>
        <c:minorTickMark val="none"/>
        <c:tickLblPos val="nextTo"/>
        <c:crossAx val="1"/>
        <c:crosses val="autoZero"/>
        <c:auto val="0"/>
        <c:lblAlgn val="ctr"/>
        <c:lblOffset val="100"/>
        <c:tickLblSkip val="6"/>
        <c:tickMarkSkip val="6"/>
        <c:noMultiLvlLbl val="1"/>
      </c:catAx>
      <c:valAx>
        <c:axId val="1"/>
        <c:scaling>
          <c:orientation val="minMax"/>
        </c:scaling>
        <c:delete val="0"/>
        <c:axPos val="l"/>
        <c:numFmt formatCode="#,##0" sourceLinked="0"/>
        <c:majorTickMark val="out"/>
        <c:minorTickMark val="none"/>
        <c:tickLblPos val="nextTo"/>
        <c:txPr>
          <a:bodyPr/>
          <a:lstStyle/>
          <a:p>
            <a:pPr>
              <a:defRPr sz="800">
                <a:latin typeface="+mj-lt"/>
              </a:defRPr>
            </a:pPr>
            <a:endParaRPr lang="en-US"/>
          </a:p>
        </c:txPr>
        <c:crossAx val="2140294351"/>
        <c:crossesAt val="1"/>
        <c:crossBetween val="midCat"/>
      </c:valAx>
      <c:spPr>
        <a:noFill/>
        <a:ln w="25400">
          <a:noFill/>
        </a:ln>
      </c:spPr>
    </c:plotArea>
    <c:plotVisOnly val="1"/>
    <c:dispBlanksAs val="gap"/>
    <c:showDLblsOverMax val="0"/>
  </c:chart>
  <c:spPr>
    <a:solidFill>
      <a:srgbClr val="FFFFFF"/>
    </a:solidFill>
    <a:ln w="3175">
      <a:noFill/>
      <a:prstDash val="solid"/>
    </a:ln>
  </c:spPr>
  <c:txPr>
    <a:bodyPr/>
    <a:lstStyle/>
    <a:p>
      <a:pPr>
        <a:defRPr sz="650" b="0" i="0" u="none" strike="noStrike" baseline="0">
          <a:solidFill>
            <a:srgbClr val="000000"/>
          </a:solidFill>
          <a:latin typeface="Tempus Sans ITC"/>
          <a:ea typeface="Tempus Sans ITC"/>
          <a:cs typeface="Tempus Sans ITC"/>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
          <c:w val="1"/>
          <c:h val="1"/>
        </c:manualLayout>
      </c:layout>
      <c:areaChart>
        <c:grouping val="standard"/>
        <c:varyColors val="0"/>
        <c:ser>
          <c:idx val="2"/>
          <c:order val="2"/>
          <c:tx>
            <c:strRef>
              <c:f>'XMR Chart'!$AC$1</c:f>
              <c:strCache>
                <c:ptCount val="1"/>
                <c:pt idx="0">
                  <c:v>Upper Natural Process Limit</c:v>
                </c:pt>
              </c:strCache>
            </c:strRef>
          </c:tx>
          <c:spPr>
            <a:solidFill>
              <a:schemeClr val="accent1">
                <a:lumMod val="20000"/>
                <a:lumOff val="80000"/>
              </a:schemeClr>
            </a:solidFill>
            <a:ln w="25400">
              <a:noFill/>
            </a:ln>
          </c:spPr>
          <c:cat>
            <c:strRef>
              <c:f>'XMR Chart'!$U$2:$V$11</c:f>
              <c:strCache>
                <c:ptCount val="10"/>
                <c:pt idx="0">
                  <c:v>20/21 Q1</c:v>
                </c:pt>
                <c:pt idx="8">
                  <c:v>Q1</c:v>
                </c:pt>
                <c:pt idx="9">
                  <c:v>22/23 Q2</c:v>
                </c:pt>
              </c:strCache>
            </c:strRef>
          </c:cat>
          <c:val>
            <c:numRef>
              <c:f>'XMR Chart'!$AC$2:$AC$11</c:f>
              <c:numCache>
                <c:formatCode>0.0</c:formatCode>
                <c:ptCount val="10"/>
                <c:pt idx="0">
                  <c:v>2722134.6880000001</c:v>
                </c:pt>
                <c:pt idx="1">
                  <c:v>2722134.6880000001</c:v>
                </c:pt>
                <c:pt idx="2">
                  <c:v>2722134.6880000001</c:v>
                </c:pt>
                <c:pt idx="3">
                  <c:v>2722134.6880000001</c:v>
                </c:pt>
                <c:pt idx="4">
                  <c:v>2722134.6880000001</c:v>
                </c:pt>
                <c:pt idx="5">
                  <c:v>2722134.6880000001</c:v>
                </c:pt>
                <c:pt idx="6">
                  <c:v>2722134.6880000001</c:v>
                </c:pt>
                <c:pt idx="7">
                  <c:v>2722134.6880000001</c:v>
                </c:pt>
                <c:pt idx="8">
                  <c:v>2722134.6880000001</c:v>
                </c:pt>
                <c:pt idx="9">
                  <c:v>2722134.6880000001</c:v>
                </c:pt>
              </c:numCache>
            </c:numRef>
          </c:val>
          <c:extLst>
            <c:ext xmlns:c16="http://schemas.microsoft.com/office/drawing/2014/chart" uri="{C3380CC4-5D6E-409C-BE32-E72D297353CC}">
              <c16:uniqueId val="{00000000-71D3-447F-ABB4-B3456778ED9C}"/>
            </c:ext>
          </c:extLst>
        </c:ser>
        <c:ser>
          <c:idx val="3"/>
          <c:order val="3"/>
          <c:tx>
            <c:strRef>
              <c:f>'XMR Chart'!$AB$1</c:f>
              <c:strCache>
                <c:ptCount val="1"/>
                <c:pt idx="0">
                  <c:v>Lower Natural Process Limit</c:v>
                </c:pt>
              </c:strCache>
            </c:strRef>
          </c:tx>
          <c:spPr>
            <a:ln w="25400">
              <a:noFill/>
            </a:ln>
          </c:spPr>
          <c:cat>
            <c:strRef>
              <c:f>'XMR Chart'!$U$2:$V$11</c:f>
              <c:strCache>
                <c:ptCount val="10"/>
                <c:pt idx="0">
                  <c:v>20/21 Q1</c:v>
                </c:pt>
                <c:pt idx="8">
                  <c:v>Q1</c:v>
                </c:pt>
                <c:pt idx="9">
                  <c:v>22/23 Q2</c:v>
                </c:pt>
              </c:strCache>
            </c:strRef>
          </c:cat>
          <c:val>
            <c:numRef>
              <c:f>'XMR Chart'!$AB$2:$AB$10</c:f>
              <c:numCache>
                <c:formatCode>0.0</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1-71D3-447F-ABB4-B3456778ED9C}"/>
            </c:ext>
          </c:extLst>
        </c:ser>
        <c:dLbls>
          <c:showLegendKey val="0"/>
          <c:showVal val="0"/>
          <c:showCatName val="0"/>
          <c:showSerName val="0"/>
          <c:showPercent val="0"/>
          <c:showBubbleSize val="0"/>
        </c:dLbls>
        <c:axId val="554668319"/>
        <c:axId val="1"/>
      </c:areaChart>
      <c:lineChart>
        <c:grouping val="standard"/>
        <c:varyColors val="0"/>
        <c:ser>
          <c:idx val="0"/>
          <c:order val="0"/>
          <c:tx>
            <c:strRef>
              <c:f>'XMR Chart'!$W$1</c:f>
              <c:strCache>
                <c:ptCount val="1"/>
                <c:pt idx="0">
                  <c:v>measure</c:v>
                </c:pt>
              </c:strCache>
            </c:strRef>
          </c:tx>
          <c:spPr>
            <a:ln w="12700">
              <a:solidFill>
                <a:schemeClr val="bg1">
                  <a:lumMod val="65000"/>
                </a:schemeClr>
              </a:solidFill>
            </a:ln>
          </c:spPr>
          <c:marker>
            <c:symbol val="diamond"/>
            <c:size val="5"/>
            <c:spPr>
              <a:solidFill>
                <a:schemeClr val="bg1">
                  <a:lumMod val="65000"/>
                </a:schemeClr>
              </a:solidFill>
              <a:ln>
                <a:solidFill>
                  <a:schemeClr val="bg1">
                    <a:lumMod val="65000"/>
                  </a:schemeClr>
                </a:solidFill>
              </a:ln>
            </c:spPr>
          </c:marker>
          <c:cat>
            <c:strRef>
              <c:f>'XMR Chart'!$U$2:$V$11</c:f>
              <c:strCache>
                <c:ptCount val="10"/>
                <c:pt idx="0">
                  <c:v>20/21 Q1</c:v>
                </c:pt>
                <c:pt idx="8">
                  <c:v>Q1</c:v>
                </c:pt>
                <c:pt idx="9">
                  <c:v>22/23 Q2</c:v>
                </c:pt>
              </c:strCache>
            </c:strRef>
          </c:cat>
          <c:val>
            <c:numRef>
              <c:f>'XMR Chart'!$W$2:$W$11</c:f>
              <c:numCache>
                <c:formatCode>#,##0</c:formatCode>
                <c:ptCount val="10"/>
                <c:pt idx="0">
                  <c:v>763415</c:v>
                </c:pt>
                <c:pt idx="1">
                  <c:v>2002276</c:v>
                </c:pt>
                <c:pt idx="2">
                  <c:v>1270580</c:v>
                </c:pt>
                <c:pt idx="3">
                  <c:v>1220760</c:v>
                </c:pt>
                <c:pt idx="4">
                  <c:v>1545594</c:v>
                </c:pt>
                <c:pt idx="5">
                  <c:v>1318096</c:v>
                </c:pt>
                <c:pt idx="6">
                  <c:v>1088388</c:v>
                </c:pt>
                <c:pt idx="7">
                  <c:v>1321339</c:v>
                </c:pt>
                <c:pt idx="8">
                  <c:v>1077717</c:v>
                </c:pt>
                <c:pt idx="9">
                  <c:v>1260199</c:v>
                </c:pt>
              </c:numCache>
            </c:numRef>
          </c:val>
          <c:smooth val="0"/>
          <c:extLst>
            <c:ext xmlns:c16="http://schemas.microsoft.com/office/drawing/2014/chart" uri="{C3380CC4-5D6E-409C-BE32-E72D297353CC}">
              <c16:uniqueId val="{00000002-71D3-447F-ABB4-B3456778ED9C}"/>
            </c:ext>
          </c:extLst>
        </c:ser>
        <c:ser>
          <c:idx val="1"/>
          <c:order val="1"/>
          <c:tx>
            <c:strRef>
              <c:f>'XMR Chart'!$X$1</c:f>
              <c:strCache>
                <c:ptCount val="1"/>
                <c:pt idx="0">
                  <c:v>Central Line</c:v>
                </c:pt>
              </c:strCache>
            </c:strRef>
          </c:tx>
          <c:spPr>
            <a:ln>
              <a:solidFill>
                <a:srgbClr val="558ED5"/>
              </a:solidFill>
            </a:ln>
          </c:spPr>
          <c:marker>
            <c:symbol val="none"/>
          </c:marker>
          <c:cat>
            <c:strRef>
              <c:f>'XMR Chart'!$U$2:$V$11</c:f>
              <c:strCache>
                <c:ptCount val="10"/>
                <c:pt idx="0">
                  <c:v>20/21 Q1</c:v>
                </c:pt>
                <c:pt idx="8">
                  <c:v>Q1</c:v>
                </c:pt>
                <c:pt idx="9">
                  <c:v>22/23 Q2</c:v>
                </c:pt>
              </c:strCache>
            </c:strRef>
          </c:cat>
          <c:val>
            <c:numRef>
              <c:f>'XMR Chart'!$X$2:$X$11</c:f>
              <c:numCache>
                <c:formatCode>0.0</c:formatCode>
                <c:ptCount val="10"/>
                <c:pt idx="0">
                  <c:v>1353453.5</c:v>
                </c:pt>
                <c:pt idx="1">
                  <c:v>1353453.5</c:v>
                </c:pt>
                <c:pt idx="2">
                  <c:v>1353453.5</c:v>
                </c:pt>
                <c:pt idx="3">
                  <c:v>1353453.5</c:v>
                </c:pt>
                <c:pt idx="4">
                  <c:v>1353453.5</c:v>
                </c:pt>
                <c:pt idx="5">
                  <c:v>1353453.5</c:v>
                </c:pt>
                <c:pt idx="6">
                  <c:v>1353453.5</c:v>
                </c:pt>
                <c:pt idx="7">
                  <c:v>1353453.5</c:v>
                </c:pt>
                <c:pt idx="8">
                  <c:v>1353453.5</c:v>
                </c:pt>
                <c:pt idx="9">
                  <c:v>1353453.5</c:v>
                </c:pt>
              </c:numCache>
            </c:numRef>
          </c:val>
          <c:smooth val="0"/>
          <c:extLst>
            <c:ext xmlns:c16="http://schemas.microsoft.com/office/drawing/2014/chart" uri="{C3380CC4-5D6E-409C-BE32-E72D297353CC}">
              <c16:uniqueId val="{00000003-71D3-447F-ABB4-B3456778ED9C}"/>
            </c:ext>
          </c:extLst>
        </c:ser>
        <c:dLbls>
          <c:showLegendKey val="0"/>
          <c:showVal val="0"/>
          <c:showCatName val="0"/>
          <c:showSerName val="0"/>
          <c:showPercent val="0"/>
          <c:showBubbleSize val="0"/>
        </c:dLbls>
        <c:marker val="1"/>
        <c:smooth val="0"/>
        <c:axId val="554668319"/>
        <c:axId val="1"/>
        <c:extLst/>
      </c:lineChart>
      <c:catAx>
        <c:axId val="554668319"/>
        <c:scaling>
          <c:orientation val="minMax"/>
        </c:scaling>
        <c:delete val="0"/>
        <c:axPos val="b"/>
        <c:numFmt formatCode="General" sourceLinked="1"/>
        <c:majorTickMark val="none"/>
        <c:minorTickMark val="none"/>
        <c:tickLblPos val="nextTo"/>
        <c:txPr>
          <a:bodyPr/>
          <a:lstStyle/>
          <a:p>
            <a:pPr>
              <a:defRPr sz="800" b="0">
                <a:solidFill>
                  <a:sysClr val="windowText" lastClr="000000"/>
                </a:solidFill>
                <a:latin typeface="+mj-lt"/>
              </a:defRPr>
            </a:pPr>
            <a:endParaRPr lang="en-US"/>
          </a:p>
        </c:txPr>
        <c:crossAx val="1"/>
        <c:crosses val="autoZero"/>
        <c:auto val="0"/>
        <c:lblAlgn val="ctr"/>
        <c:lblOffset val="100"/>
        <c:tickMarkSkip val="1"/>
        <c:noMultiLvlLbl val="0"/>
      </c:catAx>
      <c:valAx>
        <c:axId val="1"/>
        <c:scaling>
          <c:orientation val="minMax"/>
          <c:max val="3000000"/>
          <c:min val="0"/>
        </c:scaling>
        <c:delete val="0"/>
        <c:axPos val="l"/>
        <c:numFmt formatCode="#,##0" sourceLinked="0"/>
        <c:majorTickMark val="out"/>
        <c:minorTickMark val="none"/>
        <c:tickLblPos val="nextTo"/>
        <c:txPr>
          <a:bodyPr/>
          <a:lstStyle/>
          <a:p>
            <a:pPr>
              <a:defRPr sz="800" b="0">
                <a:solidFill>
                  <a:sysClr val="windowText" lastClr="000000"/>
                </a:solidFill>
                <a:latin typeface="+mj-lt"/>
              </a:defRPr>
            </a:pPr>
            <a:endParaRPr lang="en-US"/>
          </a:p>
        </c:txPr>
        <c:crossAx val="554668319"/>
        <c:crosses val="autoZero"/>
        <c:crossBetween val="between"/>
        <c:majorUnit val="3000000"/>
        <c:minorUnit val="3000000"/>
      </c:valAx>
      <c:spPr>
        <a:noFill/>
        <a:ln w="25400">
          <a:noFill/>
        </a:ln>
      </c:spPr>
    </c:plotArea>
    <c:plotVisOnly val="1"/>
    <c:dispBlanksAs val="gap"/>
    <c:showDLblsOverMax val="0"/>
  </c:chart>
  <c:spPr>
    <a:solidFill>
      <a:srgbClr val="FFFFFF"/>
    </a:solidFill>
    <a:ln w="3175">
      <a:noFill/>
      <a:prstDash val="solid"/>
    </a:ln>
  </c:spPr>
  <c:txPr>
    <a:bodyPr/>
    <a:lstStyle/>
    <a:p>
      <a:pPr>
        <a:defRPr sz="650" b="0" i="0" u="none" strike="noStrike" baseline="0">
          <a:solidFill>
            <a:srgbClr val="000000"/>
          </a:solidFill>
          <a:latin typeface="Tempus Sans ITC"/>
          <a:ea typeface="Tempus Sans ITC"/>
          <a:cs typeface="Tempus Sans ITC"/>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5.7332202226932208E-2"/>
          <c:y val="0"/>
          <c:w val="0.90889469807171175"/>
          <c:h val="1"/>
        </c:manualLayout>
      </c:layout>
      <c:barChart>
        <c:barDir val="bar"/>
        <c:grouping val="stacked"/>
        <c:varyColors val="0"/>
        <c:ser>
          <c:idx val="0"/>
          <c:order val="0"/>
          <c:tx>
            <c:strRef>
              <c:f>Age!$C$2</c:f>
              <c:strCache>
                <c:ptCount val="1"/>
                <c:pt idx="0">
                  <c:v>16-24</c:v>
                </c:pt>
              </c:strCache>
            </c:strRef>
          </c:tx>
          <c:spPr>
            <a:solidFill>
              <a:schemeClr val="tx2">
                <a:lumMod val="60000"/>
                <a:lumOff val="40000"/>
              </a:schemeClr>
            </a:solidFill>
            <a:ln>
              <a:noFill/>
            </a:ln>
            <a:effectLst/>
          </c:spPr>
          <c:invertIfNegative val="0"/>
          <c:dLbls>
            <c:dLbl>
              <c:idx val="0"/>
              <c:layout>
                <c:manualLayout>
                  <c:x val="-4.7283084197397567E-2"/>
                  <c:y val="-0.34947535699974031"/>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95000"/>
                          <a:lumOff val="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E1-454F-9A87-115DA0CAF208}"/>
                </c:ext>
              </c:extLst>
            </c:dLbl>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Age!$B$28</c:f>
              <c:strCache>
                <c:ptCount val="1"/>
                <c:pt idx="0">
                  <c:v>Q2</c:v>
                </c:pt>
              </c:strCache>
            </c:strRef>
          </c:cat>
          <c:val>
            <c:numRef>
              <c:f>Age!$C$28</c:f>
              <c:numCache>
                <c:formatCode>General</c:formatCode>
                <c:ptCount val="1"/>
                <c:pt idx="0">
                  <c:v>26</c:v>
                </c:pt>
              </c:numCache>
            </c:numRef>
          </c:val>
          <c:extLst>
            <c:ext xmlns:c16="http://schemas.microsoft.com/office/drawing/2014/chart" uri="{C3380CC4-5D6E-409C-BE32-E72D297353CC}">
              <c16:uniqueId val="{00000001-C4E1-454F-9A87-115DA0CAF208}"/>
            </c:ext>
          </c:extLst>
        </c:ser>
        <c:ser>
          <c:idx val="1"/>
          <c:order val="1"/>
          <c:tx>
            <c:strRef>
              <c:f>Age!$D$2</c:f>
              <c:strCache>
                <c:ptCount val="1"/>
                <c:pt idx="0">
                  <c:v>25-34</c:v>
                </c:pt>
              </c:strCache>
            </c:strRef>
          </c:tx>
          <c:spPr>
            <a:solidFill>
              <a:schemeClr val="accent1">
                <a:shade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95000"/>
                        <a:lumOff val="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Age!$B$28</c:f>
              <c:strCache>
                <c:ptCount val="1"/>
                <c:pt idx="0">
                  <c:v>Q2</c:v>
                </c:pt>
              </c:strCache>
            </c:strRef>
          </c:cat>
          <c:val>
            <c:numRef>
              <c:f>Age!$D$28</c:f>
              <c:numCache>
                <c:formatCode>General</c:formatCode>
                <c:ptCount val="1"/>
                <c:pt idx="0">
                  <c:v>115</c:v>
                </c:pt>
              </c:numCache>
            </c:numRef>
          </c:val>
          <c:extLst>
            <c:ext xmlns:c16="http://schemas.microsoft.com/office/drawing/2014/chart" uri="{C3380CC4-5D6E-409C-BE32-E72D297353CC}">
              <c16:uniqueId val="{00000002-C4E1-454F-9A87-115DA0CAF208}"/>
            </c:ext>
          </c:extLst>
        </c:ser>
        <c:ser>
          <c:idx val="2"/>
          <c:order val="2"/>
          <c:tx>
            <c:strRef>
              <c:f>Age!$E$2</c:f>
              <c:strCache>
                <c:ptCount val="1"/>
                <c:pt idx="0">
                  <c:v>35-44</c:v>
                </c:pt>
              </c:strCache>
            </c:strRef>
          </c:tx>
          <c:spPr>
            <a:solidFill>
              <a:schemeClr val="tx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95000"/>
                        <a:lumOff val="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Age!$B$28</c:f>
              <c:strCache>
                <c:ptCount val="1"/>
                <c:pt idx="0">
                  <c:v>Q2</c:v>
                </c:pt>
              </c:strCache>
            </c:strRef>
          </c:cat>
          <c:val>
            <c:numRef>
              <c:f>Age!$E$28</c:f>
              <c:numCache>
                <c:formatCode>General</c:formatCode>
                <c:ptCount val="1"/>
                <c:pt idx="0">
                  <c:v>160</c:v>
                </c:pt>
              </c:numCache>
            </c:numRef>
          </c:val>
          <c:extLst>
            <c:ext xmlns:c16="http://schemas.microsoft.com/office/drawing/2014/chart" uri="{C3380CC4-5D6E-409C-BE32-E72D297353CC}">
              <c16:uniqueId val="{00000003-C4E1-454F-9A87-115DA0CAF208}"/>
            </c:ext>
          </c:extLst>
        </c:ser>
        <c:ser>
          <c:idx val="3"/>
          <c:order val="3"/>
          <c:tx>
            <c:strRef>
              <c:f>Age!$F$2</c:f>
              <c:strCache>
                <c:ptCount val="1"/>
                <c:pt idx="0">
                  <c:v>45-54</c:v>
                </c:pt>
              </c:strCache>
            </c:strRef>
          </c:tx>
          <c:spPr>
            <a:solidFill>
              <a:schemeClr val="accent1">
                <a:tint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Age!$B$28</c:f>
              <c:strCache>
                <c:ptCount val="1"/>
                <c:pt idx="0">
                  <c:v>Q2</c:v>
                </c:pt>
              </c:strCache>
            </c:strRef>
          </c:cat>
          <c:val>
            <c:numRef>
              <c:f>Age!$F$28</c:f>
              <c:numCache>
                <c:formatCode>General</c:formatCode>
                <c:ptCount val="1"/>
                <c:pt idx="0">
                  <c:v>246</c:v>
                </c:pt>
              </c:numCache>
            </c:numRef>
          </c:val>
          <c:extLst>
            <c:ext xmlns:c16="http://schemas.microsoft.com/office/drawing/2014/chart" uri="{C3380CC4-5D6E-409C-BE32-E72D297353CC}">
              <c16:uniqueId val="{00000004-C4E1-454F-9A87-115DA0CAF208}"/>
            </c:ext>
          </c:extLst>
        </c:ser>
        <c:ser>
          <c:idx val="4"/>
          <c:order val="4"/>
          <c:tx>
            <c:strRef>
              <c:f>Age!$G$2</c:f>
              <c:strCache>
                <c:ptCount val="1"/>
                <c:pt idx="0">
                  <c:v>55-64</c:v>
                </c:pt>
              </c:strCache>
            </c:strRef>
          </c:tx>
          <c:spPr>
            <a:solidFill>
              <a:schemeClr val="accent1">
                <a:tint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95000"/>
                        <a:lumOff val="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Age!$B$28</c:f>
              <c:strCache>
                <c:ptCount val="1"/>
                <c:pt idx="0">
                  <c:v>Q2</c:v>
                </c:pt>
              </c:strCache>
            </c:strRef>
          </c:cat>
          <c:val>
            <c:numRef>
              <c:f>Age!$G$28</c:f>
              <c:numCache>
                <c:formatCode>General</c:formatCode>
                <c:ptCount val="1"/>
                <c:pt idx="0">
                  <c:v>206</c:v>
                </c:pt>
              </c:numCache>
            </c:numRef>
          </c:val>
          <c:extLst>
            <c:ext xmlns:c16="http://schemas.microsoft.com/office/drawing/2014/chart" uri="{C3380CC4-5D6E-409C-BE32-E72D297353CC}">
              <c16:uniqueId val="{00000005-C4E1-454F-9A87-115DA0CAF208}"/>
            </c:ext>
          </c:extLst>
        </c:ser>
        <c:ser>
          <c:idx val="5"/>
          <c:order val="5"/>
          <c:tx>
            <c:strRef>
              <c:f>Age!$H$2</c:f>
              <c:strCache>
                <c:ptCount val="1"/>
                <c:pt idx="0">
                  <c:v>65+</c:v>
                </c:pt>
              </c:strCache>
            </c:strRef>
          </c:tx>
          <c:spPr>
            <a:solidFill>
              <a:schemeClr val="tx2"/>
            </a:solidFill>
            <a:ln>
              <a:noFill/>
            </a:ln>
            <a:effectLst/>
          </c:spPr>
          <c:invertIfNegative val="0"/>
          <c:dLbls>
            <c:dLbl>
              <c:idx val="0"/>
              <c:layout>
                <c:manualLayout>
                  <c:x val="4.0503891945653583E-2"/>
                  <c:y val="-0.3607318344188510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4E1-454F-9A87-115DA0CAF208}"/>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95000"/>
                        <a:lumOff val="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Age!$B$28</c:f>
              <c:strCache>
                <c:ptCount val="1"/>
                <c:pt idx="0">
                  <c:v>Q2</c:v>
                </c:pt>
              </c:strCache>
            </c:strRef>
          </c:cat>
          <c:val>
            <c:numRef>
              <c:f>Age!$H$28</c:f>
              <c:numCache>
                <c:formatCode>General</c:formatCode>
                <c:ptCount val="1"/>
                <c:pt idx="0">
                  <c:v>25</c:v>
                </c:pt>
              </c:numCache>
            </c:numRef>
          </c:val>
          <c:extLst>
            <c:ext xmlns:c16="http://schemas.microsoft.com/office/drawing/2014/chart" uri="{C3380CC4-5D6E-409C-BE32-E72D297353CC}">
              <c16:uniqueId val="{00000007-C4E1-454F-9A87-115DA0CAF208}"/>
            </c:ext>
          </c:extLst>
        </c:ser>
        <c:dLbls>
          <c:dLblPos val="ctr"/>
          <c:showLegendKey val="0"/>
          <c:showVal val="1"/>
          <c:showCatName val="0"/>
          <c:showSerName val="0"/>
          <c:showPercent val="0"/>
          <c:showBubbleSize val="0"/>
        </c:dLbls>
        <c:gapWidth val="150"/>
        <c:overlap val="100"/>
        <c:axId val="599232783"/>
        <c:axId val="599226543"/>
      </c:barChart>
      <c:catAx>
        <c:axId val="599232783"/>
        <c:scaling>
          <c:orientation val="minMax"/>
        </c:scaling>
        <c:delete val="1"/>
        <c:axPos val="l"/>
        <c:numFmt formatCode="General" sourceLinked="1"/>
        <c:majorTickMark val="none"/>
        <c:minorTickMark val="none"/>
        <c:tickLblPos val="nextTo"/>
        <c:crossAx val="599226543"/>
        <c:crosses val="autoZero"/>
        <c:auto val="1"/>
        <c:lblAlgn val="ctr"/>
        <c:lblOffset val="100"/>
        <c:noMultiLvlLbl val="0"/>
      </c:catAx>
      <c:valAx>
        <c:axId val="599226543"/>
        <c:scaling>
          <c:orientation val="minMax"/>
          <c:max val="750"/>
          <c:min val="0"/>
        </c:scaling>
        <c:delete val="1"/>
        <c:axPos val="b"/>
        <c:numFmt formatCode="General" sourceLinked="1"/>
        <c:majorTickMark val="none"/>
        <c:minorTickMark val="none"/>
        <c:tickLblPos val="nextTo"/>
        <c:crossAx val="599232783"/>
        <c:crosses val="autoZero"/>
        <c:crossBetween val="between"/>
      </c:valAx>
      <c:spPr>
        <a:noFill/>
        <a:ln>
          <a:noFill/>
        </a:ln>
        <a:effectLst/>
      </c:spPr>
    </c:plotArea>
    <c:legend>
      <c:legendPos val="b"/>
      <c:layout>
        <c:manualLayout>
          <c:xMode val="edge"/>
          <c:yMode val="edge"/>
          <c:x val="0.05"/>
          <c:y val="0.70781770833333324"/>
          <c:w val="0.89999999999999991"/>
          <c:h val="0.29218229166666665"/>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85000"/>
                  <a:lumOff val="1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6.0041676389348646E-2"/>
          <c:y val="0"/>
          <c:w val="0.93623256265392152"/>
          <c:h val="1"/>
        </c:manualLayout>
      </c:layout>
      <c:barChart>
        <c:barDir val="bar"/>
        <c:grouping val="stacked"/>
        <c:varyColors val="0"/>
        <c:ser>
          <c:idx val="0"/>
          <c:order val="0"/>
          <c:tx>
            <c:strRef>
              <c:f>Disability!$A$2</c:f>
              <c:strCache>
                <c:ptCount val="1"/>
                <c:pt idx="0">
                  <c:v>No</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tx1">
                        <a:lumMod val="95000"/>
                        <a:lumOff val="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Disability!$F$1</c:f>
              <c:strCache>
                <c:ptCount val="1"/>
                <c:pt idx="0">
                  <c:v>Q2 22/23</c:v>
                </c:pt>
              </c:strCache>
            </c:strRef>
          </c:cat>
          <c:val>
            <c:numRef>
              <c:f>Disability!$F$2</c:f>
              <c:numCache>
                <c:formatCode>General</c:formatCode>
                <c:ptCount val="1"/>
                <c:pt idx="0">
                  <c:v>180</c:v>
                </c:pt>
              </c:numCache>
            </c:numRef>
          </c:val>
          <c:extLst>
            <c:ext xmlns:c16="http://schemas.microsoft.com/office/drawing/2014/chart" uri="{C3380CC4-5D6E-409C-BE32-E72D297353CC}">
              <c16:uniqueId val="{00000000-B08E-4774-8E71-918F00907413}"/>
            </c:ext>
          </c:extLst>
        </c:ser>
        <c:ser>
          <c:idx val="1"/>
          <c:order val="1"/>
          <c:tx>
            <c:strRef>
              <c:f>Disability!$A$3</c:f>
              <c:strCache>
                <c:ptCount val="1"/>
                <c:pt idx="0">
                  <c:v>Not declared</c:v>
                </c:pt>
              </c:strCache>
            </c:strRef>
          </c:tx>
          <c:spPr>
            <a:solidFill>
              <a:schemeClr val="tx2">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tx1">
                        <a:lumMod val="95000"/>
                        <a:lumOff val="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Disability!$F$1</c:f>
              <c:strCache>
                <c:ptCount val="1"/>
                <c:pt idx="0">
                  <c:v>Q2 22/23</c:v>
                </c:pt>
              </c:strCache>
            </c:strRef>
          </c:cat>
          <c:val>
            <c:numRef>
              <c:f>Disability!$F$3</c:f>
              <c:numCache>
                <c:formatCode>General</c:formatCode>
                <c:ptCount val="1"/>
                <c:pt idx="0">
                  <c:v>581</c:v>
                </c:pt>
              </c:numCache>
            </c:numRef>
          </c:val>
          <c:extLst>
            <c:ext xmlns:c16="http://schemas.microsoft.com/office/drawing/2014/chart" uri="{C3380CC4-5D6E-409C-BE32-E72D297353CC}">
              <c16:uniqueId val="{00000001-B08E-4774-8E71-918F00907413}"/>
            </c:ext>
          </c:extLst>
        </c:ser>
        <c:ser>
          <c:idx val="2"/>
          <c:order val="2"/>
          <c:tx>
            <c:strRef>
              <c:f>Disability!$A$4</c:f>
              <c:strCache>
                <c:ptCount val="1"/>
                <c:pt idx="0">
                  <c:v>Prefer not to say</c:v>
                </c:pt>
              </c:strCache>
            </c:strRef>
          </c:tx>
          <c:spPr>
            <a:solidFill>
              <a:schemeClr val="accent1">
                <a:lumMod val="50000"/>
              </a:schemeClr>
            </a:solidFill>
            <a:ln>
              <a:noFill/>
            </a:ln>
            <a:effectLst/>
          </c:spPr>
          <c:invertIfNegative val="0"/>
          <c:dLbls>
            <c:dLbl>
              <c:idx val="0"/>
              <c:layout>
                <c:manualLayout>
                  <c:x val="7.4133052323504034E-2"/>
                  <c:y val="0.371449813865650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08E-4774-8E71-918F00907413}"/>
                </c:ext>
              </c:extLst>
            </c:dLbl>
            <c:dLbl>
              <c:idx val="1"/>
              <c:layout>
                <c:manualLayout>
                  <c:x val="6.3520644209368038E-2"/>
                  <c:y val="-4.525110981019160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08E-4774-8E71-918F00907413}"/>
                </c:ext>
              </c:extLst>
            </c:dLbl>
            <c:dLbl>
              <c:idx val="2"/>
              <c:layout>
                <c:manualLayout>
                  <c:x val="6.6282411348905682E-2"/>
                  <c:y val="-8.2959409631171255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08E-4774-8E71-918F00907413}"/>
                </c:ext>
              </c:extLst>
            </c:dLbl>
            <c:dLbl>
              <c:idx val="3"/>
              <c:layout>
                <c:manualLayout>
                  <c:x val="7.1805945627981274E-2"/>
                  <c:y val="-4.525110981019119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08E-4774-8E71-918F00907413}"/>
                </c:ext>
              </c:extLst>
            </c:dLbl>
            <c:spPr>
              <a:noFill/>
              <a:ln>
                <a:noFill/>
              </a:ln>
              <a:effectLst/>
            </c:spPr>
            <c:txPr>
              <a:bodyPr rot="0" spcFirstLastPara="1" vertOverflow="ellipsis" vert="horz" wrap="square" anchor="ctr" anchorCtr="1"/>
              <a:lstStyle/>
              <a:p>
                <a:pPr>
                  <a:defRPr sz="700" b="1" i="0" u="none" strike="noStrike" kern="1200" baseline="0">
                    <a:solidFill>
                      <a:schemeClr val="tx1">
                        <a:lumMod val="95000"/>
                        <a:lumOff val="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Disability!$F$1</c:f>
              <c:strCache>
                <c:ptCount val="1"/>
                <c:pt idx="0">
                  <c:v>Q2 22/23</c:v>
                </c:pt>
              </c:strCache>
            </c:strRef>
          </c:cat>
          <c:val>
            <c:numRef>
              <c:f>Disability!$F$4</c:f>
              <c:numCache>
                <c:formatCode>General</c:formatCode>
                <c:ptCount val="1"/>
                <c:pt idx="0">
                  <c:v>5</c:v>
                </c:pt>
              </c:numCache>
            </c:numRef>
          </c:val>
          <c:extLst>
            <c:ext xmlns:c16="http://schemas.microsoft.com/office/drawing/2014/chart" uri="{C3380CC4-5D6E-409C-BE32-E72D297353CC}">
              <c16:uniqueId val="{00000006-B08E-4774-8E71-918F00907413}"/>
            </c:ext>
          </c:extLst>
        </c:ser>
        <c:ser>
          <c:idx val="3"/>
          <c:order val="3"/>
          <c:tx>
            <c:strRef>
              <c:f>Disability!$A$5</c:f>
              <c:strCache>
                <c:ptCount val="1"/>
                <c:pt idx="0">
                  <c:v>Yes</c:v>
                </c:pt>
              </c:strCache>
            </c:strRef>
          </c:tx>
          <c:spPr>
            <a:solidFill>
              <a:schemeClr val="accent1">
                <a:lumMod val="40000"/>
                <a:lumOff val="60000"/>
              </a:schemeClr>
            </a:solidFill>
            <a:ln>
              <a:noFill/>
            </a:ln>
            <a:effectLst/>
          </c:spPr>
          <c:invertIfNegative val="0"/>
          <c:dLbls>
            <c:dLbl>
              <c:idx val="0"/>
              <c:layout>
                <c:manualLayout>
                  <c:x val="8.8091995166232617E-2"/>
                  <c:y val="-2.2625449992722962E-2"/>
                </c:manualLayout>
              </c:layout>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08E-4774-8E71-918F00907413}"/>
                </c:ext>
              </c:extLst>
            </c:dLbl>
            <c:dLbl>
              <c:idx val="1"/>
              <c:layout>
                <c:manualLayout>
                  <c:x val="2.7617671395377412E-3"/>
                  <c:y val="-3.167577686713383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08E-4774-8E71-918F00907413}"/>
                </c:ext>
              </c:extLst>
            </c:dLbl>
            <c:dLbl>
              <c:idx val="2"/>
              <c:layout>
                <c:manualLayout>
                  <c:x val="0"/>
                  <c:y val="-3.167577686713383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08E-4774-8E71-918F00907413}"/>
                </c:ext>
              </c:extLst>
            </c:dLbl>
            <c:dLbl>
              <c:idx val="3"/>
              <c:layout>
                <c:manualLayout>
                  <c:x val="2.7617671395376397E-3"/>
                  <c:y val="-3.167577686713387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08E-4774-8E71-918F00907413}"/>
                </c:ext>
              </c:extLst>
            </c:dLbl>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Disability!$F$1</c:f>
              <c:strCache>
                <c:ptCount val="1"/>
                <c:pt idx="0">
                  <c:v>Q2 22/23</c:v>
                </c:pt>
              </c:strCache>
            </c:strRef>
          </c:cat>
          <c:val>
            <c:numRef>
              <c:f>Disability!$F$5</c:f>
              <c:numCache>
                <c:formatCode>General</c:formatCode>
                <c:ptCount val="1"/>
                <c:pt idx="0">
                  <c:v>17</c:v>
                </c:pt>
              </c:numCache>
            </c:numRef>
          </c:val>
          <c:extLst>
            <c:ext xmlns:c16="http://schemas.microsoft.com/office/drawing/2014/chart" uri="{C3380CC4-5D6E-409C-BE32-E72D297353CC}">
              <c16:uniqueId val="{0000000B-B08E-4774-8E71-918F00907413}"/>
            </c:ext>
          </c:extLst>
        </c:ser>
        <c:dLbls>
          <c:dLblPos val="ctr"/>
          <c:showLegendKey val="0"/>
          <c:showVal val="1"/>
          <c:showCatName val="0"/>
          <c:showSerName val="0"/>
          <c:showPercent val="0"/>
          <c:showBubbleSize val="0"/>
        </c:dLbls>
        <c:gapWidth val="219"/>
        <c:overlap val="100"/>
        <c:axId val="2034635983"/>
        <c:axId val="2034639311"/>
      </c:barChart>
      <c:catAx>
        <c:axId val="2034635983"/>
        <c:scaling>
          <c:orientation val="minMax"/>
        </c:scaling>
        <c:delete val="1"/>
        <c:axPos val="l"/>
        <c:numFmt formatCode="General" sourceLinked="1"/>
        <c:majorTickMark val="none"/>
        <c:minorTickMark val="none"/>
        <c:tickLblPos val="nextTo"/>
        <c:crossAx val="2034639311"/>
        <c:crosses val="autoZero"/>
        <c:auto val="1"/>
        <c:lblAlgn val="ctr"/>
        <c:lblOffset val="100"/>
        <c:noMultiLvlLbl val="0"/>
      </c:catAx>
      <c:valAx>
        <c:axId val="2034639311"/>
        <c:scaling>
          <c:orientation val="minMax"/>
          <c:min val="0"/>
        </c:scaling>
        <c:delete val="1"/>
        <c:axPos val="b"/>
        <c:numFmt formatCode="General" sourceLinked="1"/>
        <c:majorTickMark val="none"/>
        <c:minorTickMark val="none"/>
        <c:tickLblPos val="nextTo"/>
        <c:crossAx val="2034635983"/>
        <c:crosses val="autoZero"/>
        <c:crossBetween val="between"/>
        <c:majorUnit val="200"/>
      </c:valAx>
      <c:spPr>
        <a:noFill/>
        <a:ln>
          <a:noFill/>
        </a:ln>
        <a:effectLst/>
      </c:spPr>
    </c:plotArea>
    <c:legend>
      <c:legendPos val="t"/>
      <c:layout>
        <c:manualLayout>
          <c:xMode val="edge"/>
          <c:yMode val="edge"/>
          <c:x val="5.0173166778189277E-4"/>
          <c:y val="1.095507724093122E-3"/>
          <c:w val="0.89999999999999991"/>
          <c:h val="0.29218229166666665"/>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85000"/>
                  <a:lumOff val="1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b="1">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770299145299197E-3"/>
          <c:y val="6.5781249999999972E-3"/>
          <c:w val="0.99402297008547014"/>
          <c:h val="0.99342187500000001"/>
        </c:manualLayout>
      </c:layout>
      <c:areaChart>
        <c:grouping val="standard"/>
        <c:varyColors val="0"/>
        <c:ser>
          <c:idx val="2"/>
          <c:order val="2"/>
          <c:tx>
            <c:strRef>
              <c:f>'XmR Chart'!$I$1</c:f>
              <c:strCache>
                <c:ptCount val="1"/>
                <c:pt idx="0">
                  <c:v>measure upper limit</c:v>
                </c:pt>
              </c:strCache>
            </c:strRef>
          </c:tx>
          <c:spPr>
            <a:solidFill>
              <a:srgbClr val="E6EDF6"/>
            </a:solidFill>
            <a:ln w="12700">
              <a:noFill/>
              <a:prstDash val="sysDash"/>
            </a:ln>
          </c:spPr>
          <c:cat>
            <c:strRef>
              <c:f>'XmR Chart'!$B$2:$B$9</c:f>
              <c:strCache>
                <c:ptCount val="8"/>
                <c:pt idx="0">
                  <c:v>20/21 Q1</c:v>
                </c:pt>
                <c:pt idx="1">
                  <c:v>Q2</c:v>
                </c:pt>
                <c:pt idx="2">
                  <c:v>Q3</c:v>
                </c:pt>
                <c:pt idx="3">
                  <c:v>Q4</c:v>
                </c:pt>
                <c:pt idx="4">
                  <c:v>Q1</c:v>
                </c:pt>
                <c:pt idx="5">
                  <c:v>Q2</c:v>
                </c:pt>
                <c:pt idx="6">
                  <c:v>Q3</c:v>
                </c:pt>
                <c:pt idx="7">
                  <c:v>Q4</c:v>
                </c:pt>
              </c:strCache>
            </c:strRef>
          </c:cat>
          <c:val>
            <c:numRef>
              <c:f>'XmR Chart'!$I$2:$I$11</c:f>
              <c:numCache>
                <c:formatCode>0.0</c:formatCode>
                <c:ptCount val="10"/>
                <c:pt idx="0">
                  <c:v>240.99250000000001</c:v>
                </c:pt>
                <c:pt idx="1">
                  <c:v>240.99250000000001</c:v>
                </c:pt>
                <c:pt idx="2">
                  <c:v>240.99250000000001</c:v>
                </c:pt>
                <c:pt idx="3">
                  <c:v>240.99250000000001</c:v>
                </c:pt>
                <c:pt idx="4">
                  <c:v>240.99250000000001</c:v>
                </c:pt>
                <c:pt idx="5">
                  <c:v>240.99250000000001</c:v>
                </c:pt>
                <c:pt idx="6">
                  <c:v>240.99250000000001</c:v>
                </c:pt>
                <c:pt idx="7">
                  <c:v>240.99250000000001</c:v>
                </c:pt>
                <c:pt idx="8">
                  <c:v>240.99250000000001</c:v>
                </c:pt>
                <c:pt idx="9">
                  <c:v>240.99250000000001</c:v>
                </c:pt>
              </c:numCache>
            </c:numRef>
          </c:val>
          <c:extLst>
            <c:ext xmlns:c16="http://schemas.microsoft.com/office/drawing/2014/chart" uri="{C3380CC4-5D6E-409C-BE32-E72D297353CC}">
              <c16:uniqueId val="{00000000-20D6-4106-8140-3FA899ACF35B}"/>
            </c:ext>
          </c:extLst>
        </c:ser>
        <c:ser>
          <c:idx val="3"/>
          <c:order val="3"/>
          <c:tx>
            <c:strRef>
              <c:f>'XmR Chart'!$H$1</c:f>
              <c:strCache>
                <c:ptCount val="1"/>
                <c:pt idx="0">
                  <c:v>measure lower limit</c:v>
                </c:pt>
              </c:strCache>
            </c:strRef>
          </c:tx>
          <c:spPr>
            <a:solidFill>
              <a:schemeClr val="bg1"/>
            </a:solidFill>
            <a:ln w="12700">
              <a:noFill/>
              <a:prstDash val="sysDash"/>
            </a:ln>
          </c:spPr>
          <c:cat>
            <c:strRef>
              <c:f>'XmR Chart'!$B$2:$B$9</c:f>
              <c:strCache>
                <c:ptCount val="8"/>
                <c:pt idx="0">
                  <c:v>20/21 Q1</c:v>
                </c:pt>
                <c:pt idx="1">
                  <c:v>Q2</c:v>
                </c:pt>
                <c:pt idx="2">
                  <c:v>Q3</c:v>
                </c:pt>
                <c:pt idx="3">
                  <c:v>Q4</c:v>
                </c:pt>
                <c:pt idx="4">
                  <c:v>Q1</c:v>
                </c:pt>
                <c:pt idx="5">
                  <c:v>Q2</c:v>
                </c:pt>
                <c:pt idx="6">
                  <c:v>Q3</c:v>
                </c:pt>
                <c:pt idx="7">
                  <c:v>Q4</c:v>
                </c:pt>
              </c:strCache>
            </c:strRef>
          </c:cat>
          <c:val>
            <c:numRef>
              <c:f>'XmR Chart'!$H$2:$H$11</c:f>
              <c:numCache>
                <c:formatCode>0.0</c:formatCode>
                <c:ptCount val="10"/>
                <c:pt idx="0">
                  <c:v>48.807500000000005</c:v>
                </c:pt>
                <c:pt idx="1">
                  <c:v>48.807500000000005</c:v>
                </c:pt>
                <c:pt idx="2">
                  <c:v>48.807500000000005</c:v>
                </c:pt>
                <c:pt idx="3">
                  <c:v>48.807500000000005</c:v>
                </c:pt>
                <c:pt idx="4">
                  <c:v>48.807500000000005</c:v>
                </c:pt>
                <c:pt idx="5">
                  <c:v>48.807500000000005</c:v>
                </c:pt>
                <c:pt idx="6">
                  <c:v>48.807500000000005</c:v>
                </c:pt>
                <c:pt idx="7">
                  <c:v>48.807500000000005</c:v>
                </c:pt>
                <c:pt idx="8">
                  <c:v>48.807500000000005</c:v>
                </c:pt>
                <c:pt idx="9">
                  <c:v>48.807500000000005</c:v>
                </c:pt>
              </c:numCache>
            </c:numRef>
          </c:val>
          <c:extLst>
            <c:ext xmlns:c16="http://schemas.microsoft.com/office/drawing/2014/chart" uri="{C3380CC4-5D6E-409C-BE32-E72D297353CC}">
              <c16:uniqueId val="{00000001-20D6-4106-8140-3FA899ACF35B}"/>
            </c:ext>
          </c:extLst>
        </c:ser>
        <c:dLbls>
          <c:showLegendKey val="0"/>
          <c:showVal val="0"/>
          <c:showCatName val="0"/>
          <c:showSerName val="0"/>
          <c:showPercent val="0"/>
          <c:showBubbleSize val="0"/>
        </c:dLbls>
        <c:axId val="2040658880"/>
        <c:axId val="1"/>
      </c:areaChart>
      <c:lineChart>
        <c:grouping val="standard"/>
        <c:varyColors val="0"/>
        <c:ser>
          <c:idx val="0"/>
          <c:order val="0"/>
          <c:tx>
            <c:strRef>
              <c:f>'XmR Chart'!$C$1</c:f>
              <c:strCache>
                <c:ptCount val="1"/>
                <c:pt idx="0">
                  <c:v>measure</c:v>
                </c:pt>
              </c:strCache>
            </c:strRef>
          </c:tx>
          <c:spPr>
            <a:ln w="12700">
              <a:solidFill>
                <a:schemeClr val="bg1">
                  <a:lumMod val="65000"/>
                </a:schemeClr>
              </a:solidFill>
              <a:prstDash val="solid"/>
            </a:ln>
          </c:spPr>
          <c:marker>
            <c:symbol val="diamond"/>
            <c:size val="5"/>
            <c:spPr>
              <a:solidFill>
                <a:schemeClr val="bg1">
                  <a:lumMod val="65000"/>
                </a:schemeClr>
              </a:solidFill>
              <a:ln>
                <a:solidFill>
                  <a:schemeClr val="bg1">
                    <a:lumMod val="65000"/>
                  </a:schemeClr>
                </a:solidFill>
                <a:prstDash val="solid"/>
              </a:ln>
            </c:spPr>
          </c:marker>
          <c:cat>
            <c:multiLvlStrRef>
              <c:f>'XmR Chart'!$A$2:$B$11</c:f>
              <c:multiLvlStrCache>
                <c:ptCount val="10"/>
                <c:lvl>
                  <c:pt idx="0">
                    <c:v>20/21 Q1</c:v>
                  </c:pt>
                  <c:pt idx="1">
                    <c:v>Q2</c:v>
                  </c:pt>
                  <c:pt idx="2">
                    <c:v>Q3</c:v>
                  </c:pt>
                  <c:pt idx="3">
                    <c:v>Q4</c:v>
                  </c:pt>
                  <c:pt idx="4">
                    <c:v>Q1</c:v>
                  </c:pt>
                  <c:pt idx="5">
                    <c:v>Q2</c:v>
                  </c:pt>
                  <c:pt idx="6">
                    <c:v>Q3</c:v>
                  </c:pt>
                  <c:pt idx="7">
                    <c:v>Q4</c:v>
                  </c:pt>
                  <c:pt idx="8">
                    <c:v>Q1</c:v>
                  </c:pt>
                  <c:pt idx="9">
                    <c:v>22/23 Q2</c:v>
                  </c:pt>
                </c:lvl>
                <c:lvl>
                  <c:pt idx="4">
                    <c:v>2021/2022</c:v>
                  </c:pt>
                  <c:pt idx="8">
                    <c:v>2022/2023</c:v>
                  </c:pt>
                </c:lvl>
              </c:multiLvlStrCache>
            </c:multiLvlStrRef>
          </c:cat>
          <c:val>
            <c:numRef>
              <c:f>'XmR Chart'!$C$2:$C$11</c:f>
              <c:numCache>
                <c:formatCode>General</c:formatCode>
                <c:ptCount val="10"/>
                <c:pt idx="0">
                  <c:v>99.5</c:v>
                </c:pt>
                <c:pt idx="1">
                  <c:v>174</c:v>
                </c:pt>
                <c:pt idx="2">
                  <c:v>138</c:v>
                </c:pt>
                <c:pt idx="3">
                  <c:v>141</c:v>
                </c:pt>
                <c:pt idx="4">
                  <c:v>172</c:v>
                </c:pt>
                <c:pt idx="5">
                  <c:v>242</c:v>
                </c:pt>
                <c:pt idx="6">
                  <c:v>147</c:v>
                </c:pt>
                <c:pt idx="7">
                  <c:v>201</c:v>
                </c:pt>
                <c:pt idx="8">
                  <c:v>346</c:v>
                </c:pt>
                <c:pt idx="9">
                  <c:v>519</c:v>
                </c:pt>
              </c:numCache>
            </c:numRef>
          </c:val>
          <c:smooth val="0"/>
          <c:extLst>
            <c:ext xmlns:c16="http://schemas.microsoft.com/office/drawing/2014/chart" uri="{C3380CC4-5D6E-409C-BE32-E72D297353CC}">
              <c16:uniqueId val="{00000002-20D6-4106-8140-3FA899ACF35B}"/>
            </c:ext>
          </c:extLst>
        </c:ser>
        <c:ser>
          <c:idx val="1"/>
          <c:order val="1"/>
          <c:tx>
            <c:strRef>
              <c:f>'XmR Chart'!$D$1</c:f>
              <c:strCache>
                <c:ptCount val="1"/>
                <c:pt idx="0">
                  <c:v>mean line</c:v>
                </c:pt>
              </c:strCache>
            </c:strRef>
          </c:tx>
          <c:spPr>
            <a:ln w="19050">
              <a:solidFill>
                <a:schemeClr val="tx2">
                  <a:lumMod val="60000"/>
                  <a:lumOff val="40000"/>
                </a:schemeClr>
              </a:solidFill>
              <a:prstDash val="solid"/>
            </a:ln>
          </c:spPr>
          <c:marker>
            <c:symbol val="none"/>
          </c:marker>
          <c:cat>
            <c:multiLvlStrRef>
              <c:f>'XmR Chart'!$A$2:$B$11</c:f>
              <c:multiLvlStrCache>
                <c:ptCount val="10"/>
                <c:lvl>
                  <c:pt idx="0">
                    <c:v>20/21 Q1</c:v>
                  </c:pt>
                  <c:pt idx="1">
                    <c:v>Q2</c:v>
                  </c:pt>
                  <c:pt idx="2">
                    <c:v>Q3</c:v>
                  </c:pt>
                  <c:pt idx="3">
                    <c:v>Q4</c:v>
                  </c:pt>
                  <c:pt idx="4">
                    <c:v>Q1</c:v>
                  </c:pt>
                  <c:pt idx="5">
                    <c:v>Q2</c:v>
                  </c:pt>
                  <c:pt idx="6">
                    <c:v>Q3</c:v>
                  </c:pt>
                  <c:pt idx="7">
                    <c:v>Q4</c:v>
                  </c:pt>
                  <c:pt idx="8">
                    <c:v>Q1</c:v>
                  </c:pt>
                  <c:pt idx="9">
                    <c:v>22/23 Q2</c:v>
                  </c:pt>
                </c:lvl>
                <c:lvl>
                  <c:pt idx="4">
                    <c:v>2021/2022</c:v>
                  </c:pt>
                  <c:pt idx="8">
                    <c:v>2022/2023</c:v>
                  </c:pt>
                </c:lvl>
              </c:multiLvlStrCache>
            </c:multiLvlStrRef>
          </c:cat>
          <c:val>
            <c:numRef>
              <c:f>'XmR Chart'!$D$2:$D$11</c:f>
              <c:numCache>
                <c:formatCode>0.0</c:formatCode>
                <c:ptCount val="10"/>
                <c:pt idx="0">
                  <c:v>144.9</c:v>
                </c:pt>
                <c:pt idx="1">
                  <c:v>144.9</c:v>
                </c:pt>
                <c:pt idx="2">
                  <c:v>144.9</c:v>
                </c:pt>
                <c:pt idx="3">
                  <c:v>144.9</c:v>
                </c:pt>
                <c:pt idx="4">
                  <c:v>144.9</c:v>
                </c:pt>
                <c:pt idx="5">
                  <c:v>144.9</c:v>
                </c:pt>
                <c:pt idx="6">
                  <c:v>144.9</c:v>
                </c:pt>
                <c:pt idx="7">
                  <c:v>144.9</c:v>
                </c:pt>
                <c:pt idx="8">
                  <c:v>144.9</c:v>
                </c:pt>
                <c:pt idx="9">
                  <c:v>144.9</c:v>
                </c:pt>
              </c:numCache>
            </c:numRef>
          </c:val>
          <c:smooth val="0"/>
          <c:extLst>
            <c:ext xmlns:c16="http://schemas.microsoft.com/office/drawing/2014/chart" uri="{C3380CC4-5D6E-409C-BE32-E72D297353CC}">
              <c16:uniqueId val="{00000003-20D6-4106-8140-3FA899ACF35B}"/>
            </c:ext>
          </c:extLst>
        </c:ser>
        <c:dLbls>
          <c:showLegendKey val="0"/>
          <c:showVal val="0"/>
          <c:showCatName val="0"/>
          <c:showSerName val="0"/>
          <c:showPercent val="0"/>
          <c:showBubbleSize val="0"/>
        </c:dLbls>
        <c:marker val="1"/>
        <c:smooth val="0"/>
        <c:axId val="2040658880"/>
        <c:axId val="1"/>
      </c:lineChart>
      <c:catAx>
        <c:axId val="2040658880"/>
        <c:scaling>
          <c:orientation val="minMax"/>
        </c:scaling>
        <c:delete val="0"/>
        <c:axPos val="b"/>
        <c:numFmt formatCode="General" sourceLinked="1"/>
        <c:majorTickMark val="none"/>
        <c:minorTickMark val="none"/>
        <c:tickLblPos val="nextTo"/>
        <c:txPr>
          <a:bodyPr rot="0" vert="horz"/>
          <a:lstStyle/>
          <a:p>
            <a:pPr>
              <a:defRPr sz="800" b="0" i="0" u="none" strike="noStrike" baseline="0">
                <a:solidFill>
                  <a:srgbClr val="000000"/>
                </a:solidFill>
                <a:latin typeface="Calibri"/>
                <a:ea typeface="Calibri"/>
                <a:cs typeface="Calibri"/>
              </a:defRPr>
            </a:pPr>
            <a:endParaRPr lang="en-US"/>
          </a:p>
        </c:txPr>
        <c:crossAx val="1"/>
        <c:crosses val="autoZero"/>
        <c:auto val="1"/>
        <c:lblAlgn val="ctr"/>
        <c:lblOffset val="100"/>
        <c:tickLblSkip val="9"/>
        <c:noMultiLvlLbl val="1"/>
      </c:catAx>
      <c:valAx>
        <c:axId val="1"/>
        <c:scaling>
          <c:orientation val="minMax"/>
        </c:scaling>
        <c:delete val="0"/>
        <c:axPos val="l"/>
        <c:numFmt formatCode="0"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en-US"/>
          </a:p>
        </c:txPr>
        <c:crossAx val="2040658880"/>
        <c:crossesAt val="1"/>
        <c:crossBetween val="between"/>
      </c:valAx>
      <c:spPr>
        <a:noFill/>
        <a:ln w="25400">
          <a:noFill/>
        </a:ln>
      </c:spPr>
    </c:plotArea>
    <c:plotVisOnly val="1"/>
    <c:dispBlanksAs val="gap"/>
    <c:showDLblsOverMax val="0"/>
  </c:chart>
  <c:spPr>
    <a:solidFill>
      <a:srgbClr val="FFFFFF"/>
    </a:solidFill>
    <a:ln w="3175">
      <a:noFill/>
      <a:prstDash val="solid"/>
    </a:ln>
  </c:spPr>
  <c:txPr>
    <a:bodyPr/>
    <a:lstStyle/>
    <a:p>
      <a:pPr>
        <a:defRPr sz="650" b="0" i="0" u="none" strike="noStrike" baseline="0">
          <a:solidFill>
            <a:srgbClr val="000000"/>
          </a:solidFill>
          <a:latin typeface="Tempus Sans ITC"/>
          <a:ea typeface="Tempus Sans ITC"/>
          <a:cs typeface="Tempus Sans ITC"/>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bg1">
                    <a:lumMod val="50000"/>
                  </a:schemeClr>
                </a:solidFill>
                <a:latin typeface="+mn-lt"/>
                <a:ea typeface="+mn-ea"/>
                <a:cs typeface="+mn-cs"/>
              </a:defRPr>
            </a:pPr>
            <a:r>
              <a:rPr lang="en-GB" b="1">
                <a:solidFill>
                  <a:schemeClr val="bg1">
                    <a:lumMod val="50000"/>
                  </a:schemeClr>
                </a:solidFill>
              </a:rPr>
              <a:t>Corporate Risks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bg1">
                  <a:lumMod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'Graphs for report'!$B$35</c:f>
              <c:strCache>
                <c:ptCount val="1"/>
                <c:pt idx="0">
                  <c:v>Count of RISK_ID</c:v>
                </c:pt>
              </c:strCache>
            </c:strRef>
          </c:tx>
          <c:spPr>
            <a:solidFill>
              <a:srgbClr val="0070C0"/>
            </a:solidFill>
            <a:ln>
              <a:noFill/>
            </a:ln>
            <a:effectLst/>
          </c:spPr>
          <c:invertIfNegative val="0"/>
          <c:cat>
            <c:strRef>
              <c:f>'Graphs for report'!$A$36:$A$38</c:f>
              <c:strCache>
                <c:ptCount val="3"/>
                <c:pt idx="0">
                  <c:v>Medium</c:v>
                </c:pt>
                <c:pt idx="1">
                  <c:v>High</c:v>
                </c:pt>
                <c:pt idx="2">
                  <c:v>Very High</c:v>
                </c:pt>
              </c:strCache>
            </c:strRef>
          </c:cat>
          <c:val>
            <c:numRef>
              <c:f>'Graphs for report'!$B$36:$B$38</c:f>
              <c:numCache>
                <c:formatCode>General</c:formatCode>
                <c:ptCount val="3"/>
                <c:pt idx="0">
                  <c:v>8</c:v>
                </c:pt>
                <c:pt idx="1">
                  <c:v>4</c:v>
                </c:pt>
                <c:pt idx="2">
                  <c:v>1</c:v>
                </c:pt>
              </c:numCache>
            </c:numRef>
          </c:val>
          <c:extLst>
            <c:ext xmlns:c16="http://schemas.microsoft.com/office/drawing/2014/chart" uri="{C3380CC4-5D6E-409C-BE32-E72D297353CC}">
              <c16:uniqueId val="{00000000-5E5B-441B-ACF7-1F1208A43EC3}"/>
            </c:ext>
          </c:extLst>
        </c:ser>
        <c:dLbls>
          <c:showLegendKey val="0"/>
          <c:showVal val="0"/>
          <c:showCatName val="0"/>
          <c:showSerName val="0"/>
          <c:showPercent val="0"/>
          <c:showBubbleSize val="0"/>
        </c:dLbls>
        <c:gapWidth val="219"/>
        <c:overlap val="-27"/>
        <c:axId val="1729664880"/>
        <c:axId val="1729667376"/>
      </c:barChart>
      <c:catAx>
        <c:axId val="172966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bg1">
                    <a:lumMod val="50000"/>
                  </a:schemeClr>
                </a:solidFill>
                <a:latin typeface="+mn-lt"/>
                <a:ea typeface="+mn-ea"/>
                <a:cs typeface="+mn-cs"/>
              </a:defRPr>
            </a:pPr>
            <a:endParaRPr lang="en-US"/>
          </a:p>
        </c:txPr>
        <c:crossAx val="1729667376"/>
        <c:crosses val="autoZero"/>
        <c:auto val="1"/>
        <c:lblAlgn val="ctr"/>
        <c:lblOffset val="100"/>
        <c:noMultiLvlLbl val="0"/>
      </c:catAx>
      <c:valAx>
        <c:axId val="1729667376"/>
        <c:scaling>
          <c:orientation val="minMax"/>
        </c:scaling>
        <c:delete val="0"/>
        <c:axPos val="l"/>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172966488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A3876453</value>
    </field>
    <field name="Objective-Title">
      <value order="0">F.08i Board of NatureScot Meeting - 07 December 2022 - 2022-23 Q2 Performance Report - WEB VERSION</value>
    </field>
    <field name="Objective-Description">
      <value order="0"/>
    </field>
    <field name="Objective-CreationStamp">
      <value order="0">2022-12-01T12:24:40Z</value>
    </field>
    <field name="Objective-IsApproved">
      <value order="0">false</value>
    </field>
    <field name="Objective-IsPublished">
      <value order="0">true</value>
    </field>
    <field name="Objective-DatePublished">
      <value order="0">2022-12-01T12:24:41Z</value>
    </field>
    <field name="Objective-ModificationStamp">
      <value order="0">2022-12-01T12:25:10Z</value>
    </field>
    <field name="Objective-Owner">
      <value order="0">Mary-Anne Thomson</value>
    </field>
    <field name="Objective-Path">
      <value order="0">Objective Global Folder:NatureScot Fileplan:MAN - Management:EO - Executive Office:BD - Board:SNH Board - Meetings:Board of NatureScot Meetings - 2022:202 - Board of NatureScot - 07 December 2022</value>
    </field>
    <field name="Objective-Parent">
      <value order="0">202 - Board of NatureScot - 07 December 2022</value>
    </field>
    <field name="Objective-State">
      <value order="0">Published</value>
    </field>
    <field name="Objective-VersionId">
      <value order="0">vA6805140</value>
    </field>
    <field name="Objective-Version">
      <value order="0">1.0</value>
    </field>
    <field name="Objective-VersionNumber">
      <value order="0">1</value>
    </field>
    <field name="Objective-VersionComment">
      <value order="0"/>
    </field>
    <field name="Objective-FileNumber">
      <value order="0">qA175120</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FB4EC02-D238-4B16-9B8E-882C57E5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6614</Words>
  <Characters>37700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44226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McIntosh</dc:creator>
  <cp:keywords/>
  <dc:description/>
  <cp:lastModifiedBy>MaryAnne Thomson</cp:lastModifiedBy>
  <cp:revision>2</cp:revision>
  <dcterms:created xsi:type="dcterms:W3CDTF">2022-12-01T12:23:00Z</dcterms:created>
  <dcterms:modified xsi:type="dcterms:W3CDTF">2022-12-01T12:23:00Z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A3876453</vt:lpwstr>
  </property>
  <property fmtid="{D5CDD505-2E9C-101B-9397-08002B2CF9AE}" pid="4" name="Objective-Title">
    <vt:lpwstr>F.08i Board of NatureScot Meeting - 07 December 2022 - 2022-23 Q2 Performance Report - WEB VERSION</vt:lpwstr>
  </property>
  <property fmtid="{D5CDD505-2E9C-101B-9397-08002B2CF9AE}" pid="5" name="Objective-Description">
    <vt:lpwstr/>
  </property>
  <property fmtid="{D5CDD505-2E9C-101B-9397-08002B2CF9AE}" pid="6" name="Objective-CreationStamp">
    <vt:filetime>2022-12-01T12:24:40Z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2022-12-01T12:24:41Z</vt:filetime>
  </property>
  <property fmtid="{D5CDD505-2E9C-101B-9397-08002B2CF9AE}" pid="10" name="Objective-ModificationStamp">
    <vt:filetime>2022-12-01T12:25:10Z</vt:filetime>
  </property>
  <property fmtid="{D5CDD505-2E9C-101B-9397-08002B2CF9AE}" pid="11" name="Objective-Owner">
    <vt:lpwstr>Mary-Anne Thomson</vt:lpwstr>
  </property>
  <property fmtid="{D5CDD505-2E9C-101B-9397-08002B2CF9AE}" pid="12" name="Objective-Path">
    <vt:lpwstr>Objective Global Folder:NatureScot Fileplan:MAN - Management:EO - Executive Office:BD - Board:SNH Board - Meetings:Board of NatureScot Meetings - 2022:202 - Board of NatureScot - 07 December 2022</vt:lpwstr>
  </property>
  <property fmtid="{D5CDD505-2E9C-101B-9397-08002B2CF9AE}" pid="13" name="Objective-Parent">
    <vt:lpwstr>202 - Board of NatureScot - 07 December 2022</vt:lpwstr>
  </property>
  <property fmtid="{D5CDD505-2E9C-101B-9397-08002B2CF9AE}" pid="14" name="Objective-State">
    <vt:lpwstr>Published</vt:lpwstr>
  </property>
  <property fmtid="{D5CDD505-2E9C-101B-9397-08002B2CF9AE}" pid="15" name="Objective-VersionId">
    <vt:lpwstr>vA6805140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qA175120</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