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63B9C" w14:textId="1AEE7A22" w:rsidR="00A932B9" w:rsidRDefault="00AF0F13" w:rsidP="005D0E4E">
      <w:pPr>
        <w:rPr>
          <w:rFonts w:cstheme="minorHAnsi"/>
          <w:color w:val="FF0000"/>
          <w:sz w:val="22"/>
        </w:rPr>
      </w:pPr>
      <w:r>
        <w:rPr>
          <w:noProof/>
          <w:lang w:eastAsia="en-GB"/>
        </w:rPr>
        <w:drawing>
          <wp:inline distT="0" distB="0" distL="0" distR="0" wp14:anchorId="764BFC78" wp14:editId="23F0CF30">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bookmarkStart w:id="0" w:name="_GoBack"/>
      <w:bookmarkEnd w:id="0"/>
    </w:p>
    <w:p w14:paraId="169DCCEC" w14:textId="3E766E0A"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8A5498">
        <w:rPr>
          <w:rFonts w:ascii="Calibri" w:hAnsi="Calibri" w:cs="Calibri"/>
          <w:sz w:val="24"/>
          <w:szCs w:val="24"/>
        </w:rPr>
        <w:t>Protected Ar</w:t>
      </w:r>
      <w:r w:rsidR="005E4202">
        <w:rPr>
          <w:rFonts w:ascii="Calibri" w:hAnsi="Calibri" w:cs="Calibri"/>
          <w:sz w:val="24"/>
          <w:szCs w:val="24"/>
        </w:rPr>
        <w:t>eas Committee Annual Report 2021/2022</w:t>
      </w:r>
    </w:p>
    <w:p w14:paraId="7D193339" w14:textId="4673CE8A" w:rsidR="003E22BB" w:rsidRPr="003E22BB" w:rsidRDefault="00DA2320" w:rsidP="003E22BB">
      <w:pPr>
        <w:spacing w:after="0" w:line="240" w:lineRule="auto"/>
        <w:rPr>
          <w:rFonts w:cstheme="minorHAnsi"/>
          <w:b/>
          <w:color w:val="000000" w:themeColor="text1"/>
        </w:rPr>
      </w:pPr>
      <w:r>
        <w:rPr>
          <w:rFonts w:cstheme="minorHAnsi"/>
          <w:b/>
          <w:color w:val="000000" w:themeColor="text1"/>
        </w:rPr>
        <w:t>Date:</w:t>
      </w:r>
      <w:r>
        <w:rPr>
          <w:rFonts w:cstheme="minorHAnsi"/>
          <w:b/>
          <w:color w:val="000000" w:themeColor="text1"/>
        </w:rPr>
        <w:tab/>
        <w:t>18 May 2022</w:t>
      </w:r>
    </w:p>
    <w:p w14:paraId="51C7F278" w14:textId="77777777" w:rsidR="003E22BB" w:rsidRPr="00A932B9" w:rsidRDefault="003E22BB" w:rsidP="005D0E4E">
      <w:pPr>
        <w:spacing w:line="240" w:lineRule="auto"/>
        <w:rPr>
          <w:rFonts w:cstheme="minorHAnsi"/>
          <w:b/>
          <w:color w:val="FF0000"/>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5D0E4E">
        <w:tc>
          <w:tcPr>
            <w:tcW w:w="2547" w:type="dxa"/>
          </w:tcPr>
          <w:p w14:paraId="36567900" w14:textId="4E40470D" w:rsidR="005D0E4E" w:rsidRPr="005D0E4E" w:rsidRDefault="005D0E4E" w:rsidP="00A64751">
            <w:pPr>
              <w:rPr>
                <w:szCs w:val="24"/>
              </w:rPr>
            </w:pPr>
            <w:r w:rsidRPr="005D0E4E">
              <w:rPr>
                <w:rStyle w:val="Heading3Char"/>
                <w:rFonts w:ascii="Calibri" w:hAnsi="Calibri" w:cs="Calibri"/>
                <w:b/>
                <w:color w:val="auto"/>
              </w:rPr>
              <w:t>Purpose:</w:t>
            </w:r>
          </w:p>
        </w:tc>
        <w:tc>
          <w:tcPr>
            <w:tcW w:w="6469" w:type="dxa"/>
          </w:tcPr>
          <w:p w14:paraId="2E6CD882" w14:textId="40FC76B2" w:rsidR="005D0E4E" w:rsidRPr="003B610E" w:rsidRDefault="0054670F" w:rsidP="005D0E4E">
            <w:pPr>
              <w:contextualSpacing/>
              <w:rPr>
                <w:rFonts w:ascii="Calibri" w:eastAsia="Arial" w:hAnsi="Calibri" w:cs="Times New Roman"/>
                <w:color w:val="00B050"/>
                <w:szCs w:val="24"/>
              </w:rPr>
            </w:pPr>
            <w:r w:rsidRPr="00DA2320">
              <w:rPr>
                <w:rFonts w:ascii="Calibri" w:eastAsia="Arial" w:hAnsi="Calibri" w:cs="Times New Roman"/>
                <w:szCs w:val="24"/>
              </w:rPr>
              <w:t>For information.</w:t>
            </w:r>
          </w:p>
        </w:tc>
      </w:tr>
      <w:tr w:rsidR="005D0E4E" w:rsidRPr="005D0E4E" w14:paraId="13CE33D4" w14:textId="77777777" w:rsidTr="005D0E4E">
        <w:tc>
          <w:tcPr>
            <w:tcW w:w="2547" w:type="dxa"/>
          </w:tcPr>
          <w:p w14:paraId="34DC0A94" w14:textId="1FAE133F"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7A101CFD" w:rsidR="005D0E4E" w:rsidRPr="00DA2320" w:rsidRDefault="00DA2320" w:rsidP="00E22882">
            <w:pPr>
              <w:contextualSpacing/>
              <w:rPr>
                <w:rFonts w:ascii="Calibri" w:eastAsia="Arial" w:hAnsi="Calibri" w:cs="Times New Roman"/>
                <w:szCs w:val="24"/>
              </w:rPr>
            </w:pPr>
            <w:r>
              <w:rPr>
                <w:rFonts w:cstheme="minorHAnsi"/>
                <w:szCs w:val="24"/>
              </w:rPr>
              <w:t xml:space="preserve">The work of the Protected Areas Committee (PAC) is relevant to both improving biodiversity and delivering nature-based solutions to climate change. In particular this year the PAC have been working on </w:t>
            </w:r>
            <w:r w:rsidR="00E22882">
              <w:rPr>
                <w:rFonts w:cstheme="minorHAnsi"/>
                <w:szCs w:val="24"/>
              </w:rPr>
              <w:t xml:space="preserve">next steps in </w:t>
            </w:r>
            <w:r>
              <w:rPr>
                <w:rFonts w:cstheme="minorHAnsi"/>
                <w:szCs w:val="24"/>
              </w:rPr>
              <w:t>the commission from the Board on our work on protected areas</w:t>
            </w:r>
            <w:r w:rsidR="00E22882">
              <w:rPr>
                <w:rFonts w:cstheme="minorHAnsi"/>
                <w:szCs w:val="24"/>
              </w:rPr>
              <w:t xml:space="preserve">. </w:t>
            </w:r>
            <w:r>
              <w:rPr>
                <w:rFonts w:cstheme="minorHAnsi"/>
                <w:szCs w:val="24"/>
              </w:rPr>
              <w:t xml:space="preserve"> </w:t>
            </w:r>
            <w:r w:rsidR="005E4202">
              <w:rPr>
                <w:rFonts w:cstheme="minorHAnsi"/>
                <w:szCs w:val="24"/>
              </w:rPr>
              <w:t>They have also considered advice to Ministers on a possible Marine Protected Area.</w:t>
            </w:r>
          </w:p>
        </w:tc>
      </w:tr>
      <w:tr w:rsidR="005D0E4E" w:rsidRPr="005D0E4E" w14:paraId="5F6879B4" w14:textId="77777777" w:rsidTr="005D0E4E">
        <w:tc>
          <w:tcPr>
            <w:tcW w:w="2547" w:type="dxa"/>
          </w:tcPr>
          <w:p w14:paraId="278D0DA3" w14:textId="3D465FF9"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3299577D" w14:textId="42BB9A80" w:rsidR="00A226B2" w:rsidRPr="00DA2320" w:rsidRDefault="00A226B2" w:rsidP="00A226B2">
            <w:pPr>
              <w:rPr>
                <w:rFonts w:cstheme="minorHAnsi"/>
                <w:szCs w:val="24"/>
              </w:rPr>
            </w:pPr>
            <w:r w:rsidRPr="00DA2320">
              <w:rPr>
                <w:rFonts w:cstheme="minorHAnsi"/>
                <w:szCs w:val="24"/>
              </w:rPr>
              <w:t>This paper presents a summary of PAC activities from April 2021 to March 2022.</w:t>
            </w:r>
          </w:p>
          <w:p w14:paraId="41EF5D10" w14:textId="77777777" w:rsidR="00A226B2" w:rsidRPr="00DA2320" w:rsidRDefault="00A226B2" w:rsidP="005D0E4E">
            <w:pPr>
              <w:contextualSpacing/>
              <w:rPr>
                <w:rFonts w:ascii="Calibri" w:eastAsia="Arial" w:hAnsi="Calibri" w:cs="Times New Roman"/>
                <w:szCs w:val="24"/>
              </w:rPr>
            </w:pPr>
          </w:p>
          <w:p w14:paraId="6950E4DA" w14:textId="13B6EE7D" w:rsidR="00A226B2" w:rsidRPr="00A226B2" w:rsidRDefault="00A226B2" w:rsidP="00C314BD">
            <w:pPr>
              <w:contextualSpacing/>
              <w:rPr>
                <w:rFonts w:ascii="Calibri" w:eastAsia="Arial" w:hAnsi="Calibri" w:cs="Times New Roman"/>
                <w:color w:val="3366FF"/>
                <w:szCs w:val="24"/>
              </w:rPr>
            </w:pPr>
            <w:r w:rsidRPr="00DA2320">
              <w:rPr>
                <w:rFonts w:ascii="Calibri" w:eastAsia="Arial" w:hAnsi="Calibri" w:cs="Times New Roman"/>
                <w:szCs w:val="24"/>
              </w:rPr>
              <w:t xml:space="preserve">The PAC met three times during this period. </w:t>
            </w:r>
            <w:r w:rsidR="00C314BD" w:rsidRPr="00DA2320">
              <w:rPr>
                <w:rFonts w:ascii="Calibri" w:eastAsia="Arial" w:hAnsi="Calibri" w:cs="Times New Roman"/>
                <w:szCs w:val="24"/>
              </w:rPr>
              <w:t xml:space="preserve">All meetings were closed session. </w:t>
            </w:r>
          </w:p>
        </w:tc>
      </w:tr>
      <w:tr w:rsidR="005D0E4E" w:rsidRPr="005D0E4E" w14:paraId="187A143B" w14:textId="77777777" w:rsidTr="005D0E4E">
        <w:tc>
          <w:tcPr>
            <w:tcW w:w="2547" w:type="dxa"/>
          </w:tcPr>
          <w:p w14:paraId="1E0B416A" w14:textId="5808D500"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30D9395B" w14:textId="529BD46F" w:rsidR="005D0E4E" w:rsidRPr="00DA2320" w:rsidRDefault="005E4202" w:rsidP="00A64751">
            <w:pPr>
              <w:rPr>
                <w:rFonts w:ascii="Calibri" w:eastAsia="Arial" w:hAnsi="Calibri" w:cs="Times New Roman"/>
                <w:szCs w:val="24"/>
              </w:rPr>
            </w:pPr>
            <w:r>
              <w:rPr>
                <w:rFonts w:cstheme="minorHAnsi"/>
              </w:rPr>
              <w:t>Note the contents of the paper reflecting the work undertaken by the PAC during the past year.</w:t>
            </w:r>
          </w:p>
        </w:tc>
      </w:tr>
      <w:tr w:rsidR="005D0E4E" w:rsidRPr="005D0E4E" w14:paraId="1611D4CD" w14:textId="77777777" w:rsidTr="005D0E4E">
        <w:tc>
          <w:tcPr>
            <w:tcW w:w="2547"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4ABBC1" w14:textId="2AADA0E7" w:rsidR="005D0E4E" w:rsidRPr="00C314BD" w:rsidRDefault="00A226B2" w:rsidP="00A64751">
            <w:pPr>
              <w:rPr>
                <w:rFonts w:ascii="Calibri" w:eastAsia="Arial" w:hAnsi="Calibri" w:cs="Times New Roman"/>
                <w:color w:val="7030A0"/>
                <w:szCs w:val="24"/>
              </w:rPr>
            </w:pPr>
            <w:r w:rsidRPr="00DA2320">
              <w:rPr>
                <w:rFonts w:ascii="Calibri" w:eastAsia="Arial" w:hAnsi="Calibri" w:cs="Times New Roman"/>
                <w:szCs w:val="24"/>
              </w:rPr>
              <w:t>Jennafer Rodgers and Sarah Hutcheon</w:t>
            </w:r>
          </w:p>
        </w:tc>
      </w:tr>
      <w:tr w:rsidR="005D0E4E" w:rsidRPr="005D0E4E" w14:paraId="28B18A8B" w14:textId="77777777" w:rsidTr="005D0E4E">
        <w:tc>
          <w:tcPr>
            <w:tcW w:w="2547" w:type="dxa"/>
          </w:tcPr>
          <w:p w14:paraId="451D6F59"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15458FFD" w14:textId="0D6BF581" w:rsidR="005D0E4E" w:rsidRPr="00C314BD" w:rsidRDefault="00325D35" w:rsidP="00A64751">
            <w:pPr>
              <w:rPr>
                <w:rFonts w:ascii="Calibri" w:eastAsia="Arial" w:hAnsi="Calibri" w:cs="Times New Roman"/>
                <w:color w:val="7030A0"/>
                <w:szCs w:val="24"/>
              </w:rPr>
            </w:pPr>
            <w:r w:rsidRPr="00DA2320">
              <w:rPr>
                <w:rFonts w:ascii="Calibri" w:eastAsia="Arial" w:hAnsi="Calibri" w:cs="Times New Roman"/>
                <w:szCs w:val="24"/>
              </w:rPr>
              <w:t>Aoife Martin</w:t>
            </w:r>
          </w:p>
        </w:tc>
      </w:tr>
    </w:tbl>
    <w:p w14:paraId="567C7372" w14:textId="2A0BAEDC" w:rsidR="002C3CEB" w:rsidRDefault="002C3CEB" w:rsidP="00DA2320">
      <w:pPr>
        <w:rPr>
          <w:rFonts w:cstheme="minorHAnsi"/>
          <w:b/>
          <w:szCs w:val="24"/>
        </w:rPr>
      </w:pPr>
    </w:p>
    <w:p w14:paraId="1D400058" w14:textId="77777777" w:rsidR="002C3CEB" w:rsidRDefault="002C3CEB">
      <w:pPr>
        <w:rPr>
          <w:rFonts w:cstheme="minorHAnsi"/>
          <w:b/>
          <w:szCs w:val="24"/>
        </w:rPr>
      </w:pPr>
      <w:r>
        <w:rPr>
          <w:rFonts w:cstheme="minorHAnsi"/>
          <w:b/>
          <w:szCs w:val="24"/>
        </w:rPr>
        <w:br w:type="page"/>
      </w:r>
    </w:p>
    <w:p w14:paraId="7699F1C7" w14:textId="3F0AC91A" w:rsidR="00325D35" w:rsidRPr="00325D35" w:rsidRDefault="00DA2320" w:rsidP="00EC1BE0">
      <w:pPr>
        <w:pStyle w:val="Heading2"/>
        <w:spacing w:line="276" w:lineRule="auto"/>
      </w:pPr>
      <w:r>
        <w:lastRenderedPageBreak/>
        <w:t>Purpose</w:t>
      </w:r>
    </w:p>
    <w:p w14:paraId="3EA74851" w14:textId="2B9E649F" w:rsidR="00325D35" w:rsidRPr="00E72217" w:rsidRDefault="00325D35" w:rsidP="00E72217">
      <w:pPr>
        <w:pStyle w:val="ListParagraph"/>
        <w:numPr>
          <w:ilvl w:val="0"/>
          <w:numId w:val="17"/>
        </w:numPr>
        <w:spacing w:after="0"/>
        <w:jc w:val="both"/>
        <w:rPr>
          <w:rFonts w:cstheme="minorHAnsi"/>
          <w:szCs w:val="24"/>
        </w:rPr>
      </w:pPr>
      <w:r w:rsidRPr="00E72217">
        <w:rPr>
          <w:rFonts w:cstheme="minorHAnsi"/>
          <w:szCs w:val="24"/>
        </w:rPr>
        <w:t>This paper has been prepared to update the Board on the activity of the PAC since the last annual report. This update covers the period from April 2021 to March 2022. The previous Annual Report was submitted to the Board in May 2021.</w:t>
      </w:r>
    </w:p>
    <w:p w14:paraId="3DD95411" w14:textId="557AD3EA" w:rsidR="00325D35" w:rsidRPr="00DA2320" w:rsidRDefault="00325D35" w:rsidP="00EC1BE0">
      <w:pPr>
        <w:spacing w:after="0"/>
        <w:jc w:val="both"/>
        <w:rPr>
          <w:rFonts w:cstheme="minorHAnsi"/>
          <w:szCs w:val="24"/>
        </w:rPr>
      </w:pPr>
    </w:p>
    <w:p w14:paraId="082330FE" w14:textId="17988B61" w:rsidR="00325D35" w:rsidRPr="00E72217" w:rsidRDefault="00325D35" w:rsidP="00E72217">
      <w:pPr>
        <w:pStyle w:val="ListParagraph"/>
        <w:numPr>
          <w:ilvl w:val="0"/>
          <w:numId w:val="17"/>
        </w:numPr>
        <w:spacing w:after="0"/>
        <w:jc w:val="both"/>
        <w:rPr>
          <w:rFonts w:cstheme="minorHAnsi"/>
          <w:szCs w:val="24"/>
        </w:rPr>
      </w:pPr>
      <w:r w:rsidRPr="00E72217">
        <w:rPr>
          <w:rFonts w:cstheme="minorHAnsi"/>
          <w:szCs w:val="24"/>
        </w:rPr>
        <w:t>Over the past twelve months the PAC has focussed on:</w:t>
      </w:r>
    </w:p>
    <w:p w14:paraId="693C934D" w14:textId="0658ABB4" w:rsidR="00325D35" w:rsidRPr="00E72217" w:rsidRDefault="00B23FB3" w:rsidP="00E72217">
      <w:pPr>
        <w:pStyle w:val="ListParagraph"/>
        <w:numPr>
          <w:ilvl w:val="1"/>
          <w:numId w:val="17"/>
        </w:numPr>
        <w:spacing w:after="0"/>
        <w:jc w:val="both"/>
        <w:rPr>
          <w:rFonts w:cstheme="minorHAnsi"/>
          <w:szCs w:val="24"/>
        </w:rPr>
      </w:pPr>
      <w:r w:rsidRPr="00E72217">
        <w:rPr>
          <w:rFonts w:cstheme="minorHAnsi"/>
          <w:szCs w:val="24"/>
        </w:rPr>
        <w:t>The Work of the Protected Areas Committee</w:t>
      </w:r>
    </w:p>
    <w:p w14:paraId="53EBECE7" w14:textId="78D941A6" w:rsidR="00325D35" w:rsidRPr="00E72217" w:rsidRDefault="00B23FB3" w:rsidP="00E72217">
      <w:pPr>
        <w:pStyle w:val="ListParagraph"/>
        <w:numPr>
          <w:ilvl w:val="1"/>
          <w:numId w:val="17"/>
        </w:numPr>
        <w:spacing w:after="0"/>
        <w:jc w:val="both"/>
        <w:rPr>
          <w:rFonts w:cstheme="minorHAnsi"/>
          <w:szCs w:val="24"/>
        </w:rPr>
      </w:pPr>
      <w:r w:rsidRPr="00E72217">
        <w:rPr>
          <w:rFonts w:cstheme="minorHAnsi"/>
          <w:szCs w:val="24"/>
        </w:rPr>
        <w:t>Protected Areas Review</w:t>
      </w:r>
    </w:p>
    <w:p w14:paraId="519146BC" w14:textId="1C0FF6E4" w:rsidR="00B23FB3" w:rsidRPr="00E72217" w:rsidRDefault="007039F0" w:rsidP="00E72217">
      <w:pPr>
        <w:pStyle w:val="ListParagraph"/>
        <w:numPr>
          <w:ilvl w:val="1"/>
          <w:numId w:val="17"/>
        </w:numPr>
        <w:spacing w:after="0"/>
        <w:jc w:val="both"/>
        <w:rPr>
          <w:rFonts w:cstheme="minorHAnsi"/>
          <w:szCs w:val="24"/>
        </w:rPr>
      </w:pPr>
      <w:r w:rsidRPr="00E72217">
        <w:rPr>
          <w:rFonts w:cstheme="minorHAnsi"/>
          <w:szCs w:val="24"/>
        </w:rPr>
        <w:t>30x30</w:t>
      </w:r>
    </w:p>
    <w:p w14:paraId="15AF537C" w14:textId="40548061" w:rsidR="00B23FB3" w:rsidRPr="00E22882" w:rsidRDefault="007039F0" w:rsidP="00E72217">
      <w:pPr>
        <w:pStyle w:val="ListParagraph"/>
        <w:numPr>
          <w:ilvl w:val="1"/>
          <w:numId w:val="17"/>
        </w:numPr>
        <w:spacing w:after="0"/>
        <w:jc w:val="both"/>
        <w:rPr>
          <w:rFonts w:cstheme="minorHAnsi"/>
          <w:szCs w:val="24"/>
        </w:rPr>
      </w:pPr>
      <w:r w:rsidRPr="00E22882">
        <w:rPr>
          <w:rFonts w:cstheme="minorHAnsi"/>
          <w:szCs w:val="24"/>
        </w:rPr>
        <w:t>Red Rocks and Longay Possible MPA</w:t>
      </w:r>
    </w:p>
    <w:p w14:paraId="445058EE" w14:textId="3CCC25E8" w:rsidR="00B23FB3" w:rsidRPr="00E22882" w:rsidRDefault="00B23FB3" w:rsidP="00E72217">
      <w:pPr>
        <w:pStyle w:val="ListParagraph"/>
        <w:numPr>
          <w:ilvl w:val="1"/>
          <w:numId w:val="17"/>
        </w:numPr>
        <w:spacing w:after="0"/>
        <w:jc w:val="both"/>
        <w:rPr>
          <w:rFonts w:cstheme="minorHAnsi"/>
          <w:szCs w:val="24"/>
        </w:rPr>
      </w:pPr>
      <w:r w:rsidRPr="00E22882">
        <w:rPr>
          <w:rFonts w:cstheme="minorHAnsi"/>
          <w:szCs w:val="24"/>
        </w:rPr>
        <w:t>Te</w:t>
      </w:r>
      <w:r w:rsidRPr="00E72217">
        <w:rPr>
          <w:rFonts w:cstheme="minorHAnsi"/>
          <w:szCs w:val="24"/>
        </w:rPr>
        <w:t xml:space="preserve">rms of Reference </w:t>
      </w:r>
    </w:p>
    <w:p w14:paraId="0164338B" w14:textId="38F2B549" w:rsidR="00C314BD" w:rsidRDefault="00C314BD" w:rsidP="00EC1BE0">
      <w:pPr>
        <w:spacing w:after="0"/>
        <w:jc w:val="both"/>
        <w:rPr>
          <w:rFonts w:cstheme="minorHAnsi"/>
          <w:color w:val="3366FF"/>
          <w:szCs w:val="24"/>
          <w:u w:val="single"/>
        </w:rPr>
      </w:pPr>
    </w:p>
    <w:p w14:paraId="14E6153F" w14:textId="0C73F58F" w:rsidR="00DA1C49" w:rsidRPr="00DA2320" w:rsidRDefault="00DA1C49" w:rsidP="002206B3">
      <w:pPr>
        <w:pStyle w:val="Heading2"/>
      </w:pPr>
      <w:r w:rsidRPr="00DA2320">
        <w:t>New Committee Members</w:t>
      </w:r>
    </w:p>
    <w:p w14:paraId="59C9DB17" w14:textId="1FEDB07E" w:rsidR="00DA1C49" w:rsidRPr="00DA2320" w:rsidRDefault="00DA1C49" w:rsidP="00E72217">
      <w:pPr>
        <w:pStyle w:val="ListParagraph"/>
        <w:numPr>
          <w:ilvl w:val="0"/>
          <w:numId w:val="17"/>
        </w:numPr>
        <w:spacing w:after="0"/>
        <w:jc w:val="both"/>
      </w:pPr>
      <w:r w:rsidRPr="00DA2320">
        <w:t>The PAC met informally on 2</w:t>
      </w:r>
      <w:r w:rsidRPr="00E72217">
        <w:rPr>
          <w:vertAlign w:val="superscript"/>
        </w:rPr>
        <w:t>nd</w:t>
      </w:r>
      <w:r w:rsidRPr="00DA2320">
        <w:t xml:space="preserve"> August 2021 to run th</w:t>
      </w:r>
      <w:r w:rsidR="002C3CEB">
        <w:t>rough ways of working with new C</w:t>
      </w:r>
      <w:r w:rsidRPr="00DA2320">
        <w:t xml:space="preserve">ommittee members. Three new members were selected for PAC this year: Pete Higgins, David Johnstone and Nikki Yoxall who will all serve as </w:t>
      </w:r>
      <w:r w:rsidR="004E27A8">
        <w:t>B</w:t>
      </w:r>
      <w:r w:rsidRPr="00DA2320">
        <w:t>oard members of Nat</w:t>
      </w:r>
      <w:r w:rsidR="00DA2320">
        <w:t>ureScot until March 2025. B</w:t>
      </w:r>
      <w:r w:rsidRPr="00DA2320">
        <w:t>ackground information on each member</w:t>
      </w:r>
      <w:r w:rsidR="00DA2320">
        <w:t xml:space="preserve"> is detailed</w:t>
      </w:r>
      <w:r w:rsidRPr="00DA2320">
        <w:t xml:space="preserve"> below</w:t>
      </w:r>
      <w:r w:rsidR="00DA2320">
        <w:t xml:space="preserve">. Full biographies can be found </w:t>
      </w:r>
      <w:hyperlink r:id="rId10" w:history="1">
        <w:r w:rsidR="005E4202">
          <w:rPr>
            <w:rStyle w:val="Hyperlink"/>
          </w:rPr>
          <w:t>on our websit</w:t>
        </w:r>
        <w:r w:rsidR="00DA2320" w:rsidRPr="00DA2320">
          <w:rPr>
            <w:rStyle w:val="Hyperlink"/>
          </w:rPr>
          <w:t>e</w:t>
        </w:r>
      </w:hyperlink>
      <w:r w:rsidRPr="00DA2320">
        <w:t>.</w:t>
      </w:r>
    </w:p>
    <w:p w14:paraId="2FE6ECF4" w14:textId="77777777" w:rsidR="00DA1C49" w:rsidRPr="00DA2320" w:rsidRDefault="00DA1C49" w:rsidP="00EC1BE0">
      <w:pPr>
        <w:spacing w:after="0"/>
        <w:jc w:val="both"/>
      </w:pPr>
    </w:p>
    <w:p w14:paraId="491D202F" w14:textId="7C9F7199" w:rsidR="00DA1C49" w:rsidRPr="00DA2320" w:rsidRDefault="00DA1C49" w:rsidP="00E72217">
      <w:pPr>
        <w:pStyle w:val="ListParagraph"/>
        <w:numPr>
          <w:ilvl w:val="0"/>
          <w:numId w:val="17"/>
        </w:numPr>
        <w:spacing w:after="0"/>
        <w:jc w:val="both"/>
      </w:pPr>
      <w:r w:rsidRPr="00DA2320">
        <w:t>Professor Pete Higgins is Professor of Outdoor, Environmental and Sustainability Education at the University of Edinburgh, and Director of the United Nations University Recognised Centre for Education for Sustainable Development (Scotland).</w:t>
      </w:r>
      <w:r w:rsidR="007039F0" w:rsidRPr="00DA2320">
        <w:t xml:space="preserve"> </w:t>
      </w:r>
      <w:r w:rsidRPr="00DA2320">
        <w:t xml:space="preserve">He Chaired the Scottish Government Ministerial Advisory/Implementation Groups on Learning for Sustainability, was a Member of the National Parks Act Review Group (2008) and of the SportScotland Trust Company Board. </w:t>
      </w:r>
    </w:p>
    <w:p w14:paraId="7D689937" w14:textId="77777777" w:rsidR="00DA1C49" w:rsidRPr="00DA2320" w:rsidRDefault="00DA1C49" w:rsidP="00EC1BE0">
      <w:pPr>
        <w:spacing w:after="0"/>
        <w:jc w:val="both"/>
      </w:pPr>
    </w:p>
    <w:p w14:paraId="30CAD3A2" w14:textId="27CD3A28" w:rsidR="00DA1C49" w:rsidRPr="00DA2320" w:rsidRDefault="00DA1C49" w:rsidP="00E72217">
      <w:pPr>
        <w:pStyle w:val="ListParagraph"/>
        <w:numPr>
          <w:ilvl w:val="0"/>
          <w:numId w:val="17"/>
        </w:numPr>
        <w:spacing w:after="0"/>
        <w:jc w:val="both"/>
      </w:pPr>
      <w:r w:rsidRPr="00DA2320">
        <w:t>David Johnstone runs a family estate just south of Moffat covering enterprises from the traditional agricultural, forestry</w:t>
      </w:r>
      <w:r w:rsidR="004E27A8">
        <w:t>,</w:t>
      </w:r>
      <w:r w:rsidRPr="00DA2320">
        <w:t xml:space="preserve"> residential and commercial property, through to renewables,</w:t>
      </w:r>
      <w:r w:rsidR="005E4202">
        <w:t xml:space="preserve"> tourism and everything that a</w:t>
      </w:r>
      <w:r w:rsidRPr="00DA2320">
        <w:t xml:space="preserve"> mixed diverse business covers. He was chairman of Scottish Land and Estates for seven years stepping down in March 2020 and is a board member of South of Scotland community housing, and chairs the local Johnstonebridge community development fund.</w:t>
      </w:r>
    </w:p>
    <w:p w14:paraId="7025C30B" w14:textId="77777777" w:rsidR="00DA1C49" w:rsidRPr="00DA2320" w:rsidRDefault="00DA1C49" w:rsidP="00EC1BE0">
      <w:pPr>
        <w:spacing w:after="0"/>
        <w:jc w:val="both"/>
      </w:pPr>
    </w:p>
    <w:p w14:paraId="20D78D5B" w14:textId="43A562D0" w:rsidR="00F53C20" w:rsidRPr="00E72217" w:rsidRDefault="00DA1C49" w:rsidP="00E72217">
      <w:pPr>
        <w:pStyle w:val="ListParagraph"/>
        <w:numPr>
          <w:ilvl w:val="0"/>
          <w:numId w:val="17"/>
        </w:numPr>
        <w:spacing w:after="0"/>
        <w:jc w:val="both"/>
        <w:rPr>
          <w:rFonts w:cstheme="minorHAnsi"/>
          <w:szCs w:val="24"/>
          <w:u w:val="single"/>
        </w:rPr>
      </w:pPr>
      <w:r w:rsidRPr="00DA2320">
        <w:t>Nikki Yoxall currently farms with her husband in the North of Scotland and holds roles with the Nature Friendly Farming Network, Pasture Fed Livestock Association and the Landworkers Alliance promoting and facilitating agroecological research and education. She has worked in the tertiary education sector both in Scotland as Director of Learning and Teaching at Moray College UHI and in England as Head of Learning, Land</w:t>
      </w:r>
      <w:r w:rsidR="00B1476C">
        <w:t>-</w:t>
      </w:r>
      <w:r w:rsidRPr="00DA2320">
        <w:t>based Studies at Chichester College. Mrs Yoxall is currently a Farmer Ambassador for the Soil Association.</w:t>
      </w:r>
    </w:p>
    <w:p w14:paraId="646E8684" w14:textId="77777777" w:rsidR="00E72217" w:rsidRDefault="00E72217" w:rsidP="00EC1BE0">
      <w:pPr>
        <w:spacing w:after="0"/>
        <w:jc w:val="both"/>
        <w:rPr>
          <w:rFonts w:cstheme="minorHAnsi"/>
          <w:b/>
          <w:szCs w:val="24"/>
        </w:rPr>
      </w:pPr>
    </w:p>
    <w:p w14:paraId="4B416417" w14:textId="7F185B2B" w:rsidR="004D4B91" w:rsidRPr="00B1476C" w:rsidRDefault="00DA1C49" w:rsidP="002206B3">
      <w:pPr>
        <w:pStyle w:val="Heading2"/>
      </w:pPr>
      <w:r w:rsidRPr="00B1476C">
        <w:lastRenderedPageBreak/>
        <w:t>The work of the Protected Areas Committee</w:t>
      </w:r>
    </w:p>
    <w:p w14:paraId="05AA1A91" w14:textId="568405FF" w:rsidR="004D4B91" w:rsidRPr="00E72217" w:rsidRDefault="002B00CC" w:rsidP="00E72217">
      <w:pPr>
        <w:pStyle w:val="ListParagraph"/>
        <w:numPr>
          <w:ilvl w:val="0"/>
          <w:numId w:val="17"/>
        </w:numPr>
        <w:spacing w:after="0"/>
        <w:jc w:val="both"/>
        <w:rPr>
          <w:rFonts w:cstheme="minorHAnsi"/>
          <w:szCs w:val="24"/>
        </w:rPr>
      </w:pPr>
      <w:r>
        <w:rPr>
          <w:rFonts w:cstheme="minorHAnsi"/>
          <w:szCs w:val="24"/>
        </w:rPr>
        <w:t>The C</w:t>
      </w:r>
      <w:r w:rsidR="005E4202" w:rsidRPr="00E72217">
        <w:rPr>
          <w:rFonts w:cstheme="minorHAnsi"/>
          <w:szCs w:val="24"/>
        </w:rPr>
        <w:t xml:space="preserve">ommittee reflected on the role of the PAC and on NatureScot’s work in this area.  </w:t>
      </w:r>
      <w:r w:rsidR="00AF03C4">
        <w:rPr>
          <w:rFonts w:cstheme="minorHAnsi"/>
          <w:szCs w:val="24"/>
        </w:rPr>
        <w:t>Committee members</w:t>
      </w:r>
      <w:r w:rsidR="00AF03C4" w:rsidRPr="00E72217">
        <w:rPr>
          <w:rFonts w:cstheme="minorHAnsi"/>
          <w:szCs w:val="24"/>
        </w:rPr>
        <w:t xml:space="preserve"> </w:t>
      </w:r>
      <w:r w:rsidR="004D4B91" w:rsidRPr="00E72217">
        <w:rPr>
          <w:rFonts w:cstheme="minorHAnsi"/>
          <w:szCs w:val="24"/>
        </w:rPr>
        <w:t>discussed the importance of</w:t>
      </w:r>
      <w:r w:rsidR="00AF03C4">
        <w:rPr>
          <w:rFonts w:cstheme="minorHAnsi"/>
          <w:szCs w:val="24"/>
        </w:rPr>
        <w:t xml:space="preserve"> engaging with the public to secure buy-in for decisions and to develop productive and collaborative relationships so that outcomes would be realised</w:t>
      </w:r>
      <w:r w:rsidR="004E27A8">
        <w:rPr>
          <w:rFonts w:cstheme="minorHAnsi"/>
          <w:szCs w:val="24"/>
        </w:rPr>
        <w:t>.</w:t>
      </w:r>
      <w:r w:rsidR="00AF03C4">
        <w:rPr>
          <w:rFonts w:cstheme="minorHAnsi"/>
          <w:szCs w:val="24"/>
        </w:rPr>
        <w:t xml:space="preserve"> </w:t>
      </w:r>
      <w:r w:rsidR="004D4B91" w:rsidRPr="00E72217">
        <w:rPr>
          <w:rFonts w:cstheme="minorHAnsi"/>
          <w:szCs w:val="24"/>
        </w:rPr>
        <w:t>The aim should be to encourage voluntary compliance with managing protected areas for nature, followed by assisting people to comply and finally then using enforcement powers as a last resort.</w:t>
      </w:r>
    </w:p>
    <w:p w14:paraId="0976E22F" w14:textId="30CFD627" w:rsidR="00B1476C" w:rsidRPr="00B1476C" w:rsidRDefault="00B1476C" w:rsidP="00EC1BE0">
      <w:pPr>
        <w:spacing w:after="0"/>
        <w:jc w:val="both"/>
        <w:rPr>
          <w:rFonts w:cstheme="minorHAnsi"/>
          <w:szCs w:val="24"/>
        </w:rPr>
      </w:pPr>
    </w:p>
    <w:p w14:paraId="1D4F5982" w14:textId="4FFADF28" w:rsidR="003C7BA4" w:rsidRDefault="002B00CC" w:rsidP="004E27A8">
      <w:pPr>
        <w:pStyle w:val="ListParagraph"/>
        <w:numPr>
          <w:ilvl w:val="0"/>
          <w:numId w:val="17"/>
        </w:numPr>
        <w:spacing w:after="0"/>
        <w:jc w:val="both"/>
        <w:rPr>
          <w:rFonts w:cstheme="minorHAnsi"/>
          <w:szCs w:val="24"/>
        </w:rPr>
      </w:pPr>
      <w:r w:rsidRPr="004E27A8">
        <w:rPr>
          <w:rFonts w:cstheme="minorHAnsi"/>
          <w:szCs w:val="24"/>
        </w:rPr>
        <w:t>The C</w:t>
      </w:r>
      <w:r w:rsidR="00B1476C" w:rsidRPr="004E27A8">
        <w:rPr>
          <w:rFonts w:cstheme="minorHAnsi"/>
          <w:szCs w:val="24"/>
        </w:rPr>
        <w:t xml:space="preserve">ommittee </w:t>
      </w:r>
      <w:r w:rsidR="00AF03C4" w:rsidRPr="004E27A8">
        <w:rPr>
          <w:rFonts w:cstheme="minorHAnsi"/>
          <w:szCs w:val="24"/>
        </w:rPr>
        <w:t>discussed</w:t>
      </w:r>
      <w:r w:rsidR="00B1476C" w:rsidRPr="004E27A8">
        <w:rPr>
          <w:rFonts w:cstheme="minorHAnsi"/>
          <w:szCs w:val="24"/>
        </w:rPr>
        <w:t xml:space="preserve"> future areas of work and progress </w:t>
      </w:r>
      <w:r w:rsidR="00AF03C4" w:rsidRPr="004E27A8">
        <w:rPr>
          <w:rFonts w:cstheme="minorHAnsi"/>
          <w:szCs w:val="24"/>
        </w:rPr>
        <w:t xml:space="preserve">to date </w:t>
      </w:r>
      <w:r w:rsidR="00B1476C" w:rsidRPr="004E27A8">
        <w:rPr>
          <w:rFonts w:cstheme="minorHAnsi"/>
          <w:szCs w:val="24"/>
        </w:rPr>
        <w:t>on</w:t>
      </w:r>
      <w:r w:rsidR="00AF03C4" w:rsidRPr="004E27A8">
        <w:rPr>
          <w:rFonts w:cstheme="minorHAnsi"/>
          <w:szCs w:val="24"/>
        </w:rPr>
        <w:t xml:space="preserve"> designating and managing</w:t>
      </w:r>
      <w:r w:rsidR="00B1476C" w:rsidRPr="004E27A8">
        <w:rPr>
          <w:rFonts w:cstheme="minorHAnsi"/>
          <w:szCs w:val="24"/>
        </w:rPr>
        <w:t xml:space="preserve"> MPAs.</w:t>
      </w:r>
      <w:r w:rsidR="008B7927" w:rsidRPr="004E27A8">
        <w:rPr>
          <w:rFonts w:cstheme="minorHAnsi"/>
          <w:szCs w:val="24"/>
        </w:rPr>
        <w:t xml:space="preserve"> The Committee was advised that NatureScot will be involved in developing guidelines on Highly Protected Marine Areas (HPMAs</w:t>
      </w:r>
      <w:r w:rsidR="00AF03C4" w:rsidRPr="004E27A8">
        <w:rPr>
          <w:rFonts w:cstheme="minorHAnsi"/>
          <w:szCs w:val="24"/>
        </w:rPr>
        <w:t xml:space="preserve">), and the Chair confirmed that the PAC would be available to assist with this task as required. </w:t>
      </w:r>
    </w:p>
    <w:p w14:paraId="664FD12E" w14:textId="77777777" w:rsidR="004E27A8" w:rsidRPr="004E27A8" w:rsidRDefault="004E27A8" w:rsidP="004E27A8">
      <w:pPr>
        <w:pStyle w:val="ListParagraph"/>
        <w:spacing w:after="0"/>
        <w:jc w:val="both"/>
        <w:rPr>
          <w:rFonts w:cstheme="minorHAnsi"/>
          <w:szCs w:val="24"/>
        </w:rPr>
      </w:pPr>
    </w:p>
    <w:p w14:paraId="6758F4E9" w14:textId="504E0DE0" w:rsidR="002560D8" w:rsidRPr="00AA18A2" w:rsidRDefault="003C7BA4" w:rsidP="002206B3">
      <w:pPr>
        <w:pStyle w:val="Heading2"/>
      </w:pPr>
      <w:r>
        <w:t>Pr</w:t>
      </w:r>
      <w:r w:rsidR="008E2F1A">
        <w:t>otected Areas Review</w:t>
      </w:r>
    </w:p>
    <w:p w14:paraId="70CF203B" w14:textId="0A33A34D" w:rsidR="002560D8" w:rsidRDefault="002B00CC" w:rsidP="004E27A8">
      <w:pPr>
        <w:pStyle w:val="ListParagraph"/>
        <w:numPr>
          <w:ilvl w:val="0"/>
          <w:numId w:val="17"/>
        </w:numPr>
        <w:spacing w:after="0"/>
        <w:jc w:val="both"/>
      </w:pPr>
      <w:r>
        <w:t>The C</w:t>
      </w:r>
      <w:r w:rsidR="002560D8">
        <w:t>ommittee considered the next steps in the P</w:t>
      </w:r>
      <w:r w:rsidR="008B7927">
        <w:t xml:space="preserve">rotected </w:t>
      </w:r>
      <w:r w:rsidR="002560D8">
        <w:t>A</w:t>
      </w:r>
      <w:r w:rsidR="008B7927">
        <w:t>reas</w:t>
      </w:r>
      <w:r w:rsidR="002560D8">
        <w:t xml:space="preserve"> </w:t>
      </w:r>
      <w:r w:rsidR="00AF03C4">
        <w:t>R</w:t>
      </w:r>
      <w:r w:rsidR="002560D8">
        <w:t>eview</w:t>
      </w:r>
      <w:r w:rsidR="00AF03C4">
        <w:t xml:space="preserve"> (PAR)</w:t>
      </w:r>
      <w:r w:rsidR="004E27A8">
        <w:t>.</w:t>
      </w:r>
      <w:r w:rsidR="002560D8">
        <w:t xml:space="preserve"> Discussion included the following topics:</w:t>
      </w:r>
    </w:p>
    <w:p w14:paraId="72A98CB9" w14:textId="6D8878A2" w:rsidR="002560D8" w:rsidRDefault="002560D8" w:rsidP="00EC1BE0">
      <w:pPr>
        <w:spacing w:after="0"/>
        <w:jc w:val="both"/>
      </w:pPr>
    </w:p>
    <w:p w14:paraId="2788E08E" w14:textId="21EB8E4F" w:rsidR="002560D8" w:rsidRDefault="002560D8" w:rsidP="00E72217">
      <w:pPr>
        <w:pStyle w:val="ListParagraph"/>
        <w:numPr>
          <w:ilvl w:val="1"/>
          <w:numId w:val="17"/>
        </w:numPr>
        <w:spacing w:after="0"/>
        <w:jc w:val="both"/>
      </w:pPr>
      <w:r w:rsidRPr="002560D8">
        <w:t>The importance of support mechanisms for l</w:t>
      </w:r>
      <w:r w:rsidR="00BF0BD2">
        <w:t>andowners to manage for nature for</w:t>
      </w:r>
      <w:r w:rsidRPr="002560D8">
        <w:t xml:space="preserve"> </w:t>
      </w:r>
      <w:r w:rsidR="006506E8">
        <w:t xml:space="preserve">long-term or </w:t>
      </w:r>
      <w:r w:rsidRPr="002560D8">
        <w:t>permanent changes</w:t>
      </w:r>
    </w:p>
    <w:p w14:paraId="2DB7769C" w14:textId="4F76B8C7" w:rsidR="002560D8" w:rsidRDefault="002560D8" w:rsidP="00E72217">
      <w:pPr>
        <w:pStyle w:val="ListParagraph"/>
        <w:numPr>
          <w:ilvl w:val="1"/>
          <w:numId w:val="17"/>
        </w:numPr>
        <w:spacing w:after="0"/>
        <w:jc w:val="both"/>
      </w:pPr>
      <w:r w:rsidRPr="002560D8">
        <w:t>Better brokering between land-managers and other parties</w:t>
      </w:r>
    </w:p>
    <w:p w14:paraId="103D47BA" w14:textId="1C5CF544" w:rsidR="002560D8" w:rsidRDefault="00B60081" w:rsidP="00E72217">
      <w:pPr>
        <w:pStyle w:val="ListParagraph"/>
        <w:numPr>
          <w:ilvl w:val="1"/>
          <w:numId w:val="17"/>
        </w:numPr>
        <w:spacing w:after="0"/>
        <w:jc w:val="both"/>
      </w:pPr>
      <w:r w:rsidRPr="00B60081">
        <w:t>The significant role that Other Effective area-based Conservation Measures (OECMs) are likely to play in delivering 30x30</w:t>
      </w:r>
    </w:p>
    <w:p w14:paraId="531D9F34" w14:textId="7B65A222" w:rsidR="00B60081" w:rsidRDefault="00B60081" w:rsidP="00E72217">
      <w:pPr>
        <w:pStyle w:val="ListParagraph"/>
        <w:numPr>
          <w:ilvl w:val="1"/>
          <w:numId w:val="17"/>
        </w:numPr>
        <w:spacing w:after="0"/>
        <w:jc w:val="both"/>
      </w:pPr>
      <w:r w:rsidRPr="00B60081">
        <w:t xml:space="preserve">The need for improved </w:t>
      </w:r>
      <w:r w:rsidR="006506E8">
        <w:t xml:space="preserve">nature management </w:t>
      </w:r>
      <w:r w:rsidRPr="00B60081">
        <w:t>across protected areas and the wider countryside i.e. an integrated approach.</w:t>
      </w:r>
    </w:p>
    <w:p w14:paraId="12525E4A" w14:textId="22DD9084" w:rsidR="00B60081" w:rsidRDefault="00B60081" w:rsidP="00E72217">
      <w:pPr>
        <w:pStyle w:val="ListParagraph"/>
        <w:numPr>
          <w:ilvl w:val="1"/>
          <w:numId w:val="17"/>
        </w:numPr>
        <w:spacing w:after="0"/>
        <w:jc w:val="both"/>
      </w:pPr>
      <w:r w:rsidRPr="00B60081">
        <w:t>The risks of target setting driving perverse behaviours and not delivering the overriding objectives</w:t>
      </w:r>
      <w:r>
        <w:t>.</w:t>
      </w:r>
    </w:p>
    <w:p w14:paraId="2AC528CA" w14:textId="166B8305" w:rsidR="00B60081" w:rsidRDefault="00B60081" w:rsidP="00E72217">
      <w:pPr>
        <w:pStyle w:val="ListParagraph"/>
        <w:numPr>
          <w:ilvl w:val="1"/>
          <w:numId w:val="17"/>
        </w:numPr>
        <w:spacing w:after="0"/>
        <w:jc w:val="both"/>
      </w:pPr>
      <w:r w:rsidRPr="00B60081">
        <w:t>The need for shifting societal norms and behaviour change</w:t>
      </w:r>
    </w:p>
    <w:p w14:paraId="0DBC62D4" w14:textId="530F7767" w:rsidR="00B60081" w:rsidRDefault="00B60081" w:rsidP="00E72217">
      <w:pPr>
        <w:pStyle w:val="ListParagraph"/>
        <w:numPr>
          <w:ilvl w:val="1"/>
          <w:numId w:val="17"/>
        </w:numPr>
        <w:spacing w:after="0"/>
        <w:jc w:val="both"/>
      </w:pPr>
      <w:r w:rsidRPr="00B60081">
        <w:t>The need for clarity in the ‘ask’ of land-managers in terms of what they are aiming to achieve and the support to help them achieve it</w:t>
      </w:r>
      <w:r w:rsidR="00AF03C4">
        <w:t>.</w:t>
      </w:r>
      <w:r w:rsidR="00AF03C4">
        <w:br/>
      </w:r>
    </w:p>
    <w:p w14:paraId="78B1ED92" w14:textId="7A0C793E" w:rsidR="00AF03C4" w:rsidRDefault="00AF03C4" w:rsidP="00AF03C4">
      <w:pPr>
        <w:pStyle w:val="ListParagraph"/>
        <w:numPr>
          <w:ilvl w:val="0"/>
          <w:numId w:val="17"/>
        </w:numPr>
        <w:spacing w:after="0"/>
        <w:jc w:val="both"/>
      </w:pPr>
      <w:r>
        <w:t>Committee members agreed that while the recommendations from the PAR ove</w:t>
      </w:r>
      <w:r w:rsidR="004E27A8">
        <w:t>r</w:t>
      </w:r>
      <w:r>
        <w:t xml:space="preserve">lap with other NatureScot priorities it is important that these are progressed. </w:t>
      </w:r>
    </w:p>
    <w:p w14:paraId="67C95D9B" w14:textId="0AE12014" w:rsidR="008E2F1A" w:rsidRDefault="008E2F1A" w:rsidP="00EC1BE0">
      <w:pPr>
        <w:spacing w:after="0"/>
        <w:jc w:val="both"/>
        <w:rPr>
          <w:rFonts w:cstheme="minorHAnsi"/>
          <w:b/>
          <w:szCs w:val="24"/>
        </w:rPr>
      </w:pPr>
    </w:p>
    <w:p w14:paraId="3A38F1F3" w14:textId="60DBADA1" w:rsidR="008E2F1A" w:rsidRDefault="008E2F1A" w:rsidP="002206B3">
      <w:pPr>
        <w:pStyle w:val="Heading2"/>
      </w:pPr>
      <w:r>
        <w:t>30x30</w:t>
      </w:r>
    </w:p>
    <w:p w14:paraId="23B8DE08" w14:textId="1C5BAB35" w:rsidR="008E2F1A" w:rsidRPr="00E72217" w:rsidRDefault="002E7BE5" w:rsidP="00E72217">
      <w:pPr>
        <w:pStyle w:val="ListParagraph"/>
        <w:numPr>
          <w:ilvl w:val="0"/>
          <w:numId w:val="17"/>
        </w:numPr>
        <w:spacing w:after="0"/>
        <w:jc w:val="both"/>
        <w:rPr>
          <w:rFonts w:cstheme="minorHAnsi"/>
          <w:szCs w:val="24"/>
        </w:rPr>
      </w:pPr>
      <w:r w:rsidRPr="00E72217">
        <w:rPr>
          <w:rFonts w:cstheme="minorHAnsi"/>
          <w:szCs w:val="24"/>
        </w:rPr>
        <w:t xml:space="preserve">The 30x30 initiative sets out to protect 30% of land and 30% of sea by 2030. One third of these areas are to fall under the ‘strict protection’ status. </w:t>
      </w:r>
      <w:r w:rsidR="0025659C" w:rsidRPr="00E72217">
        <w:rPr>
          <w:rFonts w:cstheme="minorHAnsi"/>
          <w:szCs w:val="24"/>
        </w:rPr>
        <w:t>NatureScot are working with Scottish Government on the 30x30 commission.</w:t>
      </w:r>
    </w:p>
    <w:p w14:paraId="762EC215" w14:textId="7AD8956A" w:rsidR="008B7927" w:rsidRDefault="008B7927" w:rsidP="00EC1BE0">
      <w:pPr>
        <w:spacing w:after="0"/>
        <w:jc w:val="both"/>
        <w:rPr>
          <w:rFonts w:cstheme="minorHAnsi"/>
          <w:szCs w:val="24"/>
        </w:rPr>
      </w:pPr>
    </w:p>
    <w:p w14:paraId="61E8F206" w14:textId="69B27B07" w:rsidR="008B7927" w:rsidRPr="00E72217" w:rsidRDefault="008B7927" w:rsidP="00E72217">
      <w:pPr>
        <w:pStyle w:val="ListParagraph"/>
        <w:numPr>
          <w:ilvl w:val="0"/>
          <w:numId w:val="17"/>
        </w:numPr>
        <w:spacing w:after="0"/>
        <w:jc w:val="both"/>
        <w:rPr>
          <w:rFonts w:cstheme="minorHAnsi"/>
          <w:szCs w:val="24"/>
        </w:rPr>
      </w:pPr>
      <w:r w:rsidRPr="00E72217">
        <w:rPr>
          <w:rFonts w:cstheme="minorHAnsi"/>
          <w:szCs w:val="24"/>
        </w:rPr>
        <w:t>The Committee discussed the importance of connecting initiatives such as Scottish Biodiversity Strategy, the Programme for Government commitment on Nature Networks, the National Planning framework and the work on Scottish rainforests, as well as connecting to other policy areas such as agricultural support.</w:t>
      </w:r>
    </w:p>
    <w:p w14:paraId="448A1BA9" w14:textId="140FBB64" w:rsidR="00AA18A2" w:rsidRDefault="00AA18A2" w:rsidP="00EC1BE0">
      <w:pPr>
        <w:spacing w:after="0"/>
        <w:jc w:val="both"/>
        <w:rPr>
          <w:rFonts w:cstheme="minorHAnsi"/>
          <w:szCs w:val="24"/>
        </w:rPr>
      </w:pPr>
    </w:p>
    <w:p w14:paraId="582FE8F2" w14:textId="77777777" w:rsidR="00E72217" w:rsidRDefault="00E72217" w:rsidP="00EC1BE0">
      <w:pPr>
        <w:spacing w:after="0"/>
        <w:jc w:val="both"/>
        <w:rPr>
          <w:rFonts w:cstheme="minorHAnsi"/>
          <w:b/>
          <w:szCs w:val="24"/>
        </w:rPr>
      </w:pPr>
    </w:p>
    <w:p w14:paraId="3FEF5286" w14:textId="631C853A" w:rsidR="00515525" w:rsidRDefault="00515525" w:rsidP="002206B3">
      <w:pPr>
        <w:pStyle w:val="Heading2"/>
      </w:pPr>
      <w:r>
        <w:t>Red Rocks and Longay Possible MPA</w:t>
      </w:r>
    </w:p>
    <w:p w14:paraId="41E49C26" w14:textId="6B2351EE" w:rsidR="004F61E2" w:rsidRPr="00E72217" w:rsidRDefault="00EC1BE0" w:rsidP="00E72217">
      <w:pPr>
        <w:pStyle w:val="ListParagraph"/>
        <w:numPr>
          <w:ilvl w:val="0"/>
          <w:numId w:val="17"/>
        </w:numPr>
        <w:spacing w:after="0"/>
        <w:jc w:val="both"/>
        <w:rPr>
          <w:rFonts w:cstheme="minorHAnsi"/>
          <w:szCs w:val="24"/>
        </w:rPr>
      </w:pPr>
      <w:r w:rsidRPr="00E72217">
        <w:rPr>
          <w:rFonts w:cstheme="minorHAnsi"/>
          <w:szCs w:val="24"/>
        </w:rPr>
        <w:t>The Committee was</w:t>
      </w:r>
      <w:r w:rsidR="004A4076" w:rsidRPr="00E72217">
        <w:rPr>
          <w:rFonts w:cstheme="minorHAnsi"/>
          <w:szCs w:val="24"/>
        </w:rPr>
        <w:t xml:space="preserve"> asked to approve advice on the designation of this possible Ma</w:t>
      </w:r>
      <w:r w:rsidR="002B00CC">
        <w:rPr>
          <w:rFonts w:cstheme="minorHAnsi"/>
          <w:szCs w:val="24"/>
        </w:rPr>
        <w:t>rine Protected Area (MPA). The C</w:t>
      </w:r>
      <w:r w:rsidR="004A4076" w:rsidRPr="00E72217">
        <w:rPr>
          <w:rFonts w:cstheme="minorHAnsi"/>
          <w:szCs w:val="24"/>
        </w:rPr>
        <w:t>ommittee approved the</w:t>
      </w:r>
      <w:r w:rsidR="00AA18A2" w:rsidRPr="00E72217">
        <w:rPr>
          <w:rFonts w:cstheme="minorHAnsi"/>
          <w:szCs w:val="24"/>
        </w:rPr>
        <w:t xml:space="preserve"> advice </w:t>
      </w:r>
      <w:r w:rsidRPr="00E72217">
        <w:rPr>
          <w:rFonts w:cstheme="minorHAnsi"/>
          <w:szCs w:val="24"/>
        </w:rPr>
        <w:t xml:space="preserve">drafted by NatureScot staff, confirming </w:t>
      </w:r>
      <w:r w:rsidR="004A4076" w:rsidRPr="00E72217">
        <w:rPr>
          <w:rFonts w:cstheme="minorHAnsi"/>
          <w:szCs w:val="24"/>
        </w:rPr>
        <w:t>that it was based on robust science and had been</w:t>
      </w:r>
      <w:r w:rsidRPr="00E72217">
        <w:rPr>
          <w:rFonts w:cstheme="minorHAnsi"/>
          <w:szCs w:val="24"/>
        </w:rPr>
        <w:t xml:space="preserve"> subject to appropriate scrutiny, including by the SAC MPA subgroup.</w:t>
      </w:r>
      <w:r w:rsidR="004A4076" w:rsidRPr="00E72217">
        <w:rPr>
          <w:rFonts w:cstheme="minorHAnsi"/>
          <w:szCs w:val="24"/>
        </w:rPr>
        <w:t xml:space="preserve"> They approved submission of the advice to ministers. </w:t>
      </w:r>
    </w:p>
    <w:p w14:paraId="664EBD7F" w14:textId="75C8AC3E" w:rsidR="00D02722" w:rsidRDefault="00D02722" w:rsidP="00EC1BE0">
      <w:pPr>
        <w:spacing w:after="0"/>
        <w:jc w:val="both"/>
        <w:rPr>
          <w:rFonts w:cstheme="minorHAnsi"/>
          <w:szCs w:val="24"/>
        </w:rPr>
      </w:pPr>
    </w:p>
    <w:p w14:paraId="2E84B113" w14:textId="4A9D3C6A" w:rsidR="00D02722" w:rsidRPr="00E72217" w:rsidRDefault="00D02722" w:rsidP="00E72217">
      <w:pPr>
        <w:pStyle w:val="ListParagraph"/>
        <w:numPr>
          <w:ilvl w:val="0"/>
          <w:numId w:val="17"/>
        </w:numPr>
        <w:spacing w:after="0"/>
        <w:jc w:val="both"/>
        <w:rPr>
          <w:rFonts w:cstheme="minorHAnsi"/>
          <w:szCs w:val="24"/>
        </w:rPr>
      </w:pPr>
      <w:r w:rsidRPr="00E72217">
        <w:rPr>
          <w:rFonts w:cstheme="minorHAnsi"/>
          <w:szCs w:val="24"/>
        </w:rPr>
        <w:t xml:space="preserve">The Committee clarified the respective roles of NatureScot and Marine Scotland in general and specifically to this case. </w:t>
      </w:r>
      <w:r w:rsidR="00EC1BE0" w:rsidRPr="00E72217">
        <w:rPr>
          <w:rFonts w:cstheme="minorHAnsi"/>
          <w:szCs w:val="24"/>
        </w:rPr>
        <w:t xml:space="preserve">It was </w:t>
      </w:r>
      <w:r w:rsidR="00EC1BE0" w:rsidRPr="00E72217">
        <w:rPr>
          <w:rFonts w:ascii="Calibri" w:hAnsi="Calibri" w:cstheme="minorHAnsi"/>
        </w:rPr>
        <w:t>confirmed that NatureScot advises Marine Scotland on the science on how the site compares with selection guidance and on the sensitivity of features.  Marine Scotland then considers management measures. Both NatureScot and Marine Scotland are involved in stakeholder engagement events.</w:t>
      </w:r>
    </w:p>
    <w:p w14:paraId="45AACF98" w14:textId="3F9D5620" w:rsidR="00DA1C49" w:rsidRDefault="00DA1C49" w:rsidP="00EC1BE0">
      <w:pPr>
        <w:spacing w:after="0"/>
        <w:jc w:val="both"/>
        <w:rPr>
          <w:rFonts w:cstheme="minorHAnsi"/>
          <w:b/>
          <w:color w:val="00B050"/>
          <w:szCs w:val="24"/>
        </w:rPr>
      </w:pPr>
    </w:p>
    <w:p w14:paraId="45826E5D" w14:textId="49D39BC7" w:rsidR="00515525" w:rsidRDefault="00515525" w:rsidP="002206B3">
      <w:pPr>
        <w:pStyle w:val="Heading2"/>
      </w:pPr>
      <w:r>
        <w:t>Terms of Reference</w:t>
      </w:r>
    </w:p>
    <w:p w14:paraId="0C9A3E3C" w14:textId="3EF0342B" w:rsidR="00515525" w:rsidRPr="00E72217" w:rsidRDefault="00515525" w:rsidP="00E72217">
      <w:pPr>
        <w:pStyle w:val="ListParagraph"/>
        <w:numPr>
          <w:ilvl w:val="0"/>
          <w:numId w:val="17"/>
        </w:numPr>
        <w:spacing w:after="0"/>
        <w:jc w:val="both"/>
        <w:rPr>
          <w:rFonts w:cstheme="minorHAnsi"/>
          <w:szCs w:val="24"/>
        </w:rPr>
      </w:pPr>
      <w:r w:rsidRPr="00E72217">
        <w:rPr>
          <w:rFonts w:cstheme="minorHAnsi"/>
          <w:szCs w:val="24"/>
        </w:rPr>
        <w:t xml:space="preserve">The Terms of Reference for the Committee need to be reviewed every two years.  They were reviewed last year but the next review has been brought forward to bring it in line with the SAC review timeline. </w:t>
      </w:r>
    </w:p>
    <w:p w14:paraId="303394B5" w14:textId="77777777" w:rsidR="00515525" w:rsidRDefault="00515525" w:rsidP="00EC1BE0">
      <w:pPr>
        <w:spacing w:after="0"/>
        <w:jc w:val="both"/>
        <w:rPr>
          <w:rFonts w:cstheme="minorHAnsi"/>
          <w:szCs w:val="24"/>
        </w:rPr>
      </w:pPr>
    </w:p>
    <w:p w14:paraId="57E8F4DB" w14:textId="5D38B4CD" w:rsidR="00FA0E12" w:rsidRPr="00E72217" w:rsidRDefault="00EC1BE0" w:rsidP="00E72217">
      <w:pPr>
        <w:pStyle w:val="ListParagraph"/>
        <w:numPr>
          <w:ilvl w:val="0"/>
          <w:numId w:val="17"/>
        </w:numPr>
        <w:spacing w:after="0"/>
        <w:jc w:val="both"/>
        <w:rPr>
          <w:rFonts w:cstheme="minorHAnsi"/>
          <w:szCs w:val="24"/>
        </w:rPr>
      </w:pPr>
      <w:r w:rsidRPr="00E72217">
        <w:rPr>
          <w:rFonts w:cstheme="minorHAnsi"/>
          <w:szCs w:val="24"/>
        </w:rPr>
        <w:t>The C</w:t>
      </w:r>
      <w:r w:rsidR="00515525" w:rsidRPr="00E72217">
        <w:rPr>
          <w:rFonts w:cstheme="minorHAnsi"/>
          <w:szCs w:val="24"/>
        </w:rPr>
        <w:t>ommittee discussed the T</w:t>
      </w:r>
      <w:r w:rsidR="00D02722" w:rsidRPr="00E72217">
        <w:rPr>
          <w:rFonts w:cstheme="minorHAnsi"/>
          <w:szCs w:val="24"/>
        </w:rPr>
        <w:t xml:space="preserve">erms </w:t>
      </w:r>
      <w:r w:rsidR="00515525" w:rsidRPr="00E72217">
        <w:rPr>
          <w:rFonts w:cstheme="minorHAnsi"/>
          <w:szCs w:val="24"/>
        </w:rPr>
        <w:t>o</w:t>
      </w:r>
      <w:r w:rsidR="00D02722" w:rsidRPr="00E72217">
        <w:rPr>
          <w:rFonts w:cstheme="minorHAnsi"/>
          <w:szCs w:val="24"/>
        </w:rPr>
        <w:t>f Reference</w:t>
      </w:r>
      <w:r w:rsidR="00515525" w:rsidRPr="00E72217">
        <w:rPr>
          <w:rFonts w:cstheme="minorHAnsi"/>
          <w:szCs w:val="24"/>
        </w:rPr>
        <w:t xml:space="preserve"> and considered minor revisions. </w:t>
      </w:r>
      <w:r w:rsidRPr="00E72217">
        <w:rPr>
          <w:rFonts w:cstheme="minorHAnsi"/>
          <w:szCs w:val="24"/>
        </w:rPr>
        <w:t xml:space="preserve">The revised terms of reference were </w:t>
      </w:r>
      <w:r w:rsidR="002B00CC">
        <w:rPr>
          <w:rFonts w:cstheme="minorHAnsi"/>
          <w:szCs w:val="24"/>
        </w:rPr>
        <w:t>signed off at the March B</w:t>
      </w:r>
      <w:r w:rsidR="00515525" w:rsidRPr="00E72217">
        <w:rPr>
          <w:rFonts w:cstheme="minorHAnsi"/>
          <w:szCs w:val="24"/>
        </w:rPr>
        <w:t xml:space="preserve">oard meeting. </w:t>
      </w:r>
    </w:p>
    <w:sectPr w:rsidR="00FA0E12" w:rsidRPr="00E72217" w:rsidSect="00604DB9">
      <w:headerReference w:type="default" r:id="rId11"/>
      <w:footerReference w:type="default" r:id="rId12"/>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350DE" w14:textId="77777777" w:rsidR="00A828E9" w:rsidRDefault="00A828E9" w:rsidP="00204D20">
      <w:pPr>
        <w:spacing w:after="0" w:line="240" w:lineRule="auto"/>
      </w:pPr>
      <w:r>
        <w:separator/>
      </w:r>
    </w:p>
  </w:endnote>
  <w:endnote w:type="continuationSeparator" w:id="0">
    <w:p w14:paraId="43CFBE5F" w14:textId="77777777" w:rsidR="00A828E9" w:rsidRDefault="00A828E9"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4F92" w14:textId="77777777" w:rsidR="004F1BBD" w:rsidRDefault="004F1BBD">
    <w:pPr>
      <w:pStyle w:val="Footer"/>
      <w:jc w:val="center"/>
    </w:pPr>
  </w:p>
  <w:p w14:paraId="20364FD6"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2DA1C" w14:textId="77777777" w:rsidR="00A828E9" w:rsidRDefault="00A828E9" w:rsidP="00204D20">
      <w:pPr>
        <w:spacing w:after="0" w:line="240" w:lineRule="auto"/>
      </w:pPr>
      <w:r>
        <w:separator/>
      </w:r>
    </w:p>
  </w:footnote>
  <w:footnote w:type="continuationSeparator" w:id="0">
    <w:p w14:paraId="37FDD931" w14:textId="77777777" w:rsidR="00A828E9" w:rsidRDefault="00A828E9"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5BCB3" w14:textId="1AFCC907" w:rsidR="00225A36" w:rsidRPr="00225A36" w:rsidRDefault="00225A36" w:rsidP="00225A36">
    <w:pPr>
      <w:pStyle w:val="Header"/>
      <w:jc w:val="right"/>
      <w:rPr>
        <w:b/>
      </w:rPr>
    </w:pPr>
    <w:r w:rsidRPr="00225A36">
      <w:rPr>
        <w:b/>
      </w:rPr>
      <w:t>BOARD/198/12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3E8"/>
    <w:multiLevelType w:val="hybridMultilevel"/>
    <w:tmpl w:val="03B6B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B681D"/>
    <w:multiLevelType w:val="hybridMultilevel"/>
    <w:tmpl w:val="E82EF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A05228"/>
    <w:multiLevelType w:val="hybridMultilevel"/>
    <w:tmpl w:val="141E3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A5742"/>
    <w:multiLevelType w:val="hybridMultilevel"/>
    <w:tmpl w:val="4A8EB7F6"/>
    <w:lvl w:ilvl="0" w:tplc="0809000F">
      <w:start w:val="1"/>
      <w:numFmt w:val="decimal"/>
      <w:lvlText w:val="%1."/>
      <w:lvlJc w:val="left"/>
      <w:pPr>
        <w:ind w:left="720" w:hanging="360"/>
      </w:pPr>
    </w:lvl>
    <w:lvl w:ilvl="1" w:tplc="702CBAF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077C75"/>
    <w:multiLevelType w:val="hybridMultilevel"/>
    <w:tmpl w:val="BBA65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890D2C"/>
    <w:multiLevelType w:val="hybridMultilevel"/>
    <w:tmpl w:val="0B24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863383"/>
    <w:multiLevelType w:val="hybridMultilevel"/>
    <w:tmpl w:val="61B49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9"/>
  </w:num>
  <w:num w:numId="4">
    <w:abstractNumId w:val="8"/>
  </w:num>
  <w:num w:numId="5">
    <w:abstractNumId w:val="6"/>
  </w:num>
  <w:num w:numId="6">
    <w:abstractNumId w:val="5"/>
  </w:num>
  <w:num w:numId="7">
    <w:abstractNumId w:val="14"/>
  </w:num>
  <w:num w:numId="8">
    <w:abstractNumId w:val="10"/>
  </w:num>
  <w:num w:numId="9">
    <w:abstractNumId w:val="4"/>
  </w:num>
  <w:num w:numId="10">
    <w:abstractNumId w:val="16"/>
  </w:num>
  <w:num w:numId="11">
    <w:abstractNumId w:val="2"/>
  </w:num>
  <w:num w:numId="12">
    <w:abstractNumId w:val="17"/>
  </w:num>
  <w:num w:numId="13">
    <w:abstractNumId w:val="18"/>
  </w:num>
  <w:num w:numId="14">
    <w:abstractNumId w:val="22"/>
  </w:num>
  <w:num w:numId="15">
    <w:abstractNumId w:val="9"/>
  </w:num>
  <w:num w:numId="16">
    <w:abstractNumId w:val="3"/>
  </w:num>
  <w:num w:numId="17">
    <w:abstractNumId w:val="11"/>
  </w:num>
  <w:num w:numId="18">
    <w:abstractNumId w:val="21"/>
  </w:num>
  <w:num w:numId="19">
    <w:abstractNumId w:val="1"/>
  </w:num>
  <w:num w:numId="20">
    <w:abstractNumId w:val="7"/>
  </w:num>
  <w:num w:numId="21">
    <w:abstractNumId w:val="15"/>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048EA"/>
    <w:rsid w:val="00077D7E"/>
    <w:rsid w:val="000936B1"/>
    <w:rsid w:val="000D0519"/>
    <w:rsid w:val="001033FB"/>
    <w:rsid w:val="00111B84"/>
    <w:rsid w:val="001160F9"/>
    <w:rsid w:val="00146276"/>
    <w:rsid w:val="00162DE7"/>
    <w:rsid w:val="001753AB"/>
    <w:rsid w:val="00183C38"/>
    <w:rsid w:val="001B6867"/>
    <w:rsid w:val="001F7397"/>
    <w:rsid w:val="00204D20"/>
    <w:rsid w:val="0020596F"/>
    <w:rsid w:val="00217896"/>
    <w:rsid w:val="002206B3"/>
    <w:rsid w:val="00225A36"/>
    <w:rsid w:val="00236700"/>
    <w:rsid w:val="002560D8"/>
    <w:rsid w:val="0025659C"/>
    <w:rsid w:val="00257A02"/>
    <w:rsid w:val="00264512"/>
    <w:rsid w:val="002A7A0F"/>
    <w:rsid w:val="002B00CC"/>
    <w:rsid w:val="002C3CEB"/>
    <w:rsid w:val="002E7BE5"/>
    <w:rsid w:val="002F01A3"/>
    <w:rsid w:val="002F336E"/>
    <w:rsid w:val="00304855"/>
    <w:rsid w:val="00322D98"/>
    <w:rsid w:val="00325D35"/>
    <w:rsid w:val="0033297B"/>
    <w:rsid w:val="003344F1"/>
    <w:rsid w:val="00366E4B"/>
    <w:rsid w:val="003B170D"/>
    <w:rsid w:val="003B3C9A"/>
    <w:rsid w:val="003B610E"/>
    <w:rsid w:val="003C0B5D"/>
    <w:rsid w:val="003C3F48"/>
    <w:rsid w:val="003C7BA4"/>
    <w:rsid w:val="003E22BB"/>
    <w:rsid w:val="003E509E"/>
    <w:rsid w:val="004256C5"/>
    <w:rsid w:val="00452DBE"/>
    <w:rsid w:val="00460391"/>
    <w:rsid w:val="00474D07"/>
    <w:rsid w:val="00490DE4"/>
    <w:rsid w:val="004A4076"/>
    <w:rsid w:val="004B4734"/>
    <w:rsid w:val="004D4B91"/>
    <w:rsid w:val="004E27A8"/>
    <w:rsid w:val="004F1BBD"/>
    <w:rsid w:val="004F3D8D"/>
    <w:rsid w:val="004F61E2"/>
    <w:rsid w:val="00501026"/>
    <w:rsid w:val="00505836"/>
    <w:rsid w:val="00506E5C"/>
    <w:rsid w:val="00515525"/>
    <w:rsid w:val="005261AF"/>
    <w:rsid w:val="00530421"/>
    <w:rsid w:val="00545A1C"/>
    <w:rsid w:val="0054670F"/>
    <w:rsid w:val="00546D2A"/>
    <w:rsid w:val="005513C8"/>
    <w:rsid w:val="00564241"/>
    <w:rsid w:val="00567227"/>
    <w:rsid w:val="005926A8"/>
    <w:rsid w:val="005C6F3F"/>
    <w:rsid w:val="005D0E4E"/>
    <w:rsid w:val="005E4202"/>
    <w:rsid w:val="005F2537"/>
    <w:rsid w:val="005F53C1"/>
    <w:rsid w:val="00600E8F"/>
    <w:rsid w:val="00604DB9"/>
    <w:rsid w:val="00611CD6"/>
    <w:rsid w:val="0061200E"/>
    <w:rsid w:val="00617BA8"/>
    <w:rsid w:val="00633F28"/>
    <w:rsid w:val="006506E8"/>
    <w:rsid w:val="00683DAA"/>
    <w:rsid w:val="00690252"/>
    <w:rsid w:val="006B521F"/>
    <w:rsid w:val="006D3FA5"/>
    <w:rsid w:val="006E075C"/>
    <w:rsid w:val="006E336B"/>
    <w:rsid w:val="006E6506"/>
    <w:rsid w:val="00701143"/>
    <w:rsid w:val="007039F0"/>
    <w:rsid w:val="00712E05"/>
    <w:rsid w:val="00717EC9"/>
    <w:rsid w:val="00751947"/>
    <w:rsid w:val="007B0B92"/>
    <w:rsid w:val="007C5167"/>
    <w:rsid w:val="007D33E1"/>
    <w:rsid w:val="007D4236"/>
    <w:rsid w:val="0081617B"/>
    <w:rsid w:val="00834565"/>
    <w:rsid w:val="00840486"/>
    <w:rsid w:val="008558A8"/>
    <w:rsid w:val="00866908"/>
    <w:rsid w:val="00871EC6"/>
    <w:rsid w:val="00894B58"/>
    <w:rsid w:val="00897B62"/>
    <w:rsid w:val="008A5498"/>
    <w:rsid w:val="008B0D33"/>
    <w:rsid w:val="008B24FE"/>
    <w:rsid w:val="008B7927"/>
    <w:rsid w:val="008E2F1A"/>
    <w:rsid w:val="008F7C57"/>
    <w:rsid w:val="00922996"/>
    <w:rsid w:val="0093190C"/>
    <w:rsid w:val="00946309"/>
    <w:rsid w:val="00976B38"/>
    <w:rsid w:val="009847E9"/>
    <w:rsid w:val="009A0129"/>
    <w:rsid w:val="009A549A"/>
    <w:rsid w:val="009B467A"/>
    <w:rsid w:val="009B6B14"/>
    <w:rsid w:val="009E599C"/>
    <w:rsid w:val="00A0183C"/>
    <w:rsid w:val="00A226B2"/>
    <w:rsid w:val="00A30604"/>
    <w:rsid w:val="00A33EEE"/>
    <w:rsid w:val="00A7484C"/>
    <w:rsid w:val="00A80762"/>
    <w:rsid w:val="00A81585"/>
    <w:rsid w:val="00A828E9"/>
    <w:rsid w:val="00A8326D"/>
    <w:rsid w:val="00A907C9"/>
    <w:rsid w:val="00A932B9"/>
    <w:rsid w:val="00AA18A2"/>
    <w:rsid w:val="00AC4A70"/>
    <w:rsid w:val="00AF03C4"/>
    <w:rsid w:val="00AF0F13"/>
    <w:rsid w:val="00B1476C"/>
    <w:rsid w:val="00B150BD"/>
    <w:rsid w:val="00B175FD"/>
    <w:rsid w:val="00B17F58"/>
    <w:rsid w:val="00B23FB3"/>
    <w:rsid w:val="00B24CA5"/>
    <w:rsid w:val="00B45716"/>
    <w:rsid w:val="00B60081"/>
    <w:rsid w:val="00BD5E53"/>
    <w:rsid w:val="00BE0D91"/>
    <w:rsid w:val="00BF0BD2"/>
    <w:rsid w:val="00C23A43"/>
    <w:rsid w:val="00C314BD"/>
    <w:rsid w:val="00C3696B"/>
    <w:rsid w:val="00C54AF8"/>
    <w:rsid w:val="00C70AC5"/>
    <w:rsid w:val="00C85B2E"/>
    <w:rsid w:val="00CA6CA5"/>
    <w:rsid w:val="00CC23E9"/>
    <w:rsid w:val="00CC4495"/>
    <w:rsid w:val="00CE5BE1"/>
    <w:rsid w:val="00CF5775"/>
    <w:rsid w:val="00D02722"/>
    <w:rsid w:val="00D44333"/>
    <w:rsid w:val="00D85A63"/>
    <w:rsid w:val="00D9473C"/>
    <w:rsid w:val="00DA1C49"/>
    <w:rsid w:val="00DA2320"/>
    <w:rsid w:val="00DA6B4D"/>
    <w:rsid w:val="00DC1933"/>
    <w:rsid w:val="00DC3685"/>
    <w:rsid w:val="00E04F18"/>
    <w:rsid w:val="00E1294D"/>
    <w:rsid w:val="00E22882"/>
    <w:rsid w:val="00E22A05"/>
    <w:rsid w:val="00E31FF8"/>
    <w:rsid w:val="00E37F70"/>
    <w:rsid w:val="00E403E3"/>
    <w:rsid w:val="00E72217"/>
    <w:rsid w:val="00E83BDD"/>
    <w:rsid w:val="00E97E19"/>
    <w:rsid w:val="00EA1751"/>
    <w:rsid w:val="00EB1422"/>
    <w:rsid w:val="00EC1BE0"/>
    <w:rsid w:val="00EC1C3C"/>
    <w:rsid w:val="00ED7021"/>
    <w:rsid w:val="00EE480A"/>
    <w:rsid w:val="00F15554"/>
    <w:rsid w:val="00F24063"/>
    <w:rsid w:val="00F37072"/>
    <w:rsid w:val="00F53C20"/>
    <w:rsid w:val="00F66BD0"/>
    <w:rsid w:val="00F737E1"/>
    <w:rsid w:val="00F77EBC"/>
    <w:rsid w:val="00FA0E12"/>
    <w:rsid w:val="00FA0FE7"/>
    <w:rsid w:val="00FA1AA0"/>
    <w:rsid w:val="00FA77ED"/>
    <w:rsid w:val="00FA7CF2"/>
    <w:rsid w:val="00FB279C"/>
    <w:rsid w:val="00FC32ED"/>
    <w:rsid w:val="00FC461B"/>
    <w:rsid w:val="00FC7B99"/>
    <w:rsid w:val="00FD1525"/>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semiHidden/>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semiHidden/>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243615378">
      <w:bodyDiv w:val="1"/>
      <w:marLeft w:val="0"/>
      <w:marRight w:val="0"/>
      <w:marTop w:val="0"/>
      <w:marBottom w:val="0"/>
      <w:divBdr>
        <w:top w:val="none" w:sz="0" w:space="0" w:color="auto"/>
        <w:left w:val="none" w:sz="0" w:space="0" w:color="auto"/>
        <w:bottom w:val="none" w:sz="0" w:space="0" w:color="auto"/>
        <w:right w:val="none" w:sz="0" w:space="0" w:color="auto"/>
      </w:divBdr>
    </w:div>
    <w:div w:id="755906974">
      <w:bodyDiv w:val="1"/>
      <w:marLeft w:val="0"/>
      <w:marRight w:val="0"/>
      <w:marTop w:val="0"/>
      <w:marBottom w:val="0"/>
      <w:divBdr>
        <w:top w:val="none" w:sz="0" w:space="0" w:color="auto"/>
        <w:left w:val="none" w:sz="0" w:space="0" w:color="auto"/>
        <w:bottom w:val="none" w:sz="0" w:space="0" w:color="auto"/>
        <w:right w:val="none" w:sz="0" w:space="0" w:color="auto"/>
      </w:divBdr>
    </w:div>
    <w:div w:id="16684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s://www.nature.scot/about-naturescot/board-directors-and-committees/our-board/board-members"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29043253d31c40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A3726958</value>
    </field>
    <field name="Objective-Title">
      <value order="0">K.12 Board of NatureScot Meeting - 18 May 2022 - Protected Areas Committee Annual Report 2021-22</value>
    </field>
    <field name="Objective-Description">
      <value order="0"/>
    </field>
    <field name="Objective-CreationStamp">
      <value order="0">2022-05-11T10:49:44Z</value>
    </field>
    <field name="Objective-IsApproved">
      <value order="0">false</value>
    </field>
    <field name="Objective-IsPublished">
      <value order="0">true</value>
    </field>
    <field name="Objective-DatePublished">
      <value order="0">2022-05-11T10:49:44Z</value>
    </field>
    <field name="Objective-ModificationStamp">
      <value order="0">2022-05-11T10:50:16Z</value>
    </field>
    <field name="Objective-Owner">
      <value order="0">Mary-Anne Thomson</value>
    </field>
    <field name="Objective-Path">
      <value order="0">Objective Global Folder:NatureScot Fileplan:MAN - Management:EO - Executive Office:BD - Board:SNH Board - Meetings:Board of NatureScot Meetings - 2022:198 - Board of NatureScot - 18 May 2022</value>
    </field>
    <field name="Objective-Parent">
      <value order="0">198 - Board of NatureScot - 18 May 2022</value>
    </field>
    <field name="Objective-State">
      <value order="0">Published</value>
    </field>
    <field name="Objective-VersionId">
      <value order="0">vA6559037</value>
    </field>
    <field name="Objective-Version">
      <value order="0">1.0</value>
    </field>
    <field name="Objective-VersionNumber">
      <value order="0">1</value>
    </field>
    <field name="Objective-VersionComment">
      <value order="0">First version</value>
    </field>
    <field name="Objective-FileNumber">
      <value order="0">qA175116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5DE728D9-DA59-4D90-AF00-52502404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MaryAnne Thomson</cp:lastModifiedBy>
  <cp:revision>2</cp:revision>
  <dcterms:created xsi:type="dcterms:W3CDTF">2022-05-11T10:49:00Z</dcterms:created>
  <dcterms:modified xsi:type="dcterms:W3CDTF">2022-05-11T10:49:00Z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A3726958</vt:lpwstr>
  </property>
  <property fmtid="{D5CDD505-2E9C-101B-9397-08002B2CF9AE}" pid="4" name="Objective-Title">
    <vt:lpwstr>K.12 Board of NatureScot Meeting - 18 May 2022 - Protected Areas Committee Annual Report 2021-22</vt:lpwstr>
  </property>
  <property fmtid="{D5CDD505-2E9C-101B-9397-08002B2CF9AE}" pid="5" name="Objective-Comment">
    <vt:lpwstr/>
  </property>
  <property fmtid="{D5CDD505-2E9C-101B-9397-08002B2CF9AE}" pid="6" name="Objective-CreationStamp">
    <vt:filetime>2022-05-11T10:49:44Z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2022-05-11T10:49:44Z</vt:filetime>
  </property>
  <property fmtid="{D5CDD505-2E9C-101B-9397-08002B2CF9AE}" pid="10" name="Objective-ModificationStamp">
    <vt:filetime>2022-05-11T10:50:16Z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- 2022:198 - Board of NatureScot - 18 May 2022</vt:lpwstr>
  </property>
  <property fmtid="{D5CDD505-2E9C-101B-9397-08002B2CF9AE}" pid="13" name="Objective-Parent">
    <vt:lpwstr>198 - Board of NatureScot - 18 May 2022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qA175116</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vA6559037</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