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C4CB" w14:textId="77777777" w:rsidR="00A932B9" w:rsidRDefault="00AF0F13" w:rsidP="005D0E4E">
      <w:pPr>
        <w:rPr>
          <w:rFonts w:cstheme="minorHAnsi"/>
          <w:color w:val="FF0000"/>
          <w:sz w:val="22"/>
        </w:rPr>
      </w:pPr>
      <w:r>
        <w:rPr>
          <w:noProof/>
          <w:lang w:eastAsia="en-GB"/>
        </w:rPr>
        <w:drawing>
          <wp:inline distT="0" distB="0" distL="0" distR="0" wp14:anchorId="2A69EBDF" wp14:editId="3C8A9FE1">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799912F" w14:textId="77777777"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BF6703">
        <w:rPr>
          <w:rFonts w:ascii="Calibri" w:hAnsi="Calibri" w:cs="Calibri"/>
          <w:sz w:val="24"/>
          <w:szCs w:val="24"/>
        </w:rPr>
        <w:t>Board Paper - Future Risk Appetite</w:t>
      </w:r>
      <w:r w:rsidRPr="003E22BB">
        <w:rPr>
          <w:rFonts w:ascii="Calibri" w:hAnsi="Calibri" w:cs="Calibri"/>
          <w:sz w:val="24"/>
          <w:szCs w:val="24"/>
        </w:rPr>
        <w:tab/>
      </w:r>
    </w:p>
    <w:p w14:paraId="0963B894" w14:textId="4E980919" w:rsidR="003E22BB" w:rsidRPr="003E22BB" w:rsidRDefault="003E22BB" w:rsidP="003E22BB">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BF6703">
        <w:rPr>
          <w:rFonts w:cstheme="minorHAnsi"/>
          <w:b/>
          <w:color w:val="000000" w:themeColor="text1"/>
        </w:rPr>
        <w:t>18 May 2022</w:t>
      </w:r>
    </w:p>
    <w:p w14:paraId="51ACCCF2"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58C5AF23" w14:textId="77777777" w:rsidTr="00037EF1">
        <w:trPr>
          <w:tblHeader/>
        </w:trPr>
        <w:tc>
          <w:tcPr>
            <w:tcW w:w="2547" w:type="dxa"/>
          </w:tcPr>
          <w:p w14:paraId="6D3F4F2E" w14:textId="77777777"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30CD8DCD" w14:textId="77777777" w:rsidR="005D0E4E" w:rsidRPr="00BF6703" w:rsidRDefault="00BF6703" w:rsidP="005D0E4E">
            <w:pPr>
              <w:contextualSpacing/>
              <w:rPr>
                <w:rFonts w:ascii="Calibri" w:eastAsia="Arial" w:hAnsi="Calibri" w:cs="Times New Roman"/>
                <w:szCs w:val="24"/>
              </w:rPr>
            </w:pPr>
            <w:r w:rsidRPr="00BF6703">
              <w:rPr>
                <w:rFonts w:ascii="Calibri" w:eastAsia="Arial" w:hAnsi="Calibri" w:cs="Times New Roman"/>
                <w:szCs w:val="24"/>
              </w:rPr>
              <w:t>Decision</w:t>
            </w:r>
          </w:p>
        </w:tc>
      </w:tr>
      <w:tr w:rsidR="00BF6703" w:rsidRPr="005D0E4E" w14:paraId="04602846" w14:textId="77777777" w:rsidTr="005D0E4E">
        <w:tc>
          <w:tcPr>
            <w:tcW w:w="2547" w:type="dxa"/>
          </w:tcPr>
          <w:p w14:paraId="32DCBE5D" w14:textId="77777777" w:rsidR="00BF6703" w:rsidRPr="005D0E4E" w:rsidRDefault="00BF6703" w:rsidP="00BF6703">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597FB7CC" w14:textId="77777777" w:rsidR="00BF6703" w:rsidRPr="005B6738" w:rsidRDefault="00BF6703" w:rsidP="00BF6703">
            <w:pPr>
              <w:spacing w:line="276" w:lineRule="auto"/>
              <w:rPr>
                <w:rFonts w:cstheme="minorHAnsi"/>
                <w:szCs w:val="24"/>
              </w:rPr>
            </w:pPr>
            <w:r>
              <w:rPr>
                <w:rFonts w:cstheme="minorHAnsi"/>
                <w:szCs w:val="24"/>
              </w:rPr>
              <w:t>To support us in delivering the 2022-26 Corporate plan we must confirm our</w:t>
            </w:r>
            <w:r w:rsidRPr="005B6738">
              <w:rPr>
                <w:rFonts w:cstheme="minorHAnsi"/>
                <w:szCs w:val="24"/>
              </w:rPr>
              <w:t xml:space="preserve"> risk appetite statement </w:t>
            </w:r>
            <w:r>
              <w:rPr>
                <w:rFonts w:cstheme="minorHAnsi"/>
                <w:szCs w:val="24"/>
              </w:rPr>
              <w:t>reflecting</w:t>
            </w:r>
            <w:r w:rsidRPr="005B6738">
              <w:rPr>
                <w:rFonts w:cstheme="minorHAnsi"/>
                <w:szCs w:val="24"/>
              </w:rPr>
              <w:t xml:space="preserve"> the organisation’s approach to risk in strategic decision making.</w:t>
            </w:r>
          </w:p>
          <w:p w14:paraId="13BAE7ED" w14:textId="77777777" w:rsidR="00BF6703" w:rsidRPr="005D0E4E" w:rsidRDefault="00BF6703" w:rsidP="00BF6703">
            <w:pPr>
              <w:spacing w:line="276" w:lineRule="auto"/>
              <w:contextualSpacing/>
              <w:rPr>
                <w:rFonts w:ascii="Calibri" w:eastAsia="Arial" w:hAnsi="Calibri" w:cs="Times New Roman"/>
                <w:i/>
                <w:szCs w:val="24"/>
              </w:rPr>
            </w:pPr>
            <w:r>
              <w:rPr>
                <w:rFonts w:cstheme="minorHAnsi"/>
                <w:szCs w:val="24"/>
              </w:rPr>
              <w:t>Our</w:t>
            </w:r>
            <w:r w:rsidRPr="005B6738">
              <w:rPr>
                <w:rFonts w:cstheme="minorHAnsi"/>
                <w:szCs w:val="24"/>
              </w:rPr>
              <w:t xml:space="preserve"> statement on the organisation’s appetite to risk will be used to inform and support strategic-related decisions during the life of the corporate plan.</w:t>
            </w:r>
          </w:p>
        </w:tc>
      </w:tr>
      <w:tr w:rsidR="00BF6703" w:rsidRPr="005D0E4E" w14:paraId="64E18FF4" w14:textId="77777777" w:rsidTr="005D0E4E">
        <w:tc>
          <w:tcPr>
            <w:tcW w:w="2547" w:type="dxa"/>
          </w:tcPr>
          <w:p w14:paraId="77F5A93E" w14:textId="77777777" w:rsidR="00BF6703" w:rsidRPr="005D0E4E" w:rsidRDefault="00BF6703" w:rsidP="00BF6703">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266AA8FC" w14:textId="77777777" w:rsidR="00BF6703" w:rsidRPr="005D0E4E" w:rsidRDefault="00BF6703" w:rsidP="00BF6703">
            <w:pPr>
              <w:spacing w:line="276" w:lineRule="auto"/>
              <w:contextualSpacing/>
              <w:rPr>
                <w:rFonts w:ascii="Calibri" w:eastAsia="Arial" w:hAnsi="Calibri" w:cs="Times New Roman"/>
                <w:szCs w:val="24"/>
              </w:rPr>
            </w:pPr>
            <w:r w:rsidRPr="005B6738">
              <w:rPr>
                <w:rFonts w:cstheme="minorHAnsi"/>
                <w:szCs w:val="24"/>
              </w:rPr>
              <w:t>Confirming a new risk appetite will facilitate communications with colleagues across the organisation, increasing their empowerment in decision making with the confirmed risk appetite in mind.</w:t>
            </w:r>
          </w:p>
        </w:tc>
      </w:tr>
      <w:tr w:rsidR="00BF6703" w:rsidRPr="005D0E4E" w14:paraId="5D22348B" w14:textId="77777777" w:rsidTr="005D0E4E">
        <w:tc>
          <w:tcPr>
            <w:tcW w:w="2547" w:type="dxa"/>
          </w:tcPr>
          <w:p w14:paraId="3C5C7DA0" w14:textId="77777777" w:rsidR="00BF6703" w:rsidRPr="005D0E4E" w:rsidRDefault="00BF6703" w:rsidP="00BF6703">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434C31E0" w14:textId="77777777" w:rsidR="00BF6703" w:rsidRPr="005D0E4E" w:rsidRDefault="00BF6703" w:rsidP="00BF6703">
            <w:pPr>
              <w:spacing w:line="276" w:lineRule="auto"/>
              <w:contextualSpacing/>
              <w:rPr>
                <w:rFonts w:ascii="Calibri" w:eastAsia="Arial" w:hAnsi="Calibri" w:cs="Times New Roman"/>
                <w:i/>
                <w:szCs w:val="24"/>
              </w:rPr>
            </w:pPr>
            <w:r>
              <w:rPr>
                <w:rFonts w:cstheme="minorHAnsi"/>
                <w:szCs w:val="24"/>
              </w:rPr>
              <w:t xml:space="preserve">Board </w:t>
            </w:r>
            <w:r w:rsidRPr="005B6738">
              <w:rPr>
                <w:rFonts w:cstheme="minorHAnsi"/>
                <w:szCs w:val="24"/>
              </w:rPr>
              <w:t xml:space="preserve">are asked to </w:t>
            </w:r>
            <w:r>
              <w:rPr>
                <w:rFonts w:cstheme="minorHAnsi"/>
                <w:szCs w:val="24"/>
              </w:rPr>
              <w:t>confirm NatureScot’s new risk appetite as aligned to ‘A Nature Rich Future for All’.</w:t>
            </w:r>
          </w:p>
        </w:tc>
      </w:tr>
      <w:tr w:rsidR="00BF6703" w:rsidRPr="005D0E4E" w14:paraId="199A898F" w14:textId="77777777" w:rsidTr="005D0E4E">
        <w:tc>
          <w:tcPr>
            <w:tcW w:w="2547" w:type="dxa"/>
          </w:tcPr>
          <w:p w14:paraId="04468DFE" w14:textId="77777777" w:rsidR="00BF6703" w:rsidRPr="005D0E4E" w:rsidRDefault="00BF6703" w:rsidP="00BF6703">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21C2066B" w14:textId="77777777" w:rsidR="00BF6703" w:rsidRDefault="00BF6703" w:rsidP="00BF6703">
            <w:pPr>
              <w:spacing w:line="276" w:lineRule="auto"/>
              <w:rPr>
                <w:rFonts w:cstheme="minorHAnsi"/>
                <w:szCs w:val="24"/>
              </w:rPr>
            </w:pPr>
            <w:r>
              <w:rPr>
                <w:rFonts w:cstheme="minorHAnsi"/>
                <w:szCs w:val="24"/>
              </w:rPr>
              <w:t>Board</w:t>
            </w:r>
            <w:r w:rsidRPr="005B6738">
              <w:rPr>
                <w:rFonts w:cstheme="minorHAnsi"/>
                <w:szCs w:val="24"/>
              </w:rPr>
              <w:t xml:space="preserve"> are asked to:</w:t>
            </w:r>
          </w:p>
          <w:p w14:paraId="2B7CF2BE" w14:textId="77777777" w:rsidR="00EB179F" w:rsidRPr="00EB179F" w:rsidRDefault="00EB179F" w:rsidP="00BF6703">
            <w:pPr>
              <w:pStyle w:val="ListParagraph"/>
              <w:numPr>
                <w:ilvl w:val="0"/>
                <w:numId w:val="20"/>
              </w:numPr>
              <w:jc w:val="both"/>
              <w:rPr>
                <w:rFonts w:cstheme="minorHAnsi"/>
                <w:b/>
                <w:szCs w:val="24"/>
              </w:rPr>
            </w:pPr>
            <w:r>
              <w:rPr>
                <w:rFonts w:cstheme="minorHAnsi"/>
                <w:b/>
                <w:szCs w:val="24"/>
              </w:rPr>
              <w:t xml:space="preserve">Consider a new manageable range towards </w:t>
            </w:r>
            <w:r w:rsidRPr="00042DB0">
              <w:rPr>
                <w:rFonts w:cstheme="minorHAnsi"/>
                <w:b/>
                <w:szCs w:val="24"/>
              </w:rPr>
              <w:t>‘hungry’ for t</w:t>
            </w:r>
            <w:r>
              <w:rPr>
                <w:rFonts w:cstheme="minorHAnsi"/>
                <w:b/>
                <w:szCs w:val="24"/>
              </w:rPr>
              <w:t xml:space="preserve">he Nature category </w:t>
            </w:r>
          </w:p>
          <w:p w14:paraId="73791B84" w14:textId="77777777" w:rsidR="00BF6703" w:rsidRDefault="00BF6703" w:rsidP="00BF6703">
            <w:pPr>
              <w:pStyle w:val="ListParagraph"/>
              <w:numPr>
                <w:ilvl w:val="0"/>
                <w:numId w:val="17"/>
              </w:numPr>
              <w:spacing w:line="276" w:lineRule="auto"/>
              <w:rPr>
                <w:b/>
                <w:szCs w:val="24"/>
              </w:rPr>
            </w:pPr>
            <w:r>
              <w:rPr>
                <w:b/>
                <w:szCs w:val="24"/>
              </w:rPr>
              <w:t xml:space="preserve">Confirm the new risk appetite </w:t>
            </w:r>
          </w:p>
          <w:p w14:paraId="0B716E20" w14:textId="7A9835F8" w:rsidR="00BF6703" w:rsidRPr="00037EF1" w:rsidRDefault="00BF6703" w:rsidP="00037EF1">
            <w:pPr>
              <w:pStyle w:val="ListParagraph"/>
              <w:numPr>
                <w:ilvl w:val="0"/>
                <w:numId w:val="17"/>
              </w:numPr>
              <w:spacing w:line="276" w:lineRule="auto"/>
              <w:rPr>
                <w:b/>
                <w:szCs w:val="24"/>
              </w:rPr>
            </w:pPr>
            <w:r>
              <w:rPr>
                <w:b/>
                <w:szCs w:val="24"/>
              </w:rPr>
              <w:t xml:space="preserve">Confirm the category risk statements </w:t>
            </w:r>
          </w:p>
        </w:tc>
      </w:tr>
      <w:tr w:rsidR="00BF6703" w:rsidRPr="005D0E4E" w14:paraId="427D5C77" w14:textId="77777777" w:rsidTr="005D0E4E">
        <w:tc>
          <w:tcPr>
            <w:tcW w:w="2547" w:type="dxa"/>
          </w:tcPr>
          <w:p w14:paraId="589BF4CF" w14:textId="77777777" w:rsidR="00BF6703" w:rsidRPr="005D0E4E" w:rsidRDefault="00BF6703" w:rsidP="00BF6703">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720B9C70" w14:textId="77777777" w:rsidR="00BF6703" w:rsidRPr="00BF6703" w:rsidRDefault="00BF6703" w:rsidP="00BF6703">
            <w:pPr>
              <w:spacing w:line="276" w:lineRule="auto"/>
              <w:rPr>
                <w:rFonts w:ascii="Calibri" w:eastAsia="Arial" w:hAnsi="Calibri" w:cs="Times New Roman"/>
                <w:szCs w:val="24"/>
              </w:rPr>
            </w:pPr>
            <w:r w:rsidRPr="00D91A0A">
              <w:rPr>
                <w:rFonts w:ascii="Calibri" w:eastAsia="Arial" w:hAnsi="Calibri" w:cs="Times New Roman"/>
                <w:szCs w:val="24"/>
              </w:rPr>
              <w:t>Yvonne McIntosh – Planning and Performance Manager</w:t>
            </w:r>
          </w:p>
        </w:tc>
      </w:tr>
      <w:tr w:rsidR="00BF6703" w:rsidRPr="005D0E4E" w14:paraId="68F6EBD7" w14:textId="77777777" w:rsidTr="005D0E4E">
        <w:tc>
          <w:tcPr>
            <w:tcW w:w="2547" w:type="dxa"/>
          </w:tcPr>
          <w:p w14:paraId="5E510ABC" w14:textId="77777777" w:rsidR="00BF6703" w:rsidRPr="005D0E4E" w:rsidRDefault="00BF6703" w:rsidP="00BF6703">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6615AF67" w14:textId="77777777" w:rsidR="00BF6703" w:rsidRPr="005D0E4E" w:rsidRDefault="00BF6703" w:rsidP="00BF6703">
            <w:pPr>
              <w:spacing w:line="276" w:lineRule="auto"/>
              <w:rPr>
                <w:rFonts w:ascii="Calibri" w:eastAsia="Arial" w:hAnsi="Calibri" w:cs="Times New Roman"/>
                <w:szCs w:val="24"/>
              </w:rPr>
            </w:pPr>
            <w:r w:rsidRPr="005B6738">
              <w:rPr>
                <w:rFonts w:cstheme="minorHAnsi"/>
                <w:szCs w:val="24"/>
              </w:rPr>
              <w:t>Stuart MacQuarrie – Deputy Director of Business Services and Transformation</w:t>
            </w:r>
          </w:p>
        </w:tc>
      </w:tr>
      <w:tr w:rsidR="00BF6703" w:rsidRPr="005D0E4E" w14:paraId="606BAB54" w14:textId="77777777" w:rsidTr="005D0E4E">
        <w:tc>
          <w:tcPr>
            <w:tcW w:w="2547" w:type="dxa"/>
          </w:tcPr>
          <w:p w14:paraId="63C286BF" w14:textId="77777777" w:rsidR="00BF6703" w:rsidRPr="005D0E4E" w:rsidRDefault="00BF6703" w:rsidP="00EB179F">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469" w:type="dxa"/>
          </w:tcPr>
          <w:p w14:paraId="38B83FF4" w14:textId="77777777" w:rsidR="00BF6703" w:rsidRDefault="00BF6703" w:rsidP="00BF6703">
            <w:pPr>
              <w:spacing w:line="276" w:lineRule="auto"/>
              <w:rPr>
                <w:rFonts w:cstheme="minorHAnsi"/>
                <w:szCs w:val="24"/>
              </w:rPr>
            </w:pPr>
            <w:r>
              <w:rPr>
                <w:rFonts w:cstheme="minorHAnsi"/>
                <w:szCs w:val="24"/>
              </w:rPr>
              <w:t>Annex A</w:t>
            </w:r>
            <w:r w:rsidRPr="005B6738">
              <w:rPr>
                <w:rFonts w:cstheme="minorHAnsi"/>
                <w:szCs w:val="24"/>
              </w:rPr>
              <w:t xml:space="preserve"> - </w:t>
            </w:r>
            <w:r w:rsidRPr="007E362C">
              <w:rPr>
                <w:rFonts w:cstheme="minorHAnsi"/>
                <w:szCs w:val="24"/>
              </w:rPr>
              <w:t>NatureScot Risk Appetite Table and description of each level of Risk Appetite</w:t>
            </w:r>
          </w:p>
          <w:p w14:paraId="0F7A4311" w14:textId="77777777" w:rsidR="00BF6703" w:rsidRPr="007E362C" w:rsidRDefault="00BF6703" w:rsidP="00BF6703">
            <w:pPr>
              <w:spacing w:line="276" w:lineRule="auto"/>
              <w:rPr>
                <w:rFonts w:cstheme="minorHAnsi"/>
                <w:szCs w:val="24"/>
              </w:rPr>
            </w:pPr>
            <w:r>
              <w:rPr>
                <w:rFonts w:cstheme="minorHAnsi"/>
                <w:szCs w:val="24"/>
              </w:rPr>
              <w:t>Annex B</w:t>
            </w:r>
            <w:r w:rsidRPr="005B6738">
              <w:rPr>
                <w:rFonts w:cstheme="minorHAnsi"/>
                <w:szCs w:val="24"/>
              </w:rPr>
              <w:t xml:space="preserve"> – Risk Categories</w:t>
            </w:r>
            <w:r>
              <w:rPr>
                <w:rFonts w:cstheme="minorHAnsi"/>
                <w:szCs w:val="24"/>
              </w:rPr>
              <w:t xml:space="preserve"> </w:t>
            </w:r>
            <w:r w:rsidRPr="005B6738">
              <w:rPr>
                <w:rFonts w:cstheme="minorHAnsi"/>
                <w:szCs w:val="24"/>
              </w:rPr>
              <w:t>and Risk Statements</w:t>
            </w:r>
          </w:p>
        </w:tc>
      </w:tr>
    </w:tbl>
    <w:p w14:paraId="1D98B2A6" w14:textId="77777777" w:rsidR="003B170D" w:rsidRDefault="003B170D" w:rsidP="003B170D"/>
    <w:p w14:paraId="060A4AD2" w14:textId="77777777" w:rsidR="00BF6703" w:rsidRDefault="00BF6703">
      <w:pPr>
        <w:rPr>
          <w:rFonts w:eastAsiaTheme="majorEastAsia" w:cstheme="minorHAnsi"/>
          <w:b/>
          <w:szCs w:val="26"/>
        </w:rPr>
      </w:pPr>
      <w:r>
        <w:br w:type="page"/>
      </w:r>
    </w:p>
    <w:p w14:paraId="53E51CD3" w14:textId="77777777" w:rsidR="00611CD6" w:rsidRPr="003E22BB" w:rsidRDefault="00611CD6" w:rsidP="00AA6D98">
      <w:pPr>
        <w:pStyle w:val="Heading2"/>
      </w:pPr>
      <w:r w:rsidRPr="003E22BB">
        <w:lastRenderedPageBreak/>
        <w:t xml:space="preserve">Purpose </w:t>
      </w:r>
    </w:p>
    <w:p w14:paraId="178FAFE2" w14:textId="77777777" w:rsidR="00BF6703" w:rsidRPr="00BF6703" w:rsidRDefault="00BF6703" w:rsidP="00AA6D98">
      <w:pPr>
        <w:numPr>
          <w:ilvl w:val="0"/>
          <w:numId w:val="18"/>
        </w:numPr>
        <w:spacing w:after="0" w:line="240" w:lineRule="auto"/>
        <w:rPr>
          <w:rFonts w:cstheme="minorHAnsi"/>
          <w:szCs w:val="24"/>
        </w:rPr>
      </w:pPr>
      <w:r w:rsidRPr="00BF6703">
        <w:rPr>
          <w:rFonts w:cstheme="minorHAnsi"/>
          <w:szCs w:val="24"/>
        </w:rPr>
        <w:t>This paper seeks to build on the discussions at the last Board meeting to confirm our strategic risk appetite so that it can be used to aid and inform current and future strategic-related decisions aligned to delivery of our Corporate Plan.  It will be promoted across the organisation for wider understanding of the organisation’s appetite to risk and to improve the organisation’s risk culture.</w:t>
      </w:r>
    </w:p>
    <w:p w14:paraId="7E5B33C9" w14:textId="77777777" w:rsidR="005D0E4E" w:rsidRDefault="005D0E4E" w:rsidP="00AA6D98">
      <w:pPr>
        <w:spacing w:after="0" w:line="240" w:lineRule="auto"/>
        <w:rPr>
          <w:rFonts w:cstheme="minorHAnsi"/>
          <w:szCs w:val="24"/>
        </w:rPr>
      </w:pPr>
    </w:p>
    <w:p w14:paraId="0BDE9930" w14:textId="77777777" w:rsidR="00BF6703" w:rsidRPr="00BF6703" w:rsidRDefault="00BF6703" w:rsidP="00AA6D98">
      <w:pPr>
        <w:spacing w:after="0" w:line="240" w:lineRule="auto"/>
        <w:rPr>
          <w:rFonts w:cstheme="minorHAnsi"/>
          <w:b/>
          <w:szCs w:val="24"/>
        </w:rPr>
      </w:pPr>
      <w:r w:rsidRPr="00BF6703">
        <w:rPr>
          <w:rFonts w:cstheme="minorHAnsi"/>
          <w:b/>
          <w:szCs w:val="24"/>
        </w:rPr>
        <w:t xml:space="preserve">Background </w:t>
      </w:r>
    </w:p>
    <w:p w14:paraId="75A780F4" w14:textId="1F80134E" w:rsidR="00BF6703" w:rsidRPr="00BF6703" w:rsidRDefault="00BF6703" w:rsidP="00AA6D98">
      <w:pPr>
        <w:numPr>
          <w:ilvl w:val="0"/>
          <w:numId w:val="18"/>
        </w:numPr>
        <w:spacing w:after="0" w:line="240" w:lineRule="auto"/>
        <w:rPr>
          <w:rFonts w:cstheme="minorHAnsi"/>
          <w:szCs w:val="24"/>
        </w:rPr>
      </w:pPr>
      <w:r w:rsidRPr="00BF6703">
        <w:rPr>
          <w:rFonts w:cstheme="minorHAnsi"/>
          <w:szCs w:val="24"/>
        </w:rPr>
        <w:t>The current risk statements covering risk categories used within NatureScot have been updated to reflect the direction of the new Corporate Plan.  The risk appetite for each category was considered at the Board meeting in March where the Corporate Plan was signed off</w:t>
      </w:r>
      <w:r w:rsidR="00A07F18">
        <w:rPr>
          <w:rFonts w:cstheme="minorHAnsi"/>
          <w:szCs w:val="24"/>
        </w:rPr>
        <w:t>. Initial views on adjustments required to our strategic risk appetite were gathered</w:t>
      </w:r>
      <w:r w:rsidRPr="00BF6703">
        <w:rPr>
          <w:rFonts w:cstheme="minorHAnsi"/>
          <w:szCs w:val="24"/>
        </w:rPr>
        <w:t xml:space="preserve"> through a poll.  </w:t>
      </w:r>
      <w:r w:rsidR="00A07F18">
        <w:rPr>
          <w:rFonts w:cstheme="minorHAnsi"/>
          <w:szCs w:val="24"/>
        </w:rPr>
        <w:t>In response</w:t>
      </w:r>
      <w:r w:rsidRPr="00BF6703">
        <w:rPr>
          <w:rFonts w:cstheme="minorHAnsi"/>
          <w:szCs w:val="24"/>
        </w:rPr>
        <w:t xml:space="preserve"> the risk appetite levels and the risk statement narrative have been updated.</w:t>
      </w:r>
    </w:p>
    <w:p w14:paraId="360B0B86" w14:textId="77777777" w:rsidR="00BF6703" w:rsidRPr="00BF6703" w:rsidRDefault="00BF6703" w:rsidP="00AA6D98">
      <w:pPr>
        <w:spacing w:after="0" w:line="240" w:lineRule="auto"/>
        <w:rPr>
          <w:rFonts w:cstheme="minorHAnsi"/>
          <w:szCs w:val="24"/>
        </w:rPr>
      </w:pPr>
    </w:p>
    <w:p w14:paraId="60C5E952" w14:textId="77777777" w:rsidR="00BF6703" w:rsidRPr="00BF6703" w:rsidRDefault="00BF6703" w:rsidP="00AA6D98">
      <w:pPr>
        <w:spacing w:after="0" w:line="240" w:lineRule="auto"/>
        <w:rPr>
          <w:rFonts w:cstheme="minorHAnsi"/>
          <w:b/>
          <w:szCs w:val="24"/>
        </w:rPr>
      </w:pPr>
      <w:r w:rsidRPr="00BF6703">
        <w:rPr>
          <w:rFonts w:cstheme="minorHAnsi"/>
          <w:b/>
          <w:szCs w:val="24"/>
        </w:rPr>
        <w:t>Changes to Risk Appetite</w:t>
      </w:r>
    </w:p>
    <w:p w14:paraId="6394C85F" w14:textId="080ACA26" w:rsidR="00037EF1" w:rsidRPr="00AA6D98" w:rsidRDefault="00BF6703" w:rsidP="007E466D">
      <w:pPr>
        <w:numPr>
          <w:ilvl w:val="0"/>
          <w:numId w:val="18"/>
        </w:numPr>
        <w:spacing w:after="0" w:line="240" w:lineRule="auto"/>
        <w:rPr>
          <w:rFonts w:cstheme="minorHAnsi"/>
          <w:szCs w:val="24"/>
        </w:rPr>
      </w:pPr>
      <w:r w:rsidRPr="00AA6D98">
        <w:rPr>
          <w:rFonts w:cstheme="minorHAnsi"/>
          <w:szCs w:val="24"/>
        </w:rPr>
        <w:t xml:space="preserve">Annex A is the updated </w:t>
      </w:r>
      <w:hyperlink w:anchor="_Annex_B_–" w:history="1">
        <w:r w:rsidRPr="00AA6D98">
          <w:rPr>
            <w:rStyle w:val="Hyperlink"/>
            <w:rFonts w:cstheme="minorHAnsi"/>
            <w:szCs w:val="24"/>
          </w:rPr>
          <w:t>NatureScot Risk Appetite Table and the description of each level of Risk Appetite</w:t>
        </w:r>
      </w:hyperlink>
      <w:r w:rsidRPr="00AA6D98">
        <w:rPr>
          <w:rFonts w:cstheme="minorHAnsi"/>
          <w:szCs w:val="24"/>
        </w:rPr>
        <w:t xml:space="preserve">.  The table reflects the range </w:t>
      </w:r>
      <w:r w:rsidR="00A07F18" w:rsidRPr="00AA6D98">
        <w:rPr>
          <w:rFonts w:cstheme="minorHAnsi"/>
          <w:szCs w:val="24"/>
        </w:rPr>
        <w:t xml:space="preserve">within which </w:t>
      </w:r>
      <w:r w:rsidRPr="00AA6D98">
        <w:rPr>
          <w:rFonts w:cstheme="minorHAnsi"/>
          <w:szCs w:val="24"/>
        </w:rPr>
        <w:t>the risk is considered manageable.  The ranges are:</w:t>
      </w:r>
    </w:p>
    <w:p w14:paraId="23883BD8" w14:textId="77777777" w:rsidR="00BF6703" w:rsidRPr="00BF6703" w:rsidRDefault="00BF6703" w:rsidP="00AA6D98">
      <w:pPr>
        <w:numPr>
          <w:ilvl w:val="0"/>
          <w:numId w:val="19"/>
        </w:numPr>
        <w:spacing w:after="0" w:line="240" w:lineRule="auto"/>
        <w:rPr>
          <w:rFonts w:cstheme="minorHAnsi"/>
          <w:szCs w:val="24"/>
        </w:rPr>
      </w:pPr>
      <w:r w:rsidRPr="00BF6703">
        <w:rPr>
          <w:rFonts w:cstheme="minorHAnsi"/>
          <w:b/>
          <w:szCs w:val="24"/>
        </w:rPr>
        <w:t>‘Comfortable’</w:t>
      </w:r>
      <w:r w:rsidRPr="00BF6703">
        <w:rPr>
          <w:rFonts w:cstheme="minorHAnsi"/>
          <w:szCs w:val="24"/>
        </w:rPr>
        <w:t xml:space="preserve"> - where the level of risk does not pose a major threat as long as it is managed sensible.</w:t>
      </w:r>
    </w:p>
    <w:p w14:paraId="3C6C9E9E" w14:textId="77777777" w:rsidR="00BF6703" w:rsidRPr="00BF6703" w:rsidRDefault="00BF6703" w:rsidP="00AA6D98">
      <w:pPr>
        <w:numPr>
          <w:ilvl w:val="0"/>
          <w:numId w:val="19"/>
        </w:numPr>
        <w:spacing w:after="0" w:line="240" w:lineRule="auto"/>
        <w:rPr>
          <w:rFonts w:cstheme="minorHAnsi"/>
          <w:szCs w:val="24"/>
        </w:rPr>
      </w:pPr>
      <w:r w:rsidRPr="00BF6703">
        <w:rPr>
          <w:rFonts w:cstheme="minorHAnsi"/>
          <w:b/>
          <w:szCs w:val="24"/>
        </w:rPr>
        <w:t>‘Manageable’</w:t>
      </w:r>
      <w:r w:rsidRPr="00BF6703">
        <w:rPr>
          <w:rFonts w:cstheme="minorHAnsi"/>
          <w:szCs w:val="24"/>
        </w:rPr>
        <w:t xml:space="preserve"> – where the level of risk will need careful management but considered worth taking.</w:t>
      </w:r>
    </w:p>
    <w:p w14:paraId="2E0DE260" w14:textId="77777777" w:rsidR="00BF6703" w:rsidRPr="00BF6703" w:rsidRDefault="00BF6703" w:rsidP="00AA6D98">
      <w:pPr>
        <w:numPr>
          <w:ilvl w:val="0"/>
          <w:numId w:val="19"/>
        </w:numPr>
        <w:spacing w:after="0" w:line="240" w:lineRule="auto"/>
        <w:rPr>
          <w:rFonts w:cstheme="minorHAnsi"/>
          <w:szCs w:val="24"/>
        </w:rPr>
      </w:pPr>
      <w:r w:rsidRPr="00BF6703">
        <w:rPr>
          <w:rFonts w:cstheme="minorHAnsi"/>
          <w:b/>
          <w:szCs w:val="24"/>
        </w:rPr>
        <w:t>‘Dangerous’</w:t>
      </w:r>
      <w:r w:rsidRPr="00BF6703">
        <w:rPr>
          <w:rFonts w:cstheme="minorHAnsi"/>
          <w:szCs w:val="24"/>
        </w:rPr>
        <w:t xml:space="preserve"> – where it is highly unlikely that we would be willing to take such a level of risk.</w:t>
      </w:r>
    </w:p>
    <w:p w14:paraId="65B24195" w14:textId="77777777" w:rsidR="00BF6703" w:rsidRPr="00BF6703" w:rsidRDefault="00BF6703" w:rsidP="00AA6D98">
      <w:pPr>
        <w:spacing w:after="0" w:line="240" w:lineRule="auto"/>
        <w:rPr>
          <w:rFonts w:cstheme="minorHAnsi"/>
          <w:szCs w:val="24"/>
        </w:rPr>
      </w:pPr>
    </w:p>
    <w:p w14:paraId="028AE0A0" w14:textId="1806DFA9" w:rsidR="00BF6703" w:rsidRDefault="00BF6703" w:rsidP="00AA6D98">
      <w:pPr>
        <w:numPr>
          <w:ilvl w:val="0"/>
          <w:numId w:val="18"/>
        </w:numPr>
        <w:spacing w:after="0" w:line="240" w:lineRule="auto"/>
        <w:rPr>
          <w:rFonts w:cstheme="minorHAnsi"/>
          <w:szCs w:val="24"/>
        </w:rPr>
      </w:pPr>
      <w:r w:rsidRPr="00BF6703">
        <w:rPr>
          <w:rFonts w:cstheme="minorHAnsi"/>
          <w:szCs w:val="24"/>
        </w:rPr>
        <w:t>Although the manageable zone can straddle two levels, it is recommended tha</w:t>
      </w:r>
      <w:r w:rsidR="00A07F18">
        <w:rPr>
          <w:rFonts w:cstheme="minorHAnsi"/>
          <w:szCs w:val="24"/>
        </w:rPr>
        <w:t>t</w:t>
      </w:r>
      <w:r w:rsidRPr="00BF6703">
        <w:rPr>
          <w:rFonts w:cstheme="minorHAnsi"/>
          <w:szCs w:val="24"/>
        </w:rPr>
        <w:t xml:space="preserve"> agreement should be reached on one level of risk appetite per category.  This provides a stronger steer for colleagues on the approach when taking risks in their day to day work.</w:t>
      </w:r>
      <w:r w:rsidR="00037EF1">
        <w:rPr>
          <w:rFonts w:cstheme="minorHAnsi"/>
          <w:szCs w:val="24"/>
        </w:rPr>
        <w:t xml:space="preserve">  Ongoing risk monitoring will ensure oversight of increasing risk levels and appropriate escalation routes are maintained.</w:t>
      </w:r>
    </w:p>
    <w:p w14:paraId="24D81864" w14:textId="0525C6BF" w:rsidR="00BF6703" w:rsidRPr="00037EF1" w:rsidRDefault="006B1E74" w:rsidP="00AA6D98">
      <w:pPr>
        <w:numPr>
          <w:ilvl w:val="0"/>
          <w:numId w:val="18"/>
        </w:numPr>
        <w:spacing w:after="0" w:line="240" w:lineRule="auto"/>
        <w:rPr>
          <w:rFonts w:cstheme="minorHAnsi"/>
          <w:szCs w:val="24"/>
        </w:rPr>
      </w:pPr>
      <w:r>
        <w:rPr>
          <w:rFonts w:cstheme="minorHAnsi"/>
          <w:szCs w:val="24"/>
        </w:rPr>
        <w:t>There are currently 2 categories which straddle two levels, resourcing and reputation.  As they are predominantly within the open level, this does not expose us to significant additional risk.  Examples have been provided to full illustrate this in the table on the next page.</w:t>
      </w:r>
    </w:p>
    <w:p w14:paraId="112C8C00" w14:textId="77777777" w:rsidR="00BF6703" w:rsidRPr="00BF6703" w:rsidRDefault="00BF6703" w:rsidP="00AA6D98">
      <w:pPr>
        <w:numPr>
          <w:ilvl w:val="0"/>
          <w:numId w:val="18"/>
        </w:numPr>
        <w:spacing w:after="0" w:line="240" w:lineRule="auto"/>
        <w:rPr>
          <w:rFonts w:cstheme="minorHAnsi"/>
          <w:szCs w:val="24"/>
        </w:rPr>
      </w:pPr>
      <w:r w:rsidRPr="00BF6703">
        <w:rPr>
          <w:rFonts w:cstheme="minorHAnsi"/>
          <w:szCs w:val="24"/>
        </w:rPr>
        <w:t>As a result of the poll the manageable range has changed to:</w:t>
      </w:r>
    </w:p>
    <w:p w14:paraId="7503940B" w14:textId="77777777" w:rsidR="00BF6703" w:rsidRPr="00BF6703" w:rsidRDefault="00BF6703" w:rsidP="00AA6D98">
      <w:pPr>
        <w:spacing w:after="0" w:line="240" w:lineRule="auto"/>
        <w:rPr>
          <w:rFonts w:cstheme="minorHAnsi"/>
          <w:szCs w:val="24"/>
        </w:rPr>
      </w:pPr>
    </w:p>
    <w:tbl>
      <w:tblPr>
        <w:tblStyle w:val="TableGrid"/>
        <w:tblW w:w="0" w:type="auto"/>
        <w:jc w:val="center"/>
        <w:tblLook w:val="04A0" w:firstRow="1" w:lastRow="0" w:firstColumn="1" w:lastColumn="0" w:noHBand="0" w:noVBand="1"/>
        <w:tblCaption w:val="Risk Catergory"/>
        <w:tblDescription w:val="Shows shift in risk appetite from 2018 to 2022"/>
      </w:tblPr>
      <w:tblGrid>
        <w:gridCol w:w="2110"/>
        <w:gridCol w:w="1560"/>
        <w:gridCol w:w="1559"/>
      </w:tblGrid>
      <w:tr w:rsidR="00BF6703" w:rsidRPr="00BF6703" w14:paraId="35D042B3" w14:textId="77777777" w:rsidTr="00037EF1">
        <w:trPr>
          <w:tblHeader/>
          <w:jc w:val="center"/>
        </w:trPr>
        <w:tc>
          <w:tcPr>
            <w:tcW w:w="2110" w:type="dxa"/>
            <w:shd w:val="clear" w:color="auto" w:fill="B8CCE4" w:themeFill="accent1" w:themeFillTint="66"/>
          </w:tcPr>
          <w:p w14:paraId="2553651B" w14:textId="77777777" w:rsidR="00BF6703" w:rsidRPr="00BF6703" w:rsidRDefault="00BF6703" w:rsidP="00AA6D98">
            <w:pPr>
              <w:rPr>
                <w:rFonts w:cstheme="minorHAnsi"/>
                <w:b/>
                <w:szCs w:val="24"/>
              </w:rPr>
            </w:pPr>
            <w:r w:rsidRPr="00BF6703">
              <w:rPr>
                <w:rFonts w:cstheme="minorHAnsi"/>
                <w:b/>
                <w:szCs w:val="24"/>
              </w:rPr>
              <w:t>Risk Category</w:t>
            </w:r>
          </w:p>
        </w:tc>
        <w:tc>
          <w:tcPr>
            <w:tcW w:w="1560" w:type="dxa"/>
            <w:shd w:val="clear" w:color="auto" w:fill="B8CCE4" w:themeFill="accent1" w:themeFillTint="66"/>
          </w:tcPr>
          <w:p w14:paraId="0B5A8112" w14:textId="77777777" w:rsidR="00BF6703" w:rsidRPr="00BF6703" w:rsidRDefault="00BF6703" w:rsidP="00AA6D98">
            <w:pPr>
              <w:rPr>
                <w:rFonts w:cstheme="minorHAnsi"/>
                <w:b/>
                <w:szCs w:val="24"/>
              </w:rPr>
            </w:pPr>
            <w:r w:rsidRPr="00BF6703">
              <w:rPr>
                <w:rFonts w:cstheme="minorHAnsi"/>
                <w:b/>
                <w:szCs w:val="24"/>
              </w:rPr>
              <w:t>2018-2022</w:t>
            </w:r>
          </w:p>
        </w:tc>
        <w:tc>
          <w:tcPr>
            <w:tcW w:w="1559" w:type="dxa"/>
            <w:shd w:val="clear" w:color="auto" w:fill="B8CCE4" w:themeFill="accent1" w:themeFillTint="66"/>
          </w:tcPr>
          <w:p w14:paraId="2A165539" w14:textId="77777777" w:rsidR="00BF6703" w:rsidRPr="00BF6703" w:rsidRDefault="00BF6703" w:rsidP="00AA6D98">
            <w:pPr>
              <w:rPr>
                <w:rFonts w:cstheme="minorHAnsi"/>
                <w:b/>
                <w:szCs w:val="24"/>
              </w:rPr>
            </w:pPr>
            <w:r w:rsidRPr="00BF6703">
              <w:rPr>
                <w:rFonts w:cstheme="minorHAnsi"/>
                <w:b/>
                <w:szCs w:val="24"/>
              </w:rPr>
              <w:t>2022-2026</w:t>
            </w:r>
          </w:p>
        </w:tc>
      </w:tr>
      <w:tr w:rsidR="00BF6703" w:rsidRPr="00BF6703" w14:paraId="76F871F8" w14:textId="77777777" w:rsidTr="0037440F">
        <w:trPr>
          <w:jc w:val="center"/>
        </w:trPr>
        <w:tc>
          <w:tcPr>
            <w:tcW w:w="2110" w:type="dxa"/>
            <w:vAlign w:val="center"/>
          </w:tcPr>
          <w:p w14:paraId="119BA273" w14:textId="77777777" w:rsidR="00BF6703" w:rsidRPr="00BF6703" w:rsidRDefault="00BF6703" w:rsidP="00AA6D98">
            <w:pPr>
              <w:rPr>
                <w:rFonts w:cstheme="minorHAnsi"/>
                <w:b/>
                <w:szCs w:val="24"/>
              </w:rPr>
            </w:pPr>
            <w:r w:rsidRPr="00BF6703">
              <w:rPr>
                <w:rFonts w:cstheme="minorHAnsi"/>
                <w:b/>
                <w:szCs w:val="24"/>
              </w:rPr>
              <w:t>Nature</w:t>
            </w:r>
          </w:p>
        </w:tc>
        <w:tc>
          <w:tcPr>
            <w:tcW w:w="1560" w:type="dxa"/>
          </w:tcPr>
          <w:p w14:paraId="1AB3CBF4" w14:textId="77777777" w:rsidR="00BF6703" w:rsidRPr="00BF6703" w:rsidRDefault="00BF6703" w:rsidP="00AA6D98">
            <w:pPr>
              <w:rPr>
                <w:rFonts w:cstheme="minorHAnsi"/>
                <w:szCs w:val="24"/>
              </w:rPr>
            </w:pPr>
            <w:r w:rsidRPr="00BF6703">
              <w:rPr>
                <w:rFonts w:cstheme="minorHAnsi"/>
                <w:szCs w:val="24"/>
              </w:rPr>
              <w:t>13-18</w:t>
            </w:r>
          </w:p>
        </w:tc>
        <w:tc>
          <w:tcPr>
            <w:tcW w:w="1559" w:type="dxa"/>
          </w:tcPr>
          <w:p w14:paraId="7EA40FA0" w14:textId="77777777" w:rsidR="00BF6703" w:rsidRPr="00BF6703" w:rsidRDefault="00BF6703" w:rsidP="00AA6D98">
            <w:pPr>
              <w:rPr>
                <w:rFonts w:cstheme="minorHAnsi"/>
                <w:szCs w:val="24"/>
              </w:rPr>
            </w:pPr>
            <w:r w:rsidRPr="00BF6703">
              <w:rPr>
                <w:rFonts w:cstheme="minorHAnsi"/>
                <w:szCs w:val="24"/>
              </w:rPr>
              <w:t>14-18</w:t>
            </w:r>
          </w:p>
        </w:tc>
      </w:tr>
      <w:tr w:rsidR="00BF6703" w:rsidRPr="00BF6703" w14:paraId="76293F3E" w14:textId="77777777" w:rsidTr="0037440F">
        <w:trPr>
          <w:jc w:val="center"/>
        </w:trPr>
        <w:tc>
          <w:tcPr>
            <w:tcW w:w="2110" w:type="dxa"/>
            <w:vAlign w:val="center"/>
          </w:tcPr>
          <w:p w14:paraId="3439393F" w14:textId="77777777" w:rsidR="00BF6703" w:rsidRPr="00BF6703" w:rsidRDefault="00BF6703" w:rsidP="00AA6D98">
            <w:pPr>
              <w:rPr>
                <w:rFonts w:cstheme="minorHAnsi"/>
                <w:b/>
                <w:szCs w:val="24"/>
              </w:rPr>
            </w:pPr>
            <w:r w:rsidRPr="00BF6703">
              <w:rPr>
                <w:rFonts w:cstheme="minorHAnsi"/>
                <w:b/>
                <w:szCs w:val="24"/>
              </w:rPr>
              <w:t>Compliance</w:t>
            </w:r>
          </w:p>
        </w:tc>
        <w:tc>
          <w:tcPr>
            <w:tcW w:w="1560" w:type="dxa"/>
          </w:tcPr>
          <w:p w14:paraId="1255ECFF" w14:textId="77777777" w:rsidR="00BF6703" w:rsidRPr="00BF6703" w:rsidRDefault="00BF6703" w:rsidP="00AA6D98">
            <w:pPr>
              <w:rPr>
                <w:rFonts w:cstheme="minorHAnsi"/>
                <w:szCs w:val="24"/>
              </w:rPr>
            </w:pPr>
            <w:r w:rsidRPr="00BF6703">
              <w:rPr>
                <w:rFonts w:cstheme="minorHAnsi"/>
                <w:szCs w:val="24"/>
              </w:rPr>
              <w:t>4-9</w:t>
            </w:r>
          </w:p>
        </w:tc>
        <w:tc>
          <w:tcPr>
            <w:tcW w:w="1559" w:type="dxa"/>
          </w:tcPr>
          <w:p w14:paraId="0571B494" w14:textId="77777777" w:rsidR="00BF6703" w:rsidRPr="00BF6703" w:rsidRDefault="00BF6703" w:rsidP="00AA6D98">
            <w:pPr>
              <w:rPr>
                <w:rFonts w:cstheme="minorHAnsi"/>
                <w:szCs w:val="24"/>
              </w:rPr>
            </w:pPr>
            <w:r w:rsidRPr="00BF6703">
              <w:rPr>
                <w:rFonts w:cstheme="minorHAnsi"/>
                <w:szCs w:val="24"/>
              </w:rPr>
              <w:t>5-10</w:t>
            </w:r>
          </w:p>
        </w:tc>
      </w:tr>
      <w:tr w:rsidR="00BF6703" w:rsidRPr="00BF6703" w14:paraId="13EB4EBB" w14:textId="77777777" w:rsidTr="0037440F">
        <w:trPr>
          <w:jc w:val="center"/>
        </w:trPr>
        <w:tc>
          <w:tcPr>
            <w:tcW w:w="2110" w:type="dxa"/>
            <w:vAlign w:val="center"/>
          </w:tcPr>
          <w:p w14:paraId="276C378B" w14:textId="77777777" w:rsidR="00BF6703" w:rsidRPr="00BF6703" w:rsidRDefault="00BF6703" w:rsidP="00AA6D98">
            <w:pPr>
              <w:rPr>
                <w:rFonts w:cstheme="minorHAnsi"/>
                <w:b/>
                <w:szCs w:val="24"/>
              </w:rPr>
            </w:pPr>
            <w:r w:rsidRPr="00BF6703">
              <w:rPr>
                <w:rFonts w:cstheme="minorHAnsi"/>
                <w:b/>
                <w:szCs w:val="24"/>
              </w:rPr>
              <w:t>Operational</w:t>
            </w:r>
          </w:p>
        </w:tc>
        <w:tc>
          <w:tcPr>
            <w:tcW w:w="1560" w:type="dxa"/>
          </w:tcPr>
          <w:p w14:paraId="7D9B9972" w14:textId="77777777" w:rsidR="00BF6703" w:rsidRPr="00BF6703" w:rsidRDefault="00BF6703" w:rsidP="00AA6D98">
            <w:pPr>
              <w:rPr>
                <w:rFonts w:cstheme="minorHAnsi"/>
                <w:szCs w:val="24"/>
              </w:rPr>
            </w:pPr>
            <w:r w:rsidRPr="00BF6703">
              <w:rPr>
                <w:rFonts w:cstheme="minorHAnsi"/>
                <w:szCs w:val="24"/>
              </w:rPr>
              <w:t>14-18</w:t>
            </w:r>
          </w:p>
        </w:tc>
        <w:tc>
          <w:tcPr>
            <w:tcW w:w="1559" w:type="dxa"/>
          </w:tcPr>
          <w:p w14:paraId="555AB555" w14:textId="77777777" w:rsidR="00BF6703" w:rsidRPr="00BF6703" w:rsidRDefault="00BF6703" w:rsidP="00AA6D98">
            <w:pPr>
              <w:rPr>
                <w:rFonts w:cstheme="minorHAnsi"/>
                <w:szCs w:val="24"/>
              </w:rPr>
            </w:pPr>
            <w:r w:rsidRPr="00BF6703">
              <w:rPr>
                <w:rFonts w:cstheme="minorHAnsi"/>
                <w:szCs w:val="24"/>
              </w:rPr>
              <w:t>14-20</w:t>
            </w:r>
          </w:p>
        </w:tc>
      </w:tr>
      <w:tr w:rsidR="00BF6703" w:rsidRPr="00BF6703" w14:paraId="0B5CFFA4" w14:textId="77777777" w:rsidTr="0037440F">
        <w:trPr>
          <w:jc w:val="center"/>
        </w:trPr>
        <w:tc>
          <w:tcPr>
            <w:tcW w:w="2110" w:type="dxa"/>
            <w:vAlign w:val="center"/>
          </w:tcPr>
          <w:p w14:paraId="45380F09" w14:textId="77777777" w:rsidR="00BF6703" w:rsidRPr="00BF6703" w:rsidRDefault="00BF6703" w:rsidP="00AA6D98">
            <w:pPr>
              <w:rPr>
                <w:rFonts w:cstheme="minorHAnsi"/>
                <w:b/>
                <w:szCs w:val="24"/>
              </w:rPr>
            </w:pPr>
            <w:r w:rsidRPr="00BF6703">
              <w:rPr>
                <w:rFonts w:cstheme="minorHAnsi"/>
                <w:b/>
                <w:szCs w:val="24"/>
              </w:rPr>
              <w:t>Resources</w:t>
            </w:r>
          </w:p>
        </w:tc>
        <w:tc>
          <w:tcPr>
            <w:tcW w:w="1560" w:type="dxa"/>
          </w:tcPr>
          <w:p w14:paraId="12A5A177" w14:textId="77777777" w:rsidR="00BF6703" w:rsidRPr="00BF6703" w:rsidRDefault="00BF6703" w:rsidP="00AA6D98">
            <w:pPr>
              <w:rPr>
                <w:rFonts w:cstheme="minorHAnsi"/>
                <w:szCs w:val="24"/>
              </w:rPr>
            </w:pPr>
            <w:r w:rsidRPr="00BF6703">
              <w:rPr>
                <w:rFonts w:cstheme="minorHAnsi"/>
                <w:szCs w:val="24"/>
              </w:rPr>
              <w:t>12-17</w:t>
            </w:r>
          </w:p>
        </w:tc>
        <w:tc>
          <w:tcPr>
            <w:tcW w:w="1559" w:type="dxa"/>
          </w:tcPr>
          <w:p w14:paraId="773019DC" w14:textId="77777777" w:rsidR="00BF6703" w:rsidRPr="00BF6703" w:rsidRDefault="00BF6703" w:rsidP="00AA6D98">
            <w:pPr>
              <w:rPr>
                <w:rFonts w:cstheme="minorHAnsi"/>
                <w:szCs w:val="24"/>
              </w:rPr>
            </w:pPr>
            <w:r w:rsidRPr="00BF6703">
              <w:rPr>
                <w:rFonts w:cstheme="minorHAnsi"/>
                <w:szCs w:val="24"/>
              </w:rPr>
              <w:t>12-19</w:t>
            </w:r>
          </w:p>
        </w:tc>
      </w:tr>
      <w:tr w:rsidR="00BF6703" w:rsidRPr="00BF6703" w14:paraId="65C8C79B" w14:textId="77777777" w:rsidTr="0037440F">
        <w:trPr>
          <w:jc w:val="center"/>
        </w:trPr>
        <w:tc>
          <w:tcPr>
            <w:tcW w:w="2110" w:type="dxa"/>
            <w:vAlign w:val="center"/>
          </w:tcPr>
          <w:p w14:paraId="09C7EDA7" w14:textId="77777777" w:rsidR="00BF6703" w:rsidRPr="00BF6703" w:rsidRDefault="00BF6703" w:rsidP="00AA6D98">
            <w:pPr>
              <w:rPr>
                <w:rFonts w:cstheme="minorHAnsi"/>
                <w:b/>
                <w:szCs w:val="24"/>
              </w:rPr>
            </w:pPr>
            <w:r w:rsidRPr="00BF6703">
              <w:rPr>
                <w:rFonts w:cstheme="minorHAnsi"/>
                <w:b/>
                <w:szCs w:val="24"/>
              </w:rPr>
              <w:t>Reputational</w:t>
            </w:r>
          </w:p>
        </w:tc>
        <w:tc>
          <w:tcPr>
            <w:tcW w:w="1560" w:type="dxa"/>
          </w:tcPr>
          <w:p w14:paraId="55F4E68D" w14:textId="77777777" w:rsidR="00BF6703" w:rsidRPr="00BF6703" w:rsidRDefault="00BF6703" w:rsidP="00AA6D98">
            <w:pPr>
              <w:rPr>
                <w:rFonts w:cstheme="minorHAnsi"/>
                <w:szCs w:val="24"/>
              </w:rPr>
            </w:pPr>
            <w:r w:rsidRPr="00BF6703">
              <w:rPr>
                <w:rFonts w:cstheme="minorHAnsi"/>
                <w:szCs w:val="24"/>
              </w:rPr>
              <w:t>13-16</w:t>
            </w:r>
          </w:p>
        </w:tc>
        <w:tc>
          <w:tcPr>
            <w:tcW w:w="1559" w:type="dxa"/>
          </w:tcPr>
          <w:p w14:paraId="2F3D829F" w14:textId="77777777" w:rsidR="00BF6703" w:rsidRPr="00BF6703" w:rsidRDefault="00BF6703" w:rsidP="00AA6D98">
            <w:pPr>
              <w:rPr>
                <w:rFonts w:cstheme="minorHAnsi"/>
                <w:szCs w:val="24"/>
              </w:rPr>
            </w:pPr>
            <w:r w:rsidRPr="00BF6703">
              <w:rPr>
                <w:rFonts w:cstheme="minorHAnsi"/>
                <w:szCs w:val="24"/>
              </w:rPr>
              <w:t>13-18</w:t>
            </w:r>
          </w:p>
        </w:tc>
      </w:tr>
    </w:tbl>
    <w:p w14:paraId="629E67D6" w14:textId="77777777" w:rsidR="00BF6703" w:rsidRPr="00BF6703" w:rsidRDefault="00BF6703" w:rsidP="00AA6D98">
      <w:pPr>
        <w:spacing w:after="0" w:line="240" w:lineRule="auto"/>
        <w:rPr>
          <w:rFonts w:cstheme="minorHAnsi"/>
          <w:szCs w:val="24"/>
        </w:rPr>
      </w:pPr>
    </w:p>
    <w:p w14:paraId="63AE4B06" w14:textId="40A69629" w:rsidR="00BF6703" w:rsidRPr="00037EF1" w:rsidRDefault="00BF6703" w:rsidP="00AA6D98">
      <w:pPr>
        <w:numPr>
          <w:ilvl w:val="0"/>
          <w:numId w:val="18"/>
        </w:numPr>
        <w:spacing w:after="0" w:line="240" w:lineRule="auto"/>
        <w:rPr>
          <w:rFonts w:cstheme="minorHAnsi"/>
          <w:szCs w:val="24"/>
        </w:rPr>
      </w:pPr>
      <w:r w:rsidRPr="00BF6703">
        <w:rPr>
          <w:rFonts w:cstheme="minorHAnsi"/>
          <w:szCs w:val="24"/>
        </w:rPr>
        <w:t xml:space="preserve">SLT previously provided some feedback on the </w:t>
      </w:r>
      <w:r>
        <w:rPr>
          <w:rFonts w:cstheme="minorHAnsi"/>
          <w:szCs w:val="24"/>
        </w:rPr>
        <w:t>Nature risk category</w:t>
      </w:r>
      <w:r w:rsidRPr="00BF6703">
        <w:rPr>
          <w:rFonts w:cstheme="minorHAnsi"/>
          <w:szCs w:val="24"/>
        </w:rPr>
        <w:t xml:space="preserve"> which</w:t>
      </w:r>
      <w:r w:rsidR="00EB179F">
        <w:rPr>
          <w:rFonts w:cstheme="minorHAnsi"/>
          <w:szCs w:val="24"/>
        </w:rPr>
        <w:t xml:space="preserve"> has been edited to include </w:t>
      </w:r>
      <w:r w:rsidRPr="00BF6703">
        <w:rPr>
          <w:rFonts w:cstheme="minorHAnsi"/>
          <w:szCs w:val="24"/>
        </w:rPr>
        <w:t xml:space="preserve">restoration as well as protection. The dialogue </w:t>
      </w:r>
      <w:r>
        <w:rPr>
          <w:rFonts w:cstheme="minorHAnsi"/>
          <w:szCs w:val="24"/>
        </w:rPr>
        <w:t xml:space="preserve">with the Minister </w:t>
      </w:r>
      <w:r w:rsidR="00EB179F">
        <w:rPr>
          <w:rFonts w:cstheme="minorHAnsi"/>
          <w:szCs w:val="24"/>
        </w:rPr>
        <w:t>expressed</w:t>
      </w:r>
      <w:r>
        <w:rPr>
          <w:rFonts w:cstheme="minorHAnsi"/>
          <w:szCs w:val="24"/>
        </w:rPr>
        <w:t xml:space="preserve"> </w:t>
      </w:r>
      <w:r w:rsidR="00EB179F">
        <w:rPr>
          <w:rFonts w:cstheme="minorHAnsi"/>
          <w:szCs w:val="24"/>
        </w:rPr>
        <w:t xml:space="preserve">an </w:t>
      </w:r>
      <w:r>
        <w:rPr>
          <w:rFonts w:cstheme="minorHAnsi"/>
          <w:szCs w:val="24"/>
        </w:rPr>
        <w:t xml:space="preserve">expectation for us to be more </w:t>
      </w:r>
      <w:r w:rsidRPr="00BF6703">
        <w:rPr>
          <w:rFonts w:cstheme="minorHAnsi"/>
          <w:szCs w:val="24"/>
        </w:rPr>
        <w:t xml:space="preserve">ambitious </w:t>
      </w:r>
      <w:r>
        <w:rPr>
          <w:rFonts w:cstheme="minorHAnsi"/>
          <w:szCs w:val="24"/>
        </w:rPr>
        <w:t xml:space="preserve">around </w:t>
      </w:r>
      <w:r w:rsidRPr="00BF6703">
        <w:rPr>
          <w:rFonts w:cstheme="minorHAnsi"/>
          <w:szCs w:val="24"/>
        </w:rPr>
        <w:t>nature restoration and SLT recommend a move above the open risk appetite to hungry</w:t>
      </w:r>
      <w:r>
        <w:rPr>
          <w:rFonts w:cstheme="minorHAnsi"/>
          <w:szCs w:val="24"/>
        </w:rPr>
        <w:t xml:space="preserve">.  This shows a </w:t>
      </w:r>
      <w:r>
        <w:rPr>
          <w:rFonts w:ascii="Calibri" w:hAnsi="Calibri" w:cs="Calibri"/>
          <w:szCs w:val="24"/>
        </w:rPr>
        <w:t>w</w:t>
      </w:r>
      <w:r w:rsidRPr="00C41CEC">
        <w:rPr>
          <w:rFonts w:ascii="Calibri" w:hAnsi="Calibri" w:cs="Calibri"/>
          <w:szCs w:val="24"/>
        </w:rPr>
        <w:t xml:space="preserve">illingness to make decisions </w:t>
      </w:r>
      <w:r w:rsidRPr="00C41CEC">
        <w:rPr>
          <w:rFonts w:ascii="Calibri" w:hAnsi="Calibri" w:cs="Calibri"/>
          <w:szCs w:val="24"/>
        </w:rPr>
        <w:lastRenderedPageBreak/>
        <w:t xml:space="preserve">where there is a very high risk that they could impact on nature </w:t>
      </w:r>
      <w:r w:rsidR="00042DB0">
        <w:rPr>
          <w:rFonts w:ascii="Calibri" w:hAnsi="Calibri" w:cs="Calibri"/>
          <w:szCs w:val="24"/>
        </w:rPr>
        <w:t xml:space="preserve">but </w:t>
      </w:r>
      <w:r w:rsidRPr="00C41CEC">
        <w:rPr>
          <w:rFonts w:ascii="Calibri" w:hAnsi="Calibri" w:cs="Calibri"/>
          <w:szCs w:val="24"/>
        </w:rPr>
        <w:t>where the advantages are considered to outweigh the negatives</w:t>
      </w:r>
      <w:r w:rsidR="00042DB0">
        <w:rPr>
          <w:rFonts w:cstheme="minorHAnsi"/>
          <w:szCs w:val="24"/>
        </w:rPr>
        <w:t>.</w:t>
      </w:r>
    </w:p>
    <w:p w14:paraId="064AAE3A" w14:textId="672B384D" w:rsidR="00A07F18" w:rsidRPr="00037EF1" w:rsidRDefault="00BF6703" w:rsidP="00AA6D98">
      <w:pPr>
        <w:numPr>
          <w:ilvl w:val="0"/>
          <w:numId w:val="18"/>
        </w:numPr>
        <w:spacing w:after="0" w:line="240" w:lineRule="auto"/>
        <w:rPr>
          <w:rFonts w:cstheme="minorHAnsi"/>
          <w:szCs w:val="24"/>
        </w:rPr>
      </w:pPr>
      <w:r w:rsidRPr="00BF6703">
        <w:rPr>
          <w:rFonts w:cstheme="minorHAnsi"/>
          <w:szCs w:val="24"/>
        </w:rPr>
        <w:t xml:space="preserve">What does this mean?  </w:t>
      </w:r>
      <w:r>
        <w:rPr>
          <w:rFonts w:cstheme="minorHAnsi"/>
          <w:szCs w:val="24"/>
        </w:rPr>
        <w:t>Currently t</w:t>
      </w:r>
      <w:r w:rsidRPr="00BF6703">
        <w:rPr>
          <w:rFonts w:cstheme="minorHAnsi"/>
          <w:szCs w:val="24"/>
        </w:rPr>
        <w:t>he Board has collectively proposed an open risk appetite for all areas except compliance where the appetite is cautious.  Where the appetite is open, NatureScot is willing to consider all delivery options, accepting the higher level of risk taking which this could involve but which potentially increases the reward.</w:t>
      </w:r>
    </w:p>
    <w:p w14:paraId="7A0A9513" w14:textId="77777777" w:rsidR="00BF6703" w:rsidRDefault="00BF6703" w:rsidP="00AA6D98">
      <w:pPr>
        <w:numPr>
          <w:ilvl w:val="0"/>
          <w:numId w:val="18"/>
        </w:numPr>
        <w:spacing w:after="0" w:line="240" w:lineRule="auto"/>
        <w:rPr>
          <w:rFonts w:cstheme="minorHAnsi"/>
          <w:szCs w:val="24"/>
        </w:rPr>
      </w:pPr>
      <w:r w:rsidRPr="00BF6703">
        <w:rPr>
          <w:rFonts w:cstheme="minorHAnsi"/>
          <w:szCs w:val="24"/>
        </w:rPr>
        <w:t>To illustrate the risk appetite for each category, examples are included below:</w:t>
      </w:r>
    </w:p>
    <w:p w14:paraId="0305E7FA" w14:textId="77777777" w:rsidR="009E544C" w:rsidRDefault="009E544C" w:rsidP="00AA6D98">
      <w:pPr>
        <w:spacing w:after="0" w:line="240" w:lineRule="auto"/>
        <w:ind w:left="717"/>
        <w:rPr>
          <w:rFonts w:cstheme="minorHAnsi"/>
          <w:szCs w:val="24"/>
        </w:rPr>
      </w:pPr>
    </w:p>
    <w:tbl>
      <w:tblPr>
        <w:tblStyle w:val="TableGrid"/>
        <w:tblW w:w="9497" w:type="dxa"/>
        <w:tblInd w:w="421" w:type="dxa"/>
        <w:tblLook w:val="04A0" w:firstRow="1" w:lastRow="0" w:firstColumn="1" w:lastColumn="0" w:noHBand="0" w:noVBand="1"/>
        <w:tblCaption w:val="Example of risks"/>
        <w:tblDescription w:val="Example of risk appetites by category"/>
      </w:tblPr>
      <w:tblGrid>
        <w:gridCol w:w="1842"/>
        <w:gridCol w:w="7655"/>
      </w:tblGrid>
      <w:tr w:rsidR="009E544C" w14:paraId="4913E5F4" w14:textId="77777777" w:rsidTr="00AA6D98">
        <w:trPr>
          <w:tblHeader/>
        </w:trPr>
        <w:tc>
          <w:tcPr>
            <w:tcW w:w="1842" w:type="dxa"/>
            <w:shd w:val="clear" w:color="auto" w:fill="B8CCE4" w:themeFill="accent1" w:themeFillTint="66"/>
          </w:tcPr>
          <w:p w14:paraId="14A10EDB" w14:textId="77777777" w:rsidR="009E544C" w:rsidRDefault="009E544C" w:rsidP="00AA6D98">
            <w:pPr>
              <w:rPr>
                <w:rFonts w:cstheme="minorHAnsi"/>
                <w:szCs w:val="24"/>
              </w:rPr>
            </w:pPr>
            <w:r>
              <w:rPr>
                <w:rFonts w:cstheme="minorHAnsi"/>
                <w:szCs w:val="24"/>
              </w:rPr>
              <w:t xml:space="preserve">Category </w:t>
            </w:r>
          </w:p>
        </w:tc>
        <w:tc>
          <w:tcPr>
            <w:tcW w:w="7655" w:type="dxa"/>
            <w:shd w:val="clear" w:color="auto" w:fill="B8CCE4" w:themeFill="accent1" w:themeFillTint="66"/>
          </w:tcPr>
          <w:p w14:paraId="01C3A169" w14:textId="77777777" w:rsidR="009E544C" w:rsidRDefault="009E544C" w:rsidP="00AA6D98">
            <w:pPr>
              <w:rPr>
                <w:rFonts w:cstheme="minorHAnsi"/>
                <w:szCs w:val="24"/>
              </w:rPr>
            </w:pPr>
            <w:r>
              <w:rPr>
                <w:rFonts w:cstheme="minorHAnsi"/>
                <w:szCs w:val="24"/>
              </w:rPr>
              <w:t>Example</w:t>
            </w:r>
            <w:r w:rsidR="00042DB0">
              <w:rPr>
                <w:rFonts w:cstheme="minorHAnsi"/>
                <w:szCs w:val="24"/>
              </w:rPr>
              <w:t>s of risks</w:t>
            </w:r>
          </w:p>
        </w:tc>
      </w:tr>
      <w:tr w:rsidR="009E544C" w14:paraId="09B2921A" w14:textId="77777777" w:rsidTr="00AA6D98">
        <w:tc>
          <w:tcPr>
            <w:tcW w:w="1842" w:type="dxa"/>
            <w:vAlign w:val="center"/>
          </w:tcPr>
          <w:p w14:paraId="1B698CF3" w14:textId="77777777" w:rsidR="009E544C" w:rsidRPr="009E544C" w:rsidRDefault="009E544C" w:rsidP="00AA6D98">
            <w:pPr>
              <w:rPr>
                <w:rFonts w:ascii="Calibri" w:hAnsi="Calibri" w:cs="Calibri"/>
                <w:szCs w:val="24"/>
              </w:rPr>
            </w:pPr>
            <w:r w:rsidRPr="009E544C">
              <w:rPr>
                <w:rFonts w:ascii="Calibri" w:hAnsi="Calibri" w:cs="Calibri"/>
                <w:szCs w:val="24"/>
              </w:rPr>
              <w:t>Nature</w:t>
            </w:r>
          </w:p>
        </w:tc>
        <w:tc>
          <w:tcPr>
            <w:tcW w:w="7655" w:type="dxa"/>
          </w:tcPr>
          <w:p w14:paraId="3B50FF73" w14:textId="1BC4FBB1" w:rsidR="009E544C" w:rsidRPr="00042DB0" w:rsidRDefault="009E544C" w:rsidP="00AA6D98">
            <w:pPr>
              <w:rPr>
                <w:rFonts w:cstheme="minorHAnsi"/>
                <w:szCs w:val="24"/>
              </w:rPr>
            </w:pPr>
            <w:r w:rsidRPr="00042DB0">
              <w:rPr>
                <w:rFonts w:cstheme="minorHAnsi"/>
                <w:szCs w:val="24"/>
              </w:rPr>
              <w:t>Species –</w:t>
            </w:r>
            <w:r w:rsidR="00042DB0" w:rsidRPr="00042DB0">
              <w:rPr>
                <w:rFonts w:cstheme="minorHAnsi"/>
                <w:szCs w:val="24"/>
              </w:rPr>
              <w:t xml:space="preserve"> </w:t>
            </w:r>
            <w:r w:rsidR="002E4B11">
              <w:rPr>
                <w:rFonts w:cstheme="minorHAnsi"/>
                <w:szCs w:val="24"/>
              </w:rPr>
              <w:t xml:space="preserve">(Hungry) </w:t>
            </w:r>
            <w:r w:rsidR="00042DB0" w:rsidRPr="00042DB0">
              <w:rPr>
                <w:rFonts w:cstheme="minorHAnsi"/>
                <w:szCs w:val="24"/>
              </w:rPr>
              <w:t xml:space="preserve">reducing predator numbers for species such as pine martens </w:t>
            </w:r>
            <w:r w:rsidR="00042DB0">
              <w:rPr>
                <w:rFonts w:cstheme="minorHAnsi"/>
                <w:szCs w:val="24"/>
              </w:rPr>
              <w:t xml:space="preserve">to support the growth of </w:t>
            </w:r>
            <w:proofErr w:type="spellStart"/>
            <w:r w:rsidR="00042DB0">
              <w:rPr>
                <w:rFonts w:cstheme="minorHAnsi"/>
                <w:szCs w:val="24"/>
              </w:rPr>
              <w:t>C</w:t>
            </w:r>
            <w:r w:rsidR="00042DB0" w:rsidRPr="00042DB0">
              <w:rPr>
                <w:rFonts w:cstheme="minorHAnsi"/>
                <w:szCs w:val="24"/>
              </w:rPr>
              <w:t>apercaillie</w:t>
            </w:r>
            <w:proofErr w:type="spellEnd"/>
            <w:r w:rsidR="00042DB0" w:rsidRPr="00042DB0">
              <w:rPr>
                <w:rFonts w:cstheme="minorHAnsi"/>
                <w:szCs w:val="24"/>
              </w:rPr>
              <w:t xml:space="preserve"> numbers</w:t>
            </w:r>
            <w:r w:rsidR="00A40A44">
              <w:rPr>
                <w:rFonts w:cstheme="minorHAnsi"/>
                <w:szCs w:val="24"/>
              </w:rPr>
              <w:t>,</w:t>
            </w:r>
            <w:r w:rsidR="00042DB0">
              <w:rPr>
                <w:rFonts w:cstheme="minorHAnsi"/>
                <w:szCs w:val="24"/>
              </w:rPr>
              <w:t xml:space="preserve"> negatively impacting those species in order to deliver the benefits for another.</w:t>
            </w:r>
            <w:r w:rsidR="00042DB0" w:rsidRPr="00042DB0">
              <w:rPr>
                <w:rFonts w:cstheme="minorHAnsi"/>
                <w:szCs w:val="24"/>
              </w:rPr>
              <w:t xml:space="preserve">  </w:t>
            </w:r>
          </w:p>
          <w:p w14:paraId="2D64A8F5" w14:textId="78AF1BDB" w:rsidR="00042DB0" w:rsidRPr="009E544C" w:rsidRDefault="00042DB0" w:rsidP="00AA6D98">
            <w:pPr>
              <w:rPr>
                <w:rFonts w:cstheme="minorHAnsi"/>
                <w:szCs w:val="24"/>
                <w:highlight w:val="yellow"/>
              </w:rPr>
            </w:pPr>
            <w:r>
              <w:rPr>
                <w:rFonts w:cstheme="minorHAnsi"/>
                <w:szCs w:val="24"/>
              </w:rPr>
              <w:t xml:space="preserve">Landscape scale </w:t>
            </w:r>
            <w:r w:rsidRPr="00042DB0">
              <w:rPr>
                <w:rFonts w:cstheme="minorHAnsi"/>
                <w:szCs w:val="24"/>
              </w:rPr>
              <w:t xml:space="preserve">– </w:t>
            </w:r>
            <w:r w:rsidR="002E4B11">
              <w:rPr>
                <w:rFonts w:cstheme="minorHAnsi"/>
                <w:szCs w:val="24"/>
              </w:rPr>
              <w:t xml:space="preserve">(Hungry) </w:t>
            </w:r>
            <w:r w:rsidRPr="00042DB0">
              <w:rPr>
                <w:rFonts w:cstheme="minorHAnsi"/>
                <w:szCs w:val="24"/>
              </w:rPr>
              <w:t>increased rewilding</w:t>
            </w:r>
            <w:r>
              <w:rPr>
                <w:rFonts w:cstheme="minorHAnsi"/>
                <w:szCs w:val="24"/>
              </w:rPr>
              <w:t xml:space="preserve"> and restoration needs development to be effective with opposition and conservation conflicts reducing environmental benefits elsewhere (such as </w:t>
            </w:r>
            <w:r w:rsidR="00EB179F">
              <w:rPr>
                <w:rFonts w:cstheme="minorHAnsi"/>
                <w:szCs w:val="24"/>
              </w:rPr>
              <w:t>new</w:t>
            </w:r>
            <w:r>
              <w:rPr>
                <w:rFonts w:cstheme="minorHAnsi"/>
                <w:szCs w:val="24"/>
              </w:rPr>
              <w:t xml:space="preserve"> management agreements)</w:t>
            </w:r>
            <w:r w:rsidR="00EB179F">
              <w:rPr>
                <w:rFonts w:cstheme="minorHAnsi"/>
                <w:szCs w:val="24"/>
              </w:rPr>
              <w:t>.</w:t>
            </w:r>
          </w:p>
        </w:tc>
      </w:tr>
      <w:tr w:rsidR="009E544C" w14:paraId="591647D5" w14:textId="77777777" w:rsidTr="00AA6D98">
        <w:tc>
          <w:tcPr>
            <w:tcW w:w="1842" w:type="dxa"/>
            <w:vAlign w:val="center"/>
          </w:tcPr>
          <w:p w14:paraId="229BB3C8" w14:textId="77777777" w:rsidR="009E544C" w:rsidRPr="009E544C" w:rsidRDefault="009E544C" w:rsidP="00AA6D98">
            <w:pPr>
              <w:rPr>
                <w:rFonts w:ascii="Calibri" w:hAnsi="Calibri" w:cs="Calibri"/>
                <w:szCs w:val="24"/>
              </w:rPr>
            </w:pPr>
            <w:r w:rsidRPr="009E544C">
              <w:rPr>
                <w:rFonts w:ascii="Calibri" w:hAnsi="Calibri" w:cs="Calibri"/>
                <w:szCs w:val="24"/>
              </w:rPr>
              <w:t>Compliance</w:t>
            </w:r>
          </w:p>
        </w:tc>
        <w:tc>
          <w:tcPr>
            <w:tcW w:w="7655" w:type="dxa"/>
          </w:tcPr>
          <w:p w14:paraId="4A4CCC4F" w14:textId="045C6DE4" w:rsidR="00042DB0" w:rsidRPr="00042DB0" w:rsidRDefault="00042DB0" w:rsidP="00AA6D98">
            <w:pPr>
              <w:rPr>
                <w:rFonts w:cstheme="minorHAnsi"/>
                <w:szCs w:val="24"/>
              </w:rPr>
            </w:pPr>
            <w:r w:rsidRPr="00042DB0">
              <w:rPr>
                <w:rFonts w:cstheme="minorHAnsi"/>
                <w:szCs w:val="24"/>
              </w:rPr>
              <w:t xml:space="preserve">Fraud </w:t>
            </w:r>
            <w:r w:rsidR="002E4B11">
              <w:rPr>
                <w:rFonts w:cstheme="minorHAnsi"/>
                <w:szCs w:val="24"/>
              </w:rPr>
              <w:t>–</w:t>
            </w:r>
            <w:r w:rsidRPr="00042DB0">
              <w:rPr>
                <w:rFonts w:cstheme="minorHAnsi"/>
                <w:szCs w:val="24"/>
              </w:rPr>
              <w:t xml:space="preserve"> </w:t>
            </w:r>
            <w:r w:rsidR="002E4B11">
              <w:rPr>
                <w:rFonts w:cstheme="minorHAnsi"/>
                <w:szCs w:val="24"/>
              </w:rPr>
              <w:t xml:space="preserve">(Cautious) </w:t>
            </w:r>
            <w:r w:rsidR="009E544C" w:rsidRPr="00042DB0">
              <w:rPr>
                <w:rFonts w:cstheme="minorHAnsi"/>
                <w:szCs w:val="24"/>
              </w:rPr>
              <w:t>Example introducing a new system</w:t>
            </w:r>
            <w:r w:rsidRPr="00042DB0">
              <w:rPr>
                <w:rFonts w:cstheme="minorHAnsi"/>
                <w:szCs w:val="24"/>
              </w:rPr>
              <w:t>s</w:t>
            </w:r>
            <w:r w:rsidR="009E544C" w:rsidRPr="00042DB0">
              <w:rPr>
                <w:rFonts w:cstheme="minorHAnsi"/>
                <w:szCs w:val="24"/>
              </w:rPr>
              <w:t xml:space="preserve"> for licensing</w:t>
            </w:r>
            <w:r w:rsidRPr="00042DB0">
              <w:rPr>
                <w:rFonts w:cstheme="minorHAnsi"/>
                <w:szCs w:val="24"/>
              </w:rPr>
              <w:t xml:space="preserve"> or management agreements</w:t>
            </w:r>
            <w:r w:rsidR="009E544C" w:rsidRPr="00042DB0">
              <w:rPr>
                <w:rFonts w:cstheme="minorHAnsi"/>
                <w:szCs w:val="24"/>
              </w:rPr>
              <w:t xml:space="preserve"> but not putting in the</w:t>
            </w:r>
            <w:r>
              <w:rPr>
                <w:rFonts w:cstheme="minorHAnsi"/>
                <w:szCs w:val="24"/>
              </w:rPr>
              <w:t xml:space="preserve"> proper checks to prevent fraud resulting in financial losses and governance issues.</w:t>
            </w:r>
            <w:r w:rsidR="009E544C" w:rsidRPr="00042DB0">
              <w:rPr>
                <w:rFonts w:cstheme="minorHAnsi"/>
                <w:szCs w:val="24"/>
              </w:rPr>
              <w:t xml:space="preserve">  </w:t>
            </w:r>
          </w:p>
          <w:p w14:paraId="7F46C591" w14:textId="6242CBF2" w:rsidR="009E544C" w:rsidRPr="009E544C" w:rsidRDefault="00042DB0" w:rsidP="00AA6D98">
            <w:pPr>
              <w:rPr>
                <w:rFonts w:cstheme="minorHAnsi"/>
                <w:szCs w:val="24"/>
                <w:highlight w:val="yellow"/>
              </w:rPr>
            </w:pPr>
            <w:r w:rsidRPr="00042DB0">
              <w:rPr>
                <w:rFonts w:cstheme="minorHAnsi"/>
                <w:szCs w:val="24"/>
              </w:rPr>
              <w:t xml:space="preserve">FOI/GDPR </w:t>
            </w:r>
            <w:r w:rsidR="002E4B11">
              <w:rPr>
                <w:rFonts w:cstheme="minorHAnsi"/>
                <w:szCs w:val="24"/>
              </w:rPr>
              <w:t>–</w:t>
            </w:r>
            <w:r w:rsidRPr="00042DB0">
              <w:rPr>
                <w:rFonts w:cstheme="minorHAnsi"/>
                <w:szCs w:val="24"/>
              </w:rPr>
              <w:t xml:space="preserve"> </w:t>
            </w:r>
            <w:r w:rsidR="002E4B11">
              <w:rPr>
                <w:rFonts w:cstheme="minorHAnsi"/>
                <w:szCs w:val="24"/>
              </w:rPr>
              <w:t xml:space="preserve">(Cautious) </w:t>
            </w:r>
            <w:r w:rsidR="009E544C" w:rsidRPr="00042DB0">
              <w:rPr>
                <w:rFonts w:cstheme="minorHAnsi"/>
                <w:szCs w:val="24"/>
              </w:rPr>
              <w:t>Not following GDPR/FOI or other legislative requirements resulting in a fine and or disallowance (AECS/Structural Funds).</w:t>
            </w:r>
          </w:p>
        </w:tc>
      </w:tr>
      <w:tr w:rsidR="009E544C" w14:paraId="760EAABD" w14:textId="77777777" w:rsidTr="00AA6D98">
        <w:tc>
          <w:tcPr>
            <w:tcW w:w="1842" w:type="dxa"/>
            <w:vAlign w:val="center"/>
          </w:tcPr>
          <w:p w14:paraId="46CE8F78" w14:textId="77777777" w:rsidR="009E544C" w:rsidRPr="009E544C" w:rsidRDefault="009E544C" w:rsidP="00AA6D98">
            <w:pPr>
              <w:rPr>
                <w:rFonts w:ascii="Calibri" w:hAnsi="Calibri" w:cs="Calibri"/>
                <w:szCs w:val="24"/>
              </w:rPr>
            </w:pPr>
            <w:r w:rsidRPr="009E544C">
              <w:rPr>
                <w:rFonts w:ascii="Calibri" w:hAnsi="Calibri" w:cs="Calibri"/>
                <w:szCs w:val="24"/>
              </w:rPr>
              <w:t>Operational</w:t>
            </w:r>
          </w:p>
        </w:tc>
        <w:tc>
          <w:tcPr>
            <w:tcW w:w="7655" w:type="dxa"/>
          </w:tcPr>
          <w:p w14:paraId="7D62C74E" w14:textId="1EF112F5" w:rsidR="00042DB0" w:rsidRPr="00042DB0" w:rsidRDefault="00042DB0" w:rsidP="00AA6D98">
            <w:pPr>
              <w:rPr>
                <w:rFonts w:cstheme="minorHAnsi"/>
                <w:szCs w:val="24"/>
              </w:rPr>
            </w:pPr>
            <w:r w:rsidRPr="00042DB0">
              <w:rPr>
                <w:rFonts w:cstheme="minorHAnsi"/>
                <w:szCs w:val="24"/>
              </w:rPr>
              <w:t xml:space="preserve">Organisational Design </w:t>
            </w:r>
            <w:r w:rsidR="009E544C" w:rsidRPr="00042DB0">
              <w:rPr>
                <w:rFonts w:cstheme="minorHAnsi"/>
                <w:szCs w:val="24"/>
              </w:rPr>
              <w:t xml:space="preserve">– </w:t>
            </w:r>
            <w:r w:rsidR="002E4B11">
              <w:rPr>
                <w:rFonts w:cstheme="minorHAnsi"/>
                <w:szCs w:val="24"/>
              </w:rPr>
              <w:t xml:space="preserve">(Open) </w:t>
            </w:r>
            <w:r w:rsidR="009E544C" w:rsidRPr="00042DB0">
              <w:rPr>
                <w:rFonts w:cstheme="minorHAnsi"/>
                <w:szCs w:val="24"/>
              </w:rPr>
              <w:t>implementin</w:t>
            </w:r>
            <w:r w:rsidRPr="00042DB0">
              <w:rPr>
                <w:rFonts w:cstheme="minorHAnsi"/>
                <w:szCs w:val="24"/>
              </w:rPr>
              <w:t>g a new business model/delegating</w:t>
            </w:r>
            <w:r w:rsidR="009E544C" w:rsidRPr="00042DB0">
              <w:rPr>
                <w:rFonts w:cstheme="minorHAnsi"/>
                <w:szCs w:val="24"/>
              </w:rPr>
              <w:t xml:space="preserve"> decision making which will significantly improve th</w:t>
            </w:r>
            <w:r w:rsidR="00EB179F">
              <w:rPr>
                <w:rFonts w:cstheme="minorHAnsi"/>
                <w:szCs w:val="24"/>
              </w:rPr>
              <w:t>e way we work but may reduce the consistency of application of internal controls</w:t>
            </w:r>
            <w:r w:rsidR="009E544C" w:rsidRPr="00042DB0">
              <w:rPr>
                <w:rFonts w:cstheme="minorHAnsi"/>
                <w:szCs w:val="24"/>
              </w:rPr>
              <w:t xml:space="preserve">.  </w:t>
            </w:r>
          </w:p>
          <w:p w14:paraId="5184FDEF" w14:textId="4ED91B8D" w:rsidR="009E544C" w:rsidRPr="009E544C" w:rsidRDefault="00042DB0" w:rsidP="00AA6D98">
            <w:pPr>
              <w:rPr>
                <w:rFonts w:cstheme="minorHAnsi"/>
                <w:szCs w:val="24"/>
                <w:highlight w:val="yellow"/>
              </w:rPr>
            </w:pPr>
            <w:r>
              <w:rPr>
                <w:rFonts w:cstheme="minorHAnsi"/>
                <w:szCs w:val="24"/>
              </w:rPr>
              <w:t>Prioritisation –</w:t>
            </w:r>
            <w:r w:rsidRPr="00042DB0">
              <w:rPr>
                <w:rFonts w:cstheme="minorHAnsi"/>
                <w:szCs w:val="24"/>
              </w:rPr>
              <w:t xml:space="preserve"> </w:t>
            </w:r>
            <w:r w:rsidR="002E4B11">
              <w:rPr>
                <w:rFonts w:cstheme="minorHAnsi"/>
                <w:szCs w:val="24"/>
              </w:rPr>
              <w:t xml:space="preserve">(Open) </w:t>
            </w:r>
            <w:r>
              <w:rPr>
                <w:rFonts w:cstheme="minorHAnsi"/>
                <w:szCs w:val="24"/>
              </w:rPr>
              <w:t xml:space="preserve">temporary </w:t>
            </w:r>
            <w:r w:rsidR="009E544C" w:rsidRPr="00042DB0">
              <w:rPr>
                <w:rFonts w:cstheme="minorHAnsi"/>
                <w:szCs w:val="24"/>
              </w:rPr>
              <w:t>c</w:t>
            </w:r>
            <w:r>
              <w:rPr>
                <w:rFonts w:cstheme="minorHAnsi"/>
                <w:szCs w:val="24"/>
              </w:rPr>
              <w:t xml:space="preserve">ollaborative working internally on major projects such as M365 or lead partner opportunities </w:t>
            </w:r>
            <w:r w:rsidR="009E544C" w:rsidRPr="00042DB0">
              <w:rPr>
                <w:rFonts w:cstheme="minorHAnsi"/>
                <w:szCs w:val="24"/>
              </w:rPr>
              <w:t>externally such as G</w:t>
            </w:r>
            <w:r w:rsidRPr="00042DB0">
              <w:rPr>
                <w:rFonts w:cstheme="minorHAnsi"/>
                <w:szCs w:val="24"/>
              </w:rPr>
              <w:t xml:space="preserve">reen </w:t>
            </w:r>
            <w:r w:rsidR="009E544C" w:rsidRPr="00042DB0">
              <w:rPr>
                <w:rFonts w:cstheme="minorHAnsi"/>
                <w:szCs w:val="24"/>
              </w:rPr>
              <w:t>I</w:t>
            </w:r>
            <w:r w:rsidRPr="00042DB0">
              <w:rPr>
                <w:rFonts w:cstheme="minorHAnsi"/>
                <w:szCs w:val="24"/>
              </w:rPr>
              <w:t>nfrastructure</w:t>
            </w:r>
            <w:r w:rsidR="009E544C" w:rsidRPr="00042DB0">
              <w:rPr>
                <w:rFonts w:cstheme="minorHAnsi"/>
                <w:szCs w:val="24"/>
              </w:rPr>
              <w:t xml:space="preserve"> which </w:t>
            </w:r>
            <w:r>
              <w:rPr>
                <w:rFonts w:cstheme="minorHAnsi"/>
                <w:szCs w:val="24"/>
              </w:rPr>
              <w:t>im</w:t>
            </w:r>
            <w:r w:rsidR="00EB179F">
              <w:rPr>
                <w:rFonts w:cstheme="minorHAnsi"/>
                <w:szCs w:val="24"/>
              </w:rPr>
              <w:t>prove our ability to deliver our</w:t>
            </w:r>
            <w:r>
              <w:rPr>
                <w:rFonts w:cstheme="minorHAnsi"/>
                <w:szCs w:val="24"/>
              </w:rPr>
              <w:t xml:space="preserve"> objectives but </w:t>
            </w:r>
            <w:r w:rsidR="009E544C" w:rsidRPr="00042DB0">
              <w:rPr>
                <w:rFonts w:cstheme="minorHAnsi"/>
                <w:szCs w:val="24"/>
              </w:rPr>
              <w:t xml:space="preserve">may impact on available funding/resources for other projects.  </w:t>
            </w:r>
          </w:p>
        </w:tc>
      </w:tr>
      <w:tr w:rsidR="009E544C" w14:paraId="6FF43411" w14:textId="77777777" w:rsidTr="00AA6D98">
        <w:tc>
          <w:tcPr>
            <w:tcW w:w="1842" w:type="dxa"/>
            <w:vAlign w:val="center"/>
          </w:tcPr>
          <w:p w14:paraId="2BB90A99" w14:textId="77777777" w:rsidR="009E544C" w:rsidRPr="009E544C" w:rsidRDefault="009E544C" w:rsidP="00AA6D98">
            <w:pPr>
              <w:rPr>
                <w:rFonts w:ascii="Calibri" w:hAnsi="Calibri" w:cs="Calibri"/>
                <w:szCs w:val="24"/>
              </w:rPr>
            </w:pPr>
            <w:r w:rsidRPr="009E544C">
              <w:rPr>
                <w:rFonts w:ascii="Calibri" w:hAnsi="Calibri" w:cs="Calibri"/>
                <w:szCs w:val="24"/>
              </w:rPr>
              <w:t>Resources</w:t>
            </w:r>
          </w:p>
        </w:tc>
        <w:tc>
          <w:tcPr>
            <w:tcW w:w="7655" w:type="dxa"/>
          </w:tcPr>
          <w:p w14:paraId="649A2674" w14:textId="2EA49E2D" w:rsidR="002E4B11" w:rsidRPr="00042DB0" w:rsidRDefault="002E4B11" w:rsidP="00AA6D98">
            <w:pPr>
              <w:rPr>
                <w:rFonts w:cstheme="minorHAnsi"/>
                <w:szCs w:val="24"/>
              </w:rPr>
            </w:pPr>
            <w:r>
              <w:rPr>
                <w:rFonts w:cstheme="minorHAnsi"/>
                <w:szCs w:val="24"/>
              </w:rPr>
              <w:t>Leading externally funded projects - (Cautious) no willingness to lead where there is a risk of disallowance which would reduce the impact we have on maximising shared resources to deliver nature based solutions and may reduce offers for external investment in the future.</w:t>
            </w:r>
          </w:p>
          <w:p w14:paraId="2A71CDEF" w14:textId="77777777" w:rsidR="002E4B11" w:rsidRDefault="009E544C" w:rsidP="00AA6D98">
            <w:pPr>
              <w:rPr>
                <w:rFonts w:cstheme="minorHAnsi"/>
                <w:szCs w:val="24"/>
              </w:rPr>
            </w:pPr>
            <w:r w:rsidRPr="00042DB0">
              <w:rPr>
                <w:rFonts w:cstheme="minorHAnsi"/>
                <w:szCs w:val="24"/>
              </w:rPr>
              <w:t>Reprioritisation</w:t>
            </w:r>
            <w:r w:rsidR="00042DB0" w:rsidRPr="00042DB0">
              <w:rPr>
                <w:rFonts w:cstheme="minorHAnsi"/>
                <w:szCs w:val="24"/>
              </w:rPr>
              <w:t xml:space="preserve"> – </w:t>
            </w:r>
            <w:r w:rsidR="002E4B11">
              <w:rPr>
                <w:rFonts w:cstheme="minorHAnsi"/>
                <w:szCs w:val="24"/>
              </w:rPr>
              <w:t xml:space="preserve">(Open) </w:t>
            </w:r>
            <w:r w:rsidR="00042DB0" w:rsidRPr="00042DB0">
              <w:rPr>
                <w:rFonts w:cstheme="minorHAnsi"/>
                <w:szCs w:val="24"/>
              </w:rPr>
              <w:t>focusing on all benefits rather than money which will ensure we are funding the areas of work best suited to deliver our objectives but may cause affordability issues</w:t>
            </w:r>
            <w:r w:rsidR="00EB179F">
              <w:rPr>
                <w:rFonts w:cstheme="minorHAnsi"/>
                <w:szCs w:val="24"/>
              </w:rPr>
              <w:t xml:space="preserve"> and opposition from stakeholders</w:t>
            </w:r>
            <w:r w:rsidRPr="00042DB0">
              <w:rPr>
                <w:rFonts w:cstheme="minorHAnsi"/>
                <w:szCs w:val="24"/>
              </w:rPr>
              <w:t xml:space="preserve">. </w:t>
            </w:r>
          </w:p>
          <w:p w14:paraId="2CC72C1E" w14:textId="49F99C52" w:rsidR="009E544C" w:rsidRPr="009E544C" w:rsidRDefault="00042DB0" w:rsidP="00AA6D98">
            <w:pPr>
              <w:rPr>
                <w:rFonts w:cstheme="minorHAnsi"/>
                <w:szCs w:val="24"/>
                <w:highlight w:val="yellow"/>
              </w:rPr>
            </w:pPr>
            <w:r w:rsidRPr="00042DB0">
              <w:rPr>
                <w:rFonts w:cstheme="minorHAnsi"/>
                <w:szCs w:val="24"/>
              </w:rPr>
              <w:t xml:space="preserve">Additional Finance </w:t>
            </w:r>
            <w:r w:rsidR="002E4B11">
              <w:rPr>
                <w:rFonts w:cstheme="minorHAnsi"/>
                <w:szCs w:val="24"/>
              </w:rPr>
              <w:t>–</w:t>
            </w:r>
            <w:r w:rsidRPr="00042DB0">
              <w:rPr>
                <w:rFonts w:cstheme="minorHAnsi"/>
                <w:szCs w:val="24"/>
              </w:rPr>
              <w:t xml:space="preserve"> </w:t>
            </w:r>
            <w:r w:rsidR="002E4B11">
              <w:rPr>
                <w:rFonts w:cstheme="minorHAnsi"/>
                <w:szCs w:val="24"/>
              </w:rPr>
              <w:t xml:space="preserve">(Open) </w:t>
            </w:r>
            <w:r w:rsidRPr="00042DB0">
              <w:rPr>
                <w:rFonts w:cstheme="minorHAnsi"/>
                <w:szCs w:val="24"/>
              </w:rPr>
              <w:t xml:space="preserve">generating private finance such as </w:t>
            </w:r>
            <w:r w:rsidR="00EB179F">
              <w:rPr>
                <w:rFonts w:cstheme="minorHAnsi"/>
                <w:szCs w:val="24"/>
              </w:rPr>
              <w:t xml:space="preserve">the </w:t>
            </w:r>
            <w:r w:rsidRPr="00042DB0">
              <w:rPr>
                <w:rFonts w:cstheme="minorHAnsi"/>
                <w:szCs w:val="24"/>
              </w:rPr>
              <w:t xml:space="preserve">Scottish </w:t>
            </w:r>
            <w:r w:rsidR="009E544C" w:rsidRPr="00042DB0">
              <w:rPr>
                <w:rFonts w:cstheme="minorHAnsi"/>
                <w:szCs w:val="24"/>
              </w:rPr>
              <w:t>M</w:t>
            </w:r>
            <w:r w:rsidRPr="00042DB0">
              <w:rPr>
                <w:rFonts w:cstheme="minorHAnsi"/>
                <w:szCs w:val="24"/>
              </w:rPr>
              <w:t xml:space="preserve">arine </w:t>
            </w:r>
            <w:r w:rsidR="009E544C" w:rsidRPr="00042DB0">
              <w:rPr>
                <w:rFonts w:cstheme="minorHAnsi"/>
                <w:szCs w:val="24"/>
              </w:rPr>
              <w:t>E</w:t>
            </w:r>
            <w:r w:rsidRPr="00042DB0">
              <w:rPr>
                <w:rFonts w:cstheme="minorHAnsi"/>
                <w:szCs w:val="24"/>
              </w:rPr>
              <w:t xml:space="preserve">nvironmental </w:t>
            </w:r>
            <w:r w:rsidR="009E544C" w:rsidRPr="00042DB0">
              <w:rPr>
                <w:rFonts w:cstheme="minorHAnsi"/>
                <w:szCs w:val="24"/>
              </w:rPr>
              <w:t>E</w:t>
            </w:r>
            <w:r w:rsidRPr="00042DB0">
              <w:rPr>
                <w:rFonts w:cstheme="minorHAnsi"/>
                <w:szCs w:val="24"/>
              </w:rPr>
              <w:t xml:space="preserve">nhancement </w:t>
            </w:r>
            <w:r w:rsidR="009E544C" w:rsidRPr="00042DB0">
              <w:rPr>
                <w:rFonts w:cstheme="minorHAnsi"/>
                <w:szCs w:val="24"/>
              </w:rPr>
              <w:t>F</w:t>
            </w:r>
            <w:r w:rsidRPr="00042DB0">
              <w:rPr>
                <w:rFonts w:cstheme="minorHAnsi"/>
                <w:szCs w:val="24"/>
              </w:rPr>
              <w:t>und</w:t>
            </w:r>
            <w:r w:rsidR="009E544C" w:rsidRPr="00042DB0">
              <w:rPr>
                <w:rFonts w:cstheme="minorHAnsi"/>
                <w:szCs w:val="24"/>
              </w:rPr>
              <w:t xml:space="preserve"> </w:t>
            </w:r>
            <w:r w:rsidR="00EB179F">
              <w:rPr>
                <w:rFonts w:cstheme="minorHAnsi"/>
                <w:szCs w:val="24"/>
              </w:rPr>
              <w:t xml:space="preserve">(SMEEF) </w:t>
            </w:r>
            <w:r w:rsidR="009E544C" w:rsidRPr="00042DB0">
              <w:rPr>
                <w:rFonts w:cstheme="minorHAnsi"/>
                <w:szCs w:val="24"/>
              </w:rPr>
              <w:t>which is a new opportunity but could lead to a reduction in grant in aid through the generation of a new income streams.</w:t>
            </w:r>
          </w:p>
        </w:tc>
      </w:tr>
      <w:tr w:rsidR="009E544C" w14:paraId="15A38EE7" w14:textId="77777777" w:rsidTr="00AA6D98">
        <w:tc>
          <w:tcPr>
            <w:tcW w:w="1842" w:type="dxa"/>
            <w:vAlign w:val="center"/>
          </w:tcPr>
          <w:p w14:paraId="067E60B9" w14:textId="77777777" w:rsidR="009E544C" w:rsidRPr="009E544C" w:rsidRDefault="009E544C" w:rsidP="00AA6D98">
            <w:pPr>
              <w:rPr>
                <w:rFonts w:ascii="Calibri" w:hAnsi="Calibri" w:cs="Calibri"/>
                <w:szCs w:val="24"/>
              </w:rPr>
            </w:pPr>
            <w:r w:rsidRPr="009E544C">
              <w:rPr>
                <w:rFonts w:ascii="Calibri" w:hAnsi="Calibri" w:cs="Calibri"/>
                <w:szCs w:val="24"/>
              </w:rPr>
              <w:t>Reputational</w:t>
            </w:r>
          </w:p>
        </w:tc>
        <w:tc>
          <w:tcPr>
            <w:tcW w:w="7655" w:type="dxa"/>
          </w:tcPr>
          <w:p w14:paraId="0C33E38D" w14:textId="29CA16B9" w:rsidR="002E4B11" w:rsidRDefault="00042DB0" w:rsidP="00AA6D98">
            <w:pPr>
              <w:rPr>
                <w:rFonts w:cstheme="minorHAnsi"/>
                <w:szCs w:val="24"/>
              </w:rPr>
            </w:pPr>
            <w:r w:rsidRPr="00042DB0">
              <w:rPr>
                <w:rFonts w:cstheme="minorHAnsi"/>
                <w:szCs w:val="24"/>
              </w:rPr>
              <w:t xml:space="preserve">Licencing – </w:t>
            </w:r>
            <w:r w:rsidR="002E4B11">
              <w:rPr>
                <w:rFonts w:cstheme="minorHAnsi"/>
                <w:szCs w:val="24"/>
              </w:rPr>
              <w:t>(Cautious) Fully staffed administrative team to ensure no backlog whilst increasing compliance monitoring to ensure there is not negative impact on nature or our reputation.</w:t>
            </w:r>
          </w:p>
          <w:p w14:paraId="7DFAB2A0" w14:textId="1C685E6E" w:rsidR="00042DB0" w:rsidRPr="002E4B11" w:rsidRDefault="002E4B11" w:rsidP="00AA6D98">
            <w:pPr>
              <w:rPr>
                <w:rFonts w:cstheme="minorHAnsi"/>
                <w:szCs w:val="24"/>
              </w:rPr>
            </w:pPr>
            <w:r>
              <w:rPr>
                <w:rFonts w:cstheme="minorHAnsi"/>
                <w:szCs w:val="24"/>
              </w:rPr>
              <w:t>Licensing – (Open) A</w:t>
            </w:r>
            <w:r w:rsidR="00042DB0" w:rsidRPr="00042DB0">
              <w:rPr>
                <w:rFonts w:cstheme="minorHAnsi"/>
                <w:szCs w:val="24"/>
              </w:rPr>
              <w:t>dministering a function</w:t>
            </w:r>
            <w:r>
              <w:rPr>
                <w:rFonts w:cstheme="minorHAnsi"/>
                <w:szCs w:val="24"/>
              </w:rPr>
              <w:t>, seeking support through peak times to reduce backlog</w:t>
            </w:r>
            <w:r w:rsidR="00042DB0" w:rsidRPr="00042DB0">
              <w:rPr>
                <w:rFonts w:cstheme="minorHAnsi"/>
                <w:szCs w:val="24"/>
              </w:rPr>
              <w:t xml:space="preserve"> </w:t>
            </w:r>
            <w:r>
              <w:rPr>
                <w:rFonts w:cstheme="minorHAnsi"/>
                <w:szCs w:val="24"/>
              </w:rPr>
              <w:t>with compliance monitoring at lower levels unless evidence of higher monitoring needs occur which could result</w:t>
            </w:r>
            <w:r w:rsidR="00042DB0" w:rsidRPr="00042DB0">
              <w:rPr>
                <w:rFonts w:cstheme="minorHAnsi"/>
                <w:szCs w:val="24"/>
              </w:rPr>
              <w:t xml:space="preserve"> in customer dissatisfaction and </w:t>
            </w:r>
            <w:r>
              <w:rPr>
                <w:rFonts w:cstheme="minorHAnsi"/>
                <w:szCs w:val="24"/>
              </w:rPr>
              <w:t>increased non-</w:t>
            </w:r>
            <w:r w:rsidR="00042DB0" w:rsidRPr="00042DB0">
              <w:rPr>
                <w:rFonts w:cstheme="minorHAnsi"/>
                <w:szCs w:val="24"/>
              </w:rPr>
              <w:t>compliance.</w:t>
            </w:r>
          </w:p>
        </w:tc>
      </w:tr>
    </w:tbl>
    <w:p w14:paraId="2FA729F8" w14:textId="2E6A1F98" w:rsidR="00BF6703" w:rsidRPr="00BF6703" w:rsidRDefault="00BF6703" w:rsidP="00AA6D98">
      <w:pPr>
        <w:spacing w:after="0" w:line="240" w:lineRule="auto"/>
        <w:rPr>
          <w:rFonts w:cstheme="minorHAnsi"/>
          <w:szCs w:val="24"/>
        </w:rPr>
      </w:pPr>
    </w:p>
    <w:p w14:paraId="5226F7F2" w14:textId="2B0511AB" w:rsidR="00BF6703" w:rsidRPr="00BF6703" w:rsidRDefault="00BF6703" w:rsidP="00AA6D98">
      <w:pPr>
        <w:spacing w:after="0" w:line="240" w:lineRule="auto"/>
        <w:rPr>
          <w:rFonts w:cstheme="minorHAnsi"/>
          <w:b/>
          <w:szCs w:val="24"/>
        </w:rPr>
      </w:pPr>
      <w:r w:rsidRPr="00BF6703">
        <w:rPr>
          <w:rFonts w:cstheme="minorHAnsi"/>
          <w:b/>
          <w:szCs w:val="24"/>
        </w:rPr>
        <w:t>Recommendations</w:t>
      </w:r>
    </w:p>
    <w:p w14:paraId="3C02DEE6" w14:textId="77777777" w:rsidR="00BF6703" w:rsidRPr="00BF6703" w:rsidRDefault="00BF6703" w:rsidP="00AA6D98">
      <w:pPr>
        <w:numPr>
          <w:ilvl w:val="0"/>
          <w:numId w:val="18"/>
        </w:numPr>
        <w:spacing w:after="0" w:line="240" w:lineRule="auto"/>
        <w:rPr>
          <w:rFonts w:cstheme="minorHAnsi"/>
          <w:szCs w:val="24"/>
        </w:rPr>
      </w:pPr>
      <w:r>
        <w:rPr>
          <w:rFonts w:cstheme="minorHAnsi"/>
          <w:szCs w:val="24"/>
        </w:rPr>
        <w:t>Board</w:t>
      </w:r>
      <w:r w:rsidRPr="00BF6703">
        <w:rPr>
          <w:rFonts w:cstheme="minorHAnsi"/>
          <w:szCs w:val="24"/>
        </w:rPr>
        <w:t xml:space="preserve"> are asked to:</w:t>
      </w:r>
    </w:p>
    <w:p w14:paraId="552DEB2E" w14:textId="77777777" w:rsidR="00042DB0" w:rsidRPr="00042DB0" w:rsidRDefault="00EB179F" w:rsidP="00AA6D98">
      <w:pPr>
        <w:pStyle w:val="ListParagraph"/>
        <w:numPr>
          <w:ilvl w:val="0"/>
          <w:numId w:val="20"/>
        </w:numPr>
        <w:spacing w:after="0" w:line="240" w:lineRule="auto"/>
        <w:rPr>
          <w:rFonts w:cstheme="minorHAnsi"/>
          <w:b/>
          <w:szCs w:val="24"/>
        </w:rPr>
      </w:pPr>
      <w:bookmarkStart w:id="0" w:name="_Annex_A_-"/>
      <w:bookmarkEnd w:id="0"/>
      <w:r>
        <w:rPr>
          <w:rFonts w:cstheme="minorHAnsi"/>
          <w:b/>
          <w:szCs w:val="24"/>
        </w:rPr>
        <w:t xml:space="preserve">Consider a new manageable range towards </w:t>
      </w:r>
      <w:r w:rsidR="00042DB0" w:rsidRPr="00042DB0">
        <w:rPr>
          <w:rFonts w:cstheme="minorHAnsi"/>
          <w:b/>
          <w:szCs w:val="24"/>
        </w:rPr>
        <w:t>‘hungry’ for t</w:t>
      </w:r>
      <w:r w:rsidR="00042DB0">
        <w:rPr>
          <w:rFonts w:cstheme="minorHAnsi"/>
          <w:b/>
          <w:szCs w:val="24"/>
        </w:rPr>
        <w:t xml:space="preserve">he Nature category </w:t>
      </w:r>
    </w:p>
    <w:p w14:paraId="5DA42471" w14:textId="77777777" w:rsidR="00042DB0" w:rsidRPr="00042DB0" w:rsidRDefault="00042DB0" w:rsidP="00AA6D98">
      <w:pPr>
        <w:pStyle w:val="ListParagraph"/>
        <w:numPr>
          <w:ilvl w:val="0"/>
          <w:numId w:val="20"/>
        </w:numPr>
        <w:rPr>
          <w:b/>
          <w:szCs w:val="24"/>
        </w:rPr>
      </w:pPr>
      <w:r>
        <w:rPr>
          <w:b/>
          <w:szCs w:val="24"/>
        </w:rPr>
        <w:t xml:space="preserve">Confirm the new risk appetite </w:t>
      </w:r>
    </w:p>
    <w:p w14:paraId="7D16EFFE" w14:textId="77777777" w:rsidR="00BF6703" w:rsidRDefault="00BF6703" w:rsidP="00AA6D98">
      <w:pPr>
        <w:pStyle w:val="ListParagraph"/>
        <w:numPr>
          <w:ilvl w:val="0"/>
          <w:numId w:val="20"/>
        </w:numPr>
        <w:spacing w:after="0" w:line="240" w:lineRule="auto"/>
        <w:rPr>
          <w:b/>
          <w:szCs w:val="24"/>
        </w:rPr>
      </w:pPr>
      <w:r>
        <w:rPr>
          <w:b/>
          <w:szCs w:val="24"/>
        </w:rPr>
        <w:t xml:space="preserve">Confirm the category risk statements </w:t>
      </w:r>
    </w:p>
    <w:p w14:paraId="7401E785" w14:textId="38DF883F" w:rsidR="00BF6703" w:rsidRPr="00BF6703" w:rsidRDefault="00BF6703" w:rsidP="00AA6D98">
      <w:pPr>
        <w:numPr>
          <w:ilvl w:val="0"/>
          <w:numId w:val="20"/>
        </w:numPr>
        <w:spacing w:after="0" w:line="240" w:lineRule="auto"/>
        <w:rPr>
          <w:rFonts w:cstheme="minorHAnsi"/>
          <w:b/>
          <w:szCs w:val="24"/>
        </w:rPr>
      </w:pPr>
      <w:r w:rsidRPr="00BF6703">
        <w:rPr>
          <w:rFonts w:cstheme="minorHAnsi"/>
          <w:szCs w:val="24"/>
        </w:rPr>
        <w:br w:type="page"/>
      </w:r>
    </w:p>
    <w:p w14:paraId="081BCA16" w14:textId="77777777" w:rsidR="00BF6703" w:rsidRPr="00BF6703" w:rsidRDefault="00BF6703" w:rsidP="00BF6703">
      <w:pPr>
        <w:spacing w:after="0" w:line="240" w:lineRule="auto"/>
        <w:jc w:val="both"/>
        <w:rPr>
          <w:rFonts w:cstheme="minorHAnsi"/>
          <w:b/>
          <w:szCs w:val="24"/>
        </w:rPr>
        <w:sectPr w:rsidR="00BF6703" w:rsidRPr="00BF6703" w:rsidSect="00663EAC">
          <w:headerReference w:type="default" r:id="rId10"/>
          <w:footerReference w:type="default" r:id="rId11"/>
          <w:pgSz w:w="11906" w:h="16838"/>
          <w:pgMar w:top="709" w:right="1440" w:bottom="1440" w:left="709" w:header="709" w:footer="709" w:gutter="0"/>
          <w:cols w:space="708"/>
          <w:docGrid w:linePitch="360"/>
        </w:sectPr>
      </w:pPr>
    </w:p>
    <w:p w14:paraId="2D246FB5" w14:textId="77777777" w:rsidR="00BF6703" w:rsidRPr="005B6738" w:rsidRDefault="00BF6703" w:rsidP="00BF6703">
      <w:pPr>
        <w:pStyle w:val="Heading2"/>
        <w:rPr>
          <w:rFonts w:ascii="Calibri" w:hAnsi="Calibri" w:cs="Calibri"/>
        </w:rPr>
      </w:pPr>
      <w:bookmarkStart w:id="1" w:name="_Annex_B_–"/>
      <w:bookmarkEnd w:id="1"/>
      <w:r>
        <w:rPr>
          <w:rFonts w:ascii="Calibri" w:hAnsi="Calibri" w:cs="Calibri"/>
        </w:rPr>
        <w:lastRenderedPageBreak/>
        <w:t>Annex A</w:t>
      </w:r>
      <w:r w:rsidRPr="005B6738">
        <w:rPr>
          <w:rFonts w:ascii="Calibri" w:hAnsi="Calibri" w:cs="Calibri"/>
        </w:rPr>
        <w:t xml:space="preserve"> – NatureScot Risk Appetite Table and description of each level of Risk Appetite</w:t>
      </w:r>
      <w:bookmarkStart w:id="2" w:name="_GoBack"/>
      <w:bookmarkEnd w:id="2"/>
    </w:p>
    <w:p w14:paraId="69DE31B1" w14:textId="77777777" w:rsidR="00BF6703" w:rsidRDefault="00BF6703" w:rsidP="00BF6703">
      <w:pPr>
        <w:spacing w:after="0"/>
        <w:rPr>
          <w:rFonts w:ascii="Calibri" w:hAnsi="Calibri" w:cs="Calibri"/>
          <w:b/>
          <w:szCs w:val="24"/>
        </w:rPr>
      </w:pPr>
    </w:p>
    <w:tbl>
      <w:tblPr>
        <w:tblStyle w:val="TableGrid2"/>
        <w:tblW w:w="14735" w:type="dxa"/>
        <w:tblLayout w:type="fixed"/>
        <w:tblLook w:val="04A0" w:firstRow="1" w:lastRow="0" w:firstColumn="1" w:lastColumn="0" w:noHBand="0" w:noVBand="1"/>
        <w:tblCaption w:val="Risk Appetite Table"/>
        <w:tblDescription w:val="Covers the catergories, Compliance, Operational, Reputational and Resources.  Then considers the risk appetite, minimal, cautious, open and hungry and identifies a managable range for each"/>
      </w:tblPr>
      <w:tblGrid>
        <w:gridCol w:w="1985"/>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BF6703" w:rsidRPr="001268FD" w14:paraId="71A28BA3" w14:textId="77777777" w:rsidTr="0037440F">
        <w:trPr>
          <w:tblHeader/>
        </w:trPr>
        <w:tc>
          <w:tcPr>
            <w:tcW w:w="1985" w:type="dxa"/>
          </w:tcPr>
          <w:p w14:paraId="0C254352" w14:textId="77777777" w:rsidR="00BF6703" w:rsidRPr="001268FD" w:rsidRDefault="00BF6703" w:rsidP="0037440F">
            <w:pPr>
              <w:rPr>
                <w:rFonts w:cs="Arial"/>
                <w:b/>
                <w:sz w:val="22"/>
                <w:szCs w:val="24"/>
              </w:rPr>
            </w:pPr>
          </w:p>
        </w:tc>
        <w:tc>
          <w:tcPr>
            <w:tcW w:w="2040" w:type="dxa"/>
            <w:gridSpan w:val="4"/>
            <w:tcBorders>
              <w:bottom w:val="single" w:sz="4" w:space="0" w:color="auto"/>
            </w:tcBorders>
            <w:shd w:val="clear" w:color="auto" w:fill="00B050"/>
          </w:tcPr>
          <w:p w14:paraId="0C946979" w14:textId="77777777" w:rsidR="00BF6703" w:rsidRPr="001268FD" w:rsidRDefault="00BF6703" w:rsidP="0037440F">
            <w:pPr>
              <w:jc w:val="center"/>
              <w:rPr>
                <w:rFonts w:cs="Arial"/>
                <w:b/>
                <w:sz w:val="22"/>
                <w:szCs w:val="24"/>
              </w:rPr>
            </w:pPr>
            <w:r w:rsidRPr="001268FD">
              <w:rPr>
                <w:rFonts w:cs="Arial"/>
                <w:b/>
                <w:sz w:val="22"/>
                <w:szCs w:val="24"/>
              </w:rPr>
              <w:t>Minimal</w:t>
            </w:r>
          </w:p>
        </w:tc>
        <w:tc>
          <w:tcPr>
            <w:tcW w:w="4590" w:type="dxa"/>
            <w:gridSpan w:val="9"/>
            <w:shd w:val="clear" w:color="auto" w:fill="FFFF00"/>
          </w:tcPr>
          <w:p w14:paraId="349F01C7" w14:textId="77777777" w:rsidR="00BF6703" w:rsidRPr="001268FD" w:rsidRDefault="00BF6703" w:rsidP="0037440F">
            <w:pPr>
              <w:jc w:val="center"/>
              <w:rPr>
                <w:rFonts w:cs="Arial"/>
                <w:b/>
                <w:sz w:val="22"/>
                <w:szCs w:val="24"/>
              </w:rPr>
            </w:pPr>
            <w:r w:rsidRPr="001268FD">
              <w:rPr>
                <w:rFonts w:cs="Arial"/>
                <w:b/>
                <w:sz w:val="22"/>
                <w:szCs w:val="24"/>
              </w:rPr>
              <w:t>Cautious</w:t>
            </w:r>
          </w:p>
        </w:tc>
        <w:tc>
          <w:tcPr>
            <w:tcW w:w="4080" w:type="dxa"/>
            <w:gridSpan w:val="8"/>
            <w:shd w:val="clear" w:color="auto" w:fill="FFC000"/>
          </w:tcPr>
          <w:p w14:paraId="5313F952" w14:textId="77777777" w:rsidR="00BF6703" w:rsidRPr="001268FD" w:rsidRDefault="00BF6703" w:rsidP="0037440F">
            <w:pPr>
              <w:jc w:val="center"/>
              <w:rPr>
                <w:rFonts w:cs="Arial"/>
                <w:b/>
                <w:sz w:val="22"/>
                <w:szCs w:val="24"/>
              </w:rPr>
            </w:pPr>
            <w:r w:rsidRPr="001268FD">
              <w:rPr>
                <w:rFonts w:cs="Arial"/>
                <w:b/>
                <w:sz w:val="22"/>
                <w:szCs w:val="24"/>
              </w:rPr>
              <w:t>Open</w:t>
            </w:r>
          </w:p>
        </w:tc>
        <w:tc>
          <w:tcPr>
            <w:tcW w:w="2040" w:type="dxa"/>
            <w:gridSpan w:val="4"/>
            <w:shd w:val="clear" w:color="auto" w:fill="FF0000"/>
          </w:tcPr>
          <w:p w14:paraId="4050AA50" w14:textId="77777777" w:rsidR="00BF6703" w:rsidRPr="001268FD" w:rsidRDefault="00BF6703" w:rsidP="0037440F">
            <w:pPr>
              <w:jc w:val="center"/>
              <w:rPr>
                <w:rFonts w:cs="Arial"/>
                <w:b/>
                <w:sz w:val="22"/>
                <w:szCs w:val="24"/>
              </w:rPr>
            </w:pPr>
            <w:r w:rsidRPr="001268FD">
              <w:rPr>
                <w:rFonts w:cs="Arial"/>
                <w:b/>
                <w:sz w:val="22"/>
                <w:szCs w:val="24"/>
              </w:rPr>
              <w:t>Hungry</w:t>
            </w:r>
          </w:p>
        </w:tc>
      </w:tr>
      <w:tr w:rsidR="00BF6703" w:rsidRPr="001268FD" w14:paraId="7CCC3F0D" w14:textId="77777777" w:rsidTr="0037440F">
        <w:trPr>
          <w:trHeight w:hRule="exact" w:val="454"/>
        </w:trPr>
        <w:tc>
          <w:tcPr>
            <w:tcW w:w="1985" w:type="dxa"/>
          </w:tcPr>
          <w:p w14:paraId="03D3DE7C" w14:textId="77777777" w:rsidR="00BF6703" w:rsidRPr="001268FD" w:rsidRDefault="00BF6703" w:rsidP="0037440F">
            <w:pPr>
              <w:rPr>
                <w:rFonts w:cs="Arial"/>
                <w:b/>
              </w:rPr>
            </w:pPr>
          </w:p>
        </w:tc>
        <w:tc>
          <w:tcPr>
            <w:tcW w:w="510" w:type="dxa"/>
            <w:shd w:val="clear" w:color="auto" w:fill="00B050"/>
            <w:vAlign w:val="center"/>
          </w:tcPr>
          <w:p w14:paraId="720AEEAB" w14:textId="77777777" w:rsidR="00BF6703" w:rsidRPr="001268FD" w:rsidRDefault="00BF6703" w:rsidP="0037440F">
            <w:pPr>
              <w:jc w:val="center"/>
              <w:rPr>
                <w:rFonts w:cs="Arial"/>
                <w:b/>
                <w:sz w:val="22"/>
              </w:rPr>
            </w:pPr>
            <w:r w:rsidRPr="001268FD">
              <w:rPr>
                <w:rFonts w:cs="Arial"/>
                <w:b/>
                <w:sz w:val="22"/>
              </w:rPr>
              <w:t>1</w:t>
            </w:r>
          </w:p>
        </w:tc>
        <w:tc>
          <w:tcPr>
            <w:tcW w:w="510" w:type="dxa"/>
            <w:shd w:val="clear" w:color="auto" w:fill="00B050"/>
            <w:vAlign w:val="center"/>
          </w:tcPr>
          <w:p w14:paraId="28731C18" w14:textId="77777777" w:rsidR="00BF6703" w:rsidRPr="001268FD" w:rsidRDefault="00BF6703" w:rsidP="0037440F">
            <w:pPr>
              <w:jc w:val="center"/>
              <w:rPr>
                <w:rFonts w:cs="Arial"/>
                <w:b/>
                <w:sz w:val="22"/>
              </w:rPr>
            </w:pPr>
            <w:r w:rsidRPr="001268FD">
              <w:rPr>
                <w:rFonts w:cs="Arial"/>
                <w:b/>
                <w:sz w:val="22"/>
              </w:rPr>
              <w:t>2</w:t>
            </w:r>
          </w:p>
        </w:tc>
        <w:tc>
          <w:tcPr>
            <w:tcW w:w="510" w:type="dxa"/>
            <w:shd w:val="clear" w:color="auto" w:fill="00B050"/>
            <w:vAlign w:val="center"/>
          </w:tcPr>
          <w:p w14:paraId="630995DD" w14:textId="77777777" w:rsidR="00BF6703" w:rsidRPr="001268FD" w:rsidRDefault="00BF6703" w:rsidP="0037440F">
            <w:pPr>
              <w:jc w:val="center"/>
              <w:rPr>
                <w:rFonts w:cs="Arial"/>
                <w:b/>
                <w:sz w:val="22"/>
              </w:rPr>
            </w:pPr>
            <w:r w:rsidRPr="001268FD">
              <w:rPr>
                <w:rFonts w:cs="Arial"/>
                <w:b/>
                <w:sz w:val="22"/>
              </w:rPr>
              <w:t>3</w:t>
            </w:r>
          </w:p>
        </w:tc>
        <w:tc>
          <w:tcPr>
            <w:tcW w:w="510" w:type="dxa"/>
            <w:shd w:val="clear" w:color="auto" w:fill="00B050"/>
            <w:vAlign w:val="center"/>
          </w:tcPr>
          <w:p w14:paraId="01C734A1" w14:textId="77777777" w:rsidR="00BF6703" w:rsidRPr="001268FD" w:rsidRDefault="00BF6703" w:rsidP="0037440F">
            <w:pPr>
              <w:jc w:val="center"/>
              <w:rPr>
                <w:rFonts w:cs="Arial"/>
                <w:b/>
                <w:sz w:val="22"/>
              </w:rPr>
            </w:pPr>
            <w:r w:rsidRPr="001268FD">
              <w:rPr>
                <w:rFonts w:cs="Arial"/>
                <w:b/>
                <w:sz w:val="22"/>
              </w:rPr>
              <w:t>4</w:t>
            </w:r>
          </w:p>
        </w:tc>
        <w:tc>
          <w:tcPr>
            <w:tcW w:w="510" w:type="dxa"/>
            <w:shd w:val="clear" w:color="auto" w:fill="FFFF00"/>
            <w:vAlign w:val="center"/>
          </w:tcPr>
          <w:p w14:paraId="523AA2D5" w14:textId="77777777" w:rsidR="00BF6703" w:rsidRPr="001268FD" w:rsidRDefault="00BF6703" w:rsidP="0037440F">
            <w:pPr>
              <w:jc w:val="center"/>
              <w:rPr>
                <w:rFonts w:cs="Arial"/>
                <w:b/>
                <w:sz w:val="22"/>
              </w:rPr>
            </w:pPr>
            <w:r w:rsidRPr="001268FD">
              <w:rPr>
                <w:rFonts w:cs="Arial"/>
                <w:b/>
                <w:sz w:val="22"/>
              </w:rPr>
              <w:t>5</w:t>
            </w:r>
          </w:p>
        </w:tc>
        <w:tc>
          <w:tcPr>
            <w:tcW w:w="510" w:type="dxa"/>
            <w:shd w:val="clear" w:color="auto" w:fill="FFFF00"/>
            <w:vAlign w:val="center"/>
          </w:tcPr>
          <w:p w14:paraId="2E85B4E0" w14:textId="77777777" w:rsidR="00BF6703" w:rsidRPr="001268FD" w:rsidRDefault="00BF6703" w:rsidP="0037440F">
            <w:pPr>
              <w:jc w:val="center"/>
              <w:rPr>
                <w:rFonts w:cs="Arial"/>
                <w:b/>
                <w:sz w:val="22"/>
              </w:rPr>
            </w:pPr>
            <w:r w:rsidRPr="001268FD">
              <w:rPr>
                <w:rFonts w:cs="Arial"/>
                <w:b/>
                <w:sz w:val="22"/>
              </w:rPr>
              <w:t>6</w:t>
            </w:r>
          </w:p>
        </w:tc>
        <w:tc>
          <w:tcPr>
            <w:tcW w:w="510" w:type="dxa"/>
            <w:shd w:val="clear" w:color="auto" w:fill="FFFF00"/>
            <w:vAlign w:val="center"/>
          </w:tcPr>
          <w:p w14:paraId="5A78CAA4" w14:textId="77777777" w:rsidR="00BF6703" w:rsidRPr="001268FD" w:rsidRDefault="00BF6703" w:rsidP="0037440F">
            <w:pPr>
              <w:jc w:val="center"/>
              <w:rPr>
                <w:rFonts w:cs="Arial"/>
                <w:b/>
                <w:sz w:val="22"/>
              </w:rPr>
            </w:pPr>
            <w:r w:rsidRPr="001268FD">
              <w:rPr>
                <w:rFonts w:cs="Arial"/>
                <w:b/>
                <w:sz w:val="22"/>
              </w:rPr>
              <w:t>7</w:t>
            </w:r>
          </w:p>
        </w:tc>
        <w:tc>
          <w:tcPr>
            <w:tcW w:w="510" w:type="dxa"/>
            <w:shd w:val="clear" w:color="auto" w:fill="FFFF00"/>
            <w:vAlign w:val="center"/>
          </w:tcPr>
          <w:p w14:paraId="6702EA8A" w14:textId="77777777" w:rsidR="00BF6703" w:rsidRPr="001268FD" w:rsidRDefault="00BF6703" w:rsidP="0037440F">
            <w:pPr>
              <w:jc w:val="center"/>
              <w:rPr>
                <w:rFonts w:cs="Arial"/>
                <w:b/>
                <w:sz w:val="22"/>
              </w:rPr>
            </w:pPr>
            <w:r w:rsidRPr="001268FD">
              <w:rPr>
                <w:rFonts w:cs="Arial"/>
                <w:b/>
                <w:sz w:val="22"/>
              </w:rPr>
              <w:t>8</w:t>
            </w:r>
          </w:p>
        </w:tc>
        <w:tc>
          <w:tcPr>
            <w:tcW w:w="510" w:type="dxa"/>
            <w:shd w:val="clear" w:color="auto" w:fill="FFFF00"/>
            <w:vAlign w:val="center"/>
          </w:tcPr>
          <w:p w14:paraId="75EC9EB9" w14:textId="77777777" w:rsidR="00BF6703" w:rsidRPr="001268FD" w:rsidRDefault="00BF6703" w:rsidP="0037440F">
            <w:pPr>
              <w:jc w:val="center"/>
              <w:rPr>
                <w:rFonts w:cs="Arial"/>
                <w:b/>
                <w:sz w:val="22"/>
              </w:rPr>
            </w:pPr>
            <w:r w:rsidRPr="001268FD">
              <w:rPr>
                <w:rFonts w:cs="Arial"/>
                <w:b/>
                <w:sz w:val="22"/>
              </w:rPr>
              <w:t>9</w:t>
            </w:r>
          </w:p>
        </w:tc>
        <w:tc>
          <w:tcPr>
            <w:tcW w:w="510" w:type="dxa"/>
            <w:shd w:val="clear" w:color="auto" w:fill="FFFF00"/>
            <w:vAlign w:val="center"/>
          </w:tcPr>
          <w:p w14:paraId="1192234F" w14:textId="77777777" w:rsidR="00BF6703" w:rsidRPr="001268FD" w:rsidRDefault="00BF6703" w:rsidP="0037440F">
            <w:pPr>
              <w:jc w:val="center"/>
              <w:rPr>
                <w:rFonts w:cs="Arial"/>
                <w:b/>
                <w:sz w:val="22"/>
              </w:rPr>
            </w:pPr>
            <w:r w:rsidRPr="001268FD">
              <w:rPr>
                <w:rFonts w:cs="Arial"/>
                <w:b/>
                <w:sz w:val="22"/>
              </w:rPr>
              <w:t>10</w:t>
            </w:r>
          </w:p>
        </w:tc>
        <w:tc>
          <w:tcPr>
            <w:tcW w:w="510" w:type="dxa"/>
            <w:shd w:val="clear" w:color="auto" w:fill="FFFF00"/>
            <w:vAlign w:val="center"/>
          </w:tcPr>
          <w:p w14:paraId="2E614A2B" w14:textId="77777777" w:rsidR="00BF6703" w:rsidRPr="001268FD" w:rsidRDefault="00BF6703" w:rsidP="0037440F">
            <w:pPr>
              <w:jc w:val="center"/>
              <w:rPr>
                <w:rFonts w:cs="Arial"/>
                <w:b/>
                <w:sz w:val="22"/>
              </w:rPr>
            </w:pPr>
            <w:r w:rsidRPr="001268FD">
              <w:rPr>
                <w:rFonts w:cs="Arial"/>
                <w:b/>
                <w:sz w:val="22"/>
              </w:rPr>
              <w:t>11</w:t>
            </w:r>
          </w:p>
        </w:tc>
        <w:tc>
          <w:tcPr>
            <w:tcW w:w="510" w:type="dxa"/>
            <w:shd w:val="clear" w:color="auto" w:fill="FFFF00"/>
            <w:vAlign w:val="center"/>
          </w:tcPr>
          <w:p w14:paraId="65671D80" w14:textId="77777777" w:rsidR="00BF6703" w:rsidRPr="001268FD" w:rsidRDefault="00BF6703" w:rsidP="0037440F">
            <w:pPr>
              <w:jc w:val="center"/>
              <w:rPr>
                <w:rFonts w:cs="Arial"/>
                <w:b/>
                <w:sz w:val="22"/>
              </w:rPr>
            </w:pPr>
            <w:r w:rsidRPr="001268FD">
              <w:rPr>
                <w:rFonts w:cs="Arial"/>
                <w:b/>
                <w:sz w:val="22"/>
              </w:rPr>
              <w:t>12</w:t>
            </w:r>
          </w:p>
        </w:tc>
        <w:tc>
          <w:tcPr>
            <w:tcW w:w="510" w:type="dxa"/>
            <w:shd w:val="clear" w:color="auto" w:fill="FFFF00"/>
            <w:vAlign w:val="center"/>
          </w:tcPr>
          <w:p w14:paraId="3FE39516" w14:textId="77777777" w:rsidR="00BF6703" w:rsidRPr="001268FD" w:rsidRDefault="00BF6703" w:rsidP="0037440F">
            <w:pPr>
              <w:jc w:val="center"/>
              <w:rPr>
                <w:rFonts w:cs="Arial"/>
                <w:b/>
                <w:sz w:val="22"/>
              </w:rPr>
            </w:pPr>
            <w:r w:rsidRPr="001268FD">
              <w:rPr>
                <w:rFonts w:cs="Arial"/>
                <w:b/>
                <w:sz w:val="22"/>
              </w:rPr>
              <w:t>13</w:t>
            </w:r>
          </w:p>
        </w:tc>
        <w:tc>
          <w:tcPr>
            <w:tcW w:w="510" w:type="dxa"/>
            <w:shd w:val="clear" w:color="auto" w:fill="FFC000"/>
            <w:vAlign w:val="center"/>
          </w:tcPr>
          <w:p w14:paraId="18DB41D0" w14:textId="77777777" w:rsidR="00BF6703" w:rsidRPr="001268FD" w:rsidRDefault="00BF6703" w:rsidP="0037440F">
            <w:pPr>
              <w:jc w:val="center"/>
              <w:rPr>
                <w:rFonts w:cs="Arial"/>
                <w:b/>
                <w:sz w:val="22"/>
              </w:rPr>
            </w:pPr>
            <w:r w:rsidRPr="001268FD">
              <w:rPr>
                <w:rFonts w:cs="Arial"/>
                <w:b/>
                <w:sz w:val="22"/>
              </w:rPr>
              <w:t>14</w:t>
            </w:r>
          </w:p>
        </w:tc>
        <w:tc>
          <w:tcPr>
            <w:tcW w:w="510" w:type="dxa"/>
            <w:shd w:val="clear" w:color="auto" w:fill="FFC000"/>
            <w:vAlign w:val="center"/>
          </w:tcPr>
          <w:p w14:paraId="2E7893B8" w14:textId="77777777" w:rsidR="00BF6703" w:rsidRPr="001268FD" w:rsidRDefault="00BF6703" w:rsidP="0037440F">
            <w:pPr>
              <w:jc w:val="center"/>
              <w:rPr>
                <w:rFonts w:cs="Arial"/>
                <w:b/>
                <w:sz w:val="22"/>
              </w:rPr>
            </w:pPr>
            <w:r w:rsidRPr="001268FD">
              <w:rPr>
                <w:rFonts w:cs="Arial"/>
                <w:b/>
                <w:sz w:val="22"/>
              </w:rPr>
              <w:t>15</w:t>
            </w:r>
          </w:p>
        </w:tc>
        <w:tc>
          <w:tcPr>
            <w:tcW w:w="510" w:type="dxa"/>
            <w:shd w:val="clear" w:color="auto" w:fill="FFC000"/>
            <w:vAlign w:val="center"/>
          </w:tcPr>
          <w:p w14:paraId="62C7B470" w14:textId="77777777" w:rsidR="00BF6703" w:rsidRPr="001268FD" w:rsidRDefault="00BF6703" w:rsidP="0037440F">
            <w:pPr>
              <w:jc w:val="center"/>
              <w:rPr>
                <w:rFonts w:cs="Arial"/>
                <w:b/>
                <w:sz w:val="22"/>
              </w:rPr>
            </w:pPr>
            <w:r w:rsidRPr="001268FD">
              <w:rPr>
                <w:rFonts w:cs="Arial"/>
                <w:b/>
                <w:sz w:val="22"/>
              </w:rPr>
              <w:t>16</w:t>
            </w:r>
          </w:p>
        </w:tc>
        <w:tc>
          <w:tcPr>
            <w:tcW w:w="510" w:type="dxa"/>
            <w:shd w:val="clear" w:color="auto" w:fill="FFC000"/>
            <w:vAlign w:val="center"/>
          </w:tcPr>
          <w:p w14:paraId="2262082D" w14:textId="77777777" w:rsidR="00BF6703" w:rsidRPr="001268FD" w:rsidRDefault="00BF6703" w:rsidP="0037440F">
            <w:pPr>
              <w:jc w:val="center"/>
              <w:rPr>
                <w:rFonts w:cs="Arial"/>
                <w:b/>
                <w:sz w:val="22"/>
              </w:rPr>
            </w:pPr>
            <w:r w:rsidRPr="001268FD">
              <w:rPr>
                <w:rFonts w:cs="Arial"/>
                <w:b/>
                <w:sz w:val="22"/>
              </w:rPr>
              <w:t>17</w:t>
            </w:r>
          </w:p>
        </w:tc>
        <w:tc>
          <w:tcPr>
            <w:tcW w:w="510" w:type="dxa"/>
            <w:shd w:val="clear" w:color="auto" w:fill="FFC000"/>
            <w:vAlign w:val="center"/>
          </w:tcPr>
          <w:p w14:paraId="25E077DF" w14:textId="77777777" w:rsidR="00BF6703" w:rsidRPr="001268FD" w:rsidRDefault="00BF6703" w:rsidP="0037440F">
            <w:pPr>
              <w:jc w:val="center"/>
              <w:rPr>
                <w:rFonts w:cs="Arial"/>
                <w:b/>
                <w:sz w:val="22"/>
              </w:rPr>
            </w:pPr>
            <w:r w:rsidRPr="001268FD">
              <w:rPr>
                <w:rFonts w:cs="Arial"/>
                <w:b/>
                <w:sz w:val="22"/>
              </w:rPr>
              <w:t>18</w:t>
            </w:r>
          </w:p>
        </w:tc>
        <w:tc>
          <w:tcPr>
            <w:tcW w:w="510" w:type="dxa"/>
            <w:shd w:val="clear" w:color="auto" w:fill="FFC000"/>
            <w:vAlign w:val="center"/>
          </w:tcPr>
          <w:p w14:paraId="2F637177" w14:textId="77777777" w:rsidR="00BF6703" w:rsidRPr="001268FD" w:rsidRDefault="00BF6703" w:rsidP="0037440F">
            <w:pPr>
              <w:jc w:val="center"/>
              <w:rPr>
                <w:rFonts w:cs="Arial"/>
                <w:b/>
                <w:sz w:val="22"/>
              </w:rPr>
            </w:pPr>
            <w:r w:rsidRPr="001268FD">
              <w:rPr>
                <w:rFonts w:cs="Arial"/>
                <w:b/>
                <w:sz w:val="22"/>
              </w:rPr>
              <w:t>19</w:t>
            </w:r>
          </w:p>
        </w:tc>
        <w:tc>
          <w:tcPr>
            <w:tcW w:w="510" w:type="dxa"/>
            <w:shd w:val="clear" w:color="auto" w:fill="FFC000"/>
            <w:vAlign w:val="center"/>
          </w:tcPr>
          <w:p w14:paraId="1504B8B3" w14:textId="77777777" w:rsidR="00BF6703" w:rsidRPr="001268FD" w:rsidRDefault="00BF6703" w:rsidP="0037440F">
            <w:pPr>
              <w:jc w:val="center"/>
              <w:rPr>
                <w:rFonts w:cs="Arial"/>
                <w:b/>
                <w:sz w:val="22"/>
              </w:rPr>
            </w:pPr>
            <w:r w:rsidRPr="001268FD">
              <w:rPr>
                <w:rFonts w:cs="Arial"/>
                <w:b/>
                <w:sz w:val="22"/>
              </w:rPr>
              <w:t>20</w:t>
            </w:r>
          </w:p>
        </w:tc>
        <w:tc>
          <w:tcPr>
            <w:tcW w:w="510" w:type="dxa"/>
            <w:shd w:val="clear" w:color="auto" w:fill="FFC000"/>
            <w:vAlign w:val="center"/>
          </w:tcPr>
          <w:p w14:paraId="712E7607" w14:textId="77777777" w:rsidR="00BF6703" w:rsidRPr="001268FD" w:rsidRDefault="00BF6703" w:rsidP="0037440F">
            <w:pPr>
              <w:jc w:val="center"/>
              <w:rPr>
                <w:rFonts w:cs="Arial"/>
                <w:b/>
                <w:sz w:val="22"/>
              </w:rPr>
            </w:pPr>
            <w:r w:rsidRPr="001268FD">
              <w:rPr>
                <w:rFonts w:cs="Arial"/>
                <w:b/>
                <w:sz w:val="22"/>
              </w:rPr>
              <w:t>21</w:t>
            </w:r>
          </w:p>
        </w:tc>
        <w:tc>
          <w:tcPr>
            <w:tcW w:w="510" w:type="dxa"/>
            <w:shd w:val="clear" w:color="auto" w:fill="FF0000"/>
            <w:vAlign w:val="center"/>
          </w:tcPr>
          <w:p w14:paraId="1E72E3EE" w14:textId="77777777" w:rsidR="00BF6703" w:rsidRPr="001268FD" w:rsidRDefault="00BF6703" w:rsidP="0037440F">
            <w:pPr>
              <w:jc w:val="center"/>
              <w:rPr>
                <w:rFonts w:cs="Arial"/>
                <w:b/>
                <w:sz w:val="22"/>
              </w:rPr>
            </w:pPr>
            <w:r w:rsidRPr="001268FD">
              <w:rPr>
                <w:rFonts w:cs="Arial"/>
                <w:b/>
                <w:sz w:val="22"/>
              </w:rPr>
              <w:t>22</w:t>
            </w:r>
          </w:p>
        </w:tc>
        <w:tc>
          <w:tcPr>
            <w:tcW w:w="510" w:type="dxa"/>
            <w:shd w:val="clear" w:color="auto" w:fill="FF0000"/>
            <w:vAlign w:val="center"/>
          </w:tcPr>
          <w:p w14:paraId="389EDED4" w14:textId="77777777" w:rsidR="00BF6703" w:rsidRPr="001268FD" w:rsidRDefault="00BF6703" w:rsidP="0037440F">
            <w:pPr>
              <w:jc w:val="center"/>
              <w:rPr>
                <w:rFonts w:cs="Arial"/>
                <w:b/>
                <w:sz w:val="22"/>
              </w:rPr>
            </w:pPr>
            <w:r w:rsidRPr="001268FD">
              <w:rPr>
                <w:rFonts w:cs="Arial"/>
                <w:b/>
                <w:sz w:val="22"/>
              </w:rPr>
              <w:t>23</w:t>
            </w:r>
          </w:p>
        </w:tc>
        <w:tc>
          <w:tcPr>
            <w:tcW w:w="510" w:type="dxa"/>
            <w:shd w:val="clear" w:color="auto" w:fill="FF0000"/>
            <w:vAlign w:val="center"/>
          </w:tcPr>
          <w:p w14:paraId="41D73BCA" w14:textId="77777777" w:rsidR="00BF6703" w:rsidRPr="001268FD" w:rsidRDefault="00BF6703" w:rsidP="0037440F">
            <w:pPr>
              <w:jc w:val="center"/>
              <w:rPr>
                <w:rFonts w:cs="Arial"/>
                <w:b/>
                <w:sz w:val="22"/>
              </w:rPr>
            </w:pPr>
            <w:r w:rsidRPr="001268FD">
              <w:rPr>
                <w:rFonts w:cs="Arial"/>
                <w:b/>
                <w:sz w:val="22"/>
              </w:rPr>
              <w:t>24</w:t>
            </w:r>
          </w:p>
        </w:tc>
        <w:tc>
          <w:tcPr>
            <w:tcW w:w="510" w:type="dxa"/>
            <w:shd w:val="clear" w:color="auto" w:fill="FF0000"/>
            <w:vAlign w:val="center"/>
          </w:tcPr>
          <w:p w14:paraId="791D86E0" w14:textId="77777777" w:rsidR="00BF6703" w:rsidRPr="001268FD" w:rsidRDefault="00BF6703" w:rsidP="0037440F">
            <w:pPr>
              <w:jc w:val="center"/>
              <w:rPr>
                <w:rFonts w:cs="Arial"/>
                <w:b/>
                <w:sz w:val="22"/>
              </w:rPr>
            </w:pPr>
            <w:r w:rsidRPr="001268FD">
              <w:rPr>
                <w:rFonts w:cs="Arial"/>
                <w:b/>
                <w:sz w:val="22"/>
              </w:rPr>
              <w:t>25</w:t>
            </w:r>
          </w:p>
        </w:tc>
      </w:tr>
      <w:tr w:rsidR="00BF6703" w:rsidRPr="001268FD" w14:paraId="2A8563D3" w14:textId="77777777" w:rsidTr="0037440F">
        <w:trPr>
          <w:trHeight w:val="510"/>
        </w:trPr>
        <w:tc>
          <w:tcPr>
            <w:tcW w:w="1985" w:type="dxa"/>
            <w:vAlign w:val="center"/>
          </w:tcPr>
          <w:p w14:paraId="429BC358" w14:textId="77777777" w:rsidR="00BF6703" w:rsidRPr="00760EE0" w:rsidRDefault="00BF6703" w:rsidP="0037440F">
            <w:pPr>
              <w:rPr>
                <w:rFonts w:cs="Arial"/>
                <w:b/>
                <w:sz w:val="22"/>
                <w:szCs w:val="22"/>
              </w:rPr>
            </w:pPr>
            <w:r w:rsidRPr="00760EE0">
              <w:rPr>
                <w:rFonts w:cs="Arial"/>
                <w:b/>
                <w:sz w:val="22"/>
                <w:szCs w:val="22"/>
              </w:rPr>
              <w:t>Nature</w:t>
            </w:r>
          </w:p>
        </w:tc>
        <w:tc>
          <w:tcPr>
            <w:tcW w:w="510" w:type="dxa"/>
          </w:tcPr>
          <w:p w14:paraId="6CA1D6EA" w14:textId="77777777" w:rsidR="00BF6703" w:rsidRPr="001268FD" w:rsidRDefault="00BF6703" w:rsidP="0037440F">
            <w:pPr>
              <w:jc w:val="center"/>
              <w:rPr>
                <w:rFonts w:cs="Arial"/>
                <w:b/>
              </w:rPr>
            </w:pPr>
          </w:p>
        </w:tc>
        <w:tc>
          <w:tcPr>
            <w:tcW w:w="510" w:type="dxa"/>
          </w:tcPr>
          <w:p w14:paraId="17BEC7F2" w14:textId="77777777" w:rsidR="00BF6703" w:rsidRPr="001268FD" w:rsidRDefault="00BF6703" w:rsidP="0037440F">
            <w:pPr>
              <w:rPr>
                <w:rFonts w:cs="Arial"/>
                <w:b/>
              </w:rPr>
            </w:pPr>
          </w:p>
        </w:tc>
        <w:tc>
          <w:tcPr>
            <w:tcW w:w="510" w:type="dxa"/>
          </w:tcPr>
          <w:p w14:paraId="0D0948FD" w14:textId="77777777" w:rsidR="00BF6703" w:rsidRPr="001268FD" w:rsidRDefault="00BF6703" w:rsidP="0037440F">
            <w:pPr>
              <w:rPr>
                <w:rFonts w:cs="Arial"/>
                <w:b/>
              </w:rPr>
            </w:pPr>
          </w:p>
        </w:tc>
        <w:tc>
          <w:tcPr>
            <w:tcW w:w="510" w:type="dxa"/>
          </w:tcPr>
          <w:p w14:paraId="3841BC9F" w14:textId="77777777" w:rsidR="00BF6703" w:rsidRPr="001268FD" w:rsidRDefault="00BF6703" w:rsidP="0037440F">
            <w:pPr>
              <w:rPr>
                <w:rFonts w:cs="Arial"/>
                <w:b/>
              </w:rPr>
            </w:pPr>
          </w:p>
        </w:tc>
        <w:tc>
          <w:tcPr>
            <w:tcW w:w="510" w:type="dxa"/>
          </w:tcPr>
          <w:p w14:paraId="4CEDE7C4" w14:textId="77777777" w:rsidR="00BF6703" w:rsidRPr="001268FD" w:rsidRDefault="00BF6703" w:rsidP="0037440F">
            <w:pPr>
              <w:rPr>
                <w:rFonts w:cs="Arial"/>
                <w:b/>
              </w:rPr>
            </w:pPr>
          </w:p>
        </w:tc>
        <w:tc>
          <w:tcPr>
            <w:tcW w:w="510" w:type="dxa"/>
          </w:tcPr>
          <w:p w14:paraId="5DE13965" w14:textId="77777777" w:rsidR="00BF6703" w:rsidRPr="001268FD" w:rsidRDefault="00BF6703" w:rsidP="0037440F">
            <w:pPr>
              <w:rPr>
                <w:rFonts w:cs="Arial"/>
                <w:b/>
              </w:rPr>
            </w:pPr>
          </w:p>
        </w:tc>
        <w:tc>
          <w:tcPr>
            <w:tcW w:w="510" w:type="dxa"/>
          </w:tcPr>
          <w:p w14:paraId="2463C6D0" w14:textId="77777777" w:rsidR="00BF6703" w:rsidRPr="001268FD" w:rsidRDefault="00BF6703" w:rsidP="0037440F">
            <w:pPr>
              <w:rPr>
                <w:rFonts w:cs="Arial"/>
                <w:b/>
              </w:rPr>
            </w:pPr>
          </w:p>
        </w:tc>
        <w:tc>
          <w:tcPr>
            <w:tcW w:w="510" w:type="dxa"/>
          </w:tcPr>
          <w:p w14:paraId="22CEDB5A" w14:textId="77777777" w:rsidR="00BF6703" w:rsidRPr="001268FD" w:rsidRDefault="00BF6703" w:rsidP="0037440F">
            <w:pPr>
              <w:rPr>
                <w:rFonts w:cs="Arial"/>
                <w:b/>
              </w:rPr>
            </w:pPr>
          </w:p>
        </w:tc>
        <w:tc>
          <w:tcPr>
            <w:tcW w:w="510" w:type="dxa"/>
          </w:tcPr>
          <w:p w14:paraId="74C1D19A" w14:textId="77777777" w:rsidR="00BF6703" w:rsidRPr="001268FD" w:rsidRDefault="00BF6703" w:rsidP="0037440F">
            <w:pPr>
              <w:rPr>
                <w:rFonts w:cs="Arial"/>
                <w:b/>
              </w:rPr>
            </w:pPr>
          </w:p>
        </w:tc>
        <w:tc>
          <w:tcPr>
            <w:tcW w:w="510" w:type="dxa"/>
          </w:tcPr>
          <w:p w14:paraId="4A92ECD7" w14:textId="77777777" w:rsidR="00BF6703" w:rsidRPr="001268FD" w:rsidRDefault="00BF6703" w:rsidP="0037440F">
            <w:pPr>
              <w:rPr>
                <w:rFonts w:cs="Arial"/>
                <w:b/>
              </w:rPr>
            </w:pPr>
          </w:p>
        </w:tc>
        <w:tc>
          <w:tcPr>
            <w:tcW w:w="510" w:type="dxa"/>
          </w:tcPr>
          <w:p w14:paraId="0194E387" w14:textId="77777777" w:rsidR="00BF6703" w:rsidRPr="001268FD" w:rsidRDefault="00BF6703" w:rsidP="0037440F">
            <w:pPr>
              <w:rPr>
                <w:rFonts w:cs="Arial"/>
                <w:b/>
              </w:rPr>
            </w:pPr>
          </w:p>
        </w:tc>
        <w:tc>
          <w:tcPr>
            <w:tcW w:w="510" w:type="dxa"/>
          </w:tcPr>
          <w:p w14:paraId="47E96957" w14:textId="77777777" w:rsidR="00BF6703" w:rsidRPr="001268FD" w:rsidRDefault="00BF6703" w:rsidP="0037440F">
            <w:pPr>
              <w:rPr>
                <w:noProof/>
                <w:szCs w:val="24"/>
              </w:rPr>
            </w:pPr>
          </w:p>
        </w:tc>
        <w:tc>
          <w:tcPr>
            <w:tcW w:w="510" w:type="dxa"/>
          </w:tcPr>
          <w:p w14:paraId="607B0A64" w14:textId="77777777" w:rsidR="00BF6703" w:rsidRPr="001268FD" w:rsidRDefault="00BF6703" w:rsidP="0037440F">
            <w:pPr>
              <w:rPr>
                <w:rFonts w:cs="Arial"/>
                <w:b/>
              </w:rPr>
            </w:pPr>
          </w:p>
        </w:tc>
        <w:tc>
          <w:tcPr>
            <w:tcW w:w="510" w:type="dxa"/>
          </w:tcPr>
          <w:p w14:paraId="6B4A972F" w14:textId="77777777" w:rsidR="00BF6703" w:rsidRPr="001268FD" w:rsidRDefault="00042DB0" w:rsidP="0037440F">
            <w:pPr>
              <w:rPr>
                <w:rFonts w:cs="Arial"/>
                <w:b/>
              </w:rPr>
            </w:pPr>
            <w:r w:rsidRPr="00760EE0">
              <w:rPr>
                <w:noProof/>
                <w:szCs w:val="24"/>
              </w:rPr>
              <mc:AlternateContent>
                <mc:Choice Requires="wps">
                  <w:drawing>
                    <wp:anchor distT="0" distB="0" distL="114300" distR="114300" simplePos="0" relativeHeight="251662336" behindDoc="0" locked="0" layoutInCell="1" allowOverlap="1" wp14:anchorId="2D245AB9" wp14:editId="66B938D5">
                      <wp:simplePos x="0" y="0"/>
                      <wp:positionH relativeFrom="column">
                        <wp:posOffset>29845</wp:posOffset>
                      </wp:positionH>
                      <wp:positionV relativeFrom="page">
                        <wp:posOffset>40640</wp:posOffset>
                      </wp:positionV>
                      <wp:extent cx="1504950" cy="266700"/>
                      <wp:effectExtent l="0" t="0" r="0" b="0"/>
                      <wp:wrapNone/>
                      <wp:docPr id="2" name="Rectangle 2"/>
                      <wp:cNvGraphicFramePr/>
                      <a:graphic xmlns:a="http://schemas.openxmlformats.org/drawingml/2006/main">
                        <a:graphicData uri="http://schemas.microsoft.com/office/word/2010/wordprocessingShape">
                          <wps:wsp>
                            <wps:cNvSpPr/>
                            <wps:spPr>
                              <a:xfrm>
                                <a:off x="0" y="0"/>
                                <a:ext cx="1504950" cy="26670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61041E5C" w14:textId="77777777" w:rsidR="00BF6703" w:rsidRPr="00EF05E6" w:rsidRDefault="00BF6703" w:rsidP="00BF6703">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9916D" id="Rectangle 2" o:spid="_x0000_s1026" style="position:absolute;margin-left:2.35pt;margin-top:3.2pt;width:118.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" fillcolor="#00b050" stroked="f" strokeweight="2pt">
                      <v:fill color2="red" rotate="t" focusposition=",1" focussize="" colors="0 #00b050;.25 yellow;23593f yellow;44564f #ffc000;1 red" focus="100%" type="gradientRadial"/>
                      <v:textbox inset="0,0,0,0">
                        <w:txbxContent>
                          <w:p w:rsidR="00BF6703" w:rsidRPr="00EF05E6" w:rsidRDefault="00BF6703" w:rsidP="00BF6703">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2796E5C1" w14:textId="77777777" w:rsidR="00BF6703" w:rsidRPr="001268FD" w:rsidRDefault="00BF6703" w:rsidP="0037440F">
            <w:pPr>
              <w:rPr>
                <w:rFonts w:cs="Arial"/>
                <w:b/>
              </w:rPr>
            </w:pPr>
          </w:p>
        </w:tc>
        <w:tc>
          <w:tcPr>
            <w:tcW w:w="510" w:type="dxa"/>
          </w:tcPr>
          <w:p w14:paraId="62F8E45E" w14:textId="77777777" w:rsidR="00BF6703" w:rsidRPr="001268FD" w:rsidRDefault="00BF6703" w:rsidP="0037440F">
            <w:pPr>
              <w:rPr>
                <w:rFonts w:cs="Arial"/>
                <w:b/>
              </w:rPr>
            </w:pPr>
          </w:p>
        </w:tc>
        <w:tc>
          <w:tcPr>
            <w:tcW w:w="510" w:type="dxa"/>
          </w:tcPr>
          <w:p w14:paraId="015DE064" w14:textId="77777777" w:rsidR="00BF6703" w:rsidRPr="001268FD" w:rsidRDefault="00BF6703" w:rsidP="0037440F">
            <w:pPr>
              <w:rPr>
                <w:rFonts w:cs="Arial"/>
                <w:b/>
              </w:rPr>
            </w:pPr>
          </w:p>
        </w:tc>
        <w:tc>
          <w:tcPr>
            <w:tcW w:w="510" w:type="dxa"/>
          </w:tcPr>
          <w:p w14:paraId="09760192" w14:textId="77777777" w:rsidR="00BF6703" w:rsidRPr="001268FD" w:rsidRDefault="00BF6703" w:rsidP="0037440F">
            <w:pPr>
              <w:rPr>
                <w:rFonts w:cs="Arial"/>
                <w:b/>
              </w:rPr>
            </w:pPr>
          </w:p>
        </w:tc>
        <w:tc>
          <w:tcPr>
            <w:tcW w:w="510" w:type="dxa"/>
          </w:tcPr>
          <w:p w14:paraId="0F26FC16" w14:textId="77777777" w:rsidR="00BF6703" w:rsidRPr="001268FD" w:rsidRDefault="00BF6703" w:rsidP="0037440F">
            <w:pPr>
              <w:rPr>
                <w:rFonts w:cs="Arial"/>
                <w:b/>
              </w:rPr>
            </w:pPr>
          </w:p>
        </w:tc>
        <w:tc>
          <w:tcPr>
            <w:tcW w:w="510" w:type="dxa"/>
          </w:tcPr>
          <w:p w14:paraId="65A17FE4" w14:textId="77777777" w:rsidR="00BF6703" w:rsidRPr="001268FD" w:rsidRDefault="00BF6703" w:rsidP="0037440F">
            <w:pPr>
              <w:rPr>
                <w:rFonts w:cs="Arial"/>
                <w:b/>
              </w:rPr>
            </w:pPr>
          </w:p>
        </w:tc>
        <w:tc>
          <w:tcPr>
            <w:tcW w:w="510" w:type="dxa"/>
          </w:tcPr>
          <w:p w14:paraId="7FB4303E" w14:textId="77777777" w:rsidR="00BF6703" w:rsidRPr="001268FD" w:rsidRDefault="00BF6703" w:rsidP="0037440F">
            <w:pPr>
              <w:rPr>
                <w:rFonts w:cs="Arial"/>
                <w:b/>
              </w:rPr>
            </w:pPr>
          </w:p>
        </w:tc>
        <w:tc>
          <w:tcPr>
            <w:tcW w:w="510" w:type="dxa"/>
          </w:tcPr>
          <w:p w14:paraId="3EABBDF3" w14:textId="77777777" w:rsidR="00BF6703" w:rsidRPr="001268FD" w:rsidRDefault="00BF6703" w:rsidP="0037440F">
            <w:pPr>
              <w:rPr>
                <w:rFonts w:cs="Arial"/>
                <w:b/>
              </w:rPr>
            </w:pPr>
          </w:p>
        </w:tc>
        <w:tc>
          <w:tcPr>
            <w:tcW w:w="510" w:type="dxa"/>
          </w:tcPr>
          <w:p w14:paraId="5DA2DDD4" w14:textId="77777777" w:rsidR="00BF6703" w:rsidRPr="001268FD" w:rsidRDefault="00BF6703" w:rsidP="0037440F">
            <w:pPr>
              <w:rPr>
                <w:rFonts w:cs="Arial"/>
                <w:b/>
              </w:rPr>
            </w:pPr>
          </w:p>
        </w:tc>
        <w:tc>
          <w:tcPr>
            <w:tcW w:w="510" w:type="dxa"/>
          </w:tcPr>
          <w:p w14:paraId="4C2503F4" w14:textId="77777777" w:rsidR="00BF6703" w:rsidRPr="001268FD" w:rsidRDefault="00BF6703" w:rsidP="0037440F">
            <w:pPr>
              <w:rPr>
                <w:rFonts w:cs="Arial"/>
                <w:b/>
              </w:rPr>
            </w:pPr>
          </w:p>
        </w:tc>
        <w:tc>
          <w:tcPr>
            <w:tcW w:w="510" w:type="dxa"/>
          </w:tcPr>
          <w:p w14:paraId="43157DBC" w14:textId="77777777" w:rsidR="00BF6703" w:rsidRPr="001268FD" w:rsidRDefault="00BF6703" w:rsidP="0037440F">
            <w:pPr>
              <w:rPr>
                <w:rFonts w:cs="Arial"/>
                <w:b/>
              </w:rPr>
            </w:pPr>
          </w:p>
        </w:tc>
      </w:tr>
      <w:tr w:rsidR="00BF6703" w:rsidRPr="001268FD" w14:paraId="5EDB8487" w14:textId="77777777" w:rsidTr="0037440F">
        <w:trPr>
          <w:trHeight w:val="510"/>
        </w:trPr>
        <w:tc>
          <w:tcPr>
            <w:tcW w:w="1985" w:type="dxa"/>
            <w:vAlign w:val="center"/>
          </w:tcPr>
          <w:p w14:paraId="5A5356EA" w14:textId="77777777" w:rsidR="00BF6703" w:rsidRPr="001268FD" w:rsidRDefault="00BF6703" w:rsidP="0037440F">
            <w:pPr>
              <w:rPr>
                <w:rFonts w:cs="Arial"/>
                <w:b/>
                <w:sz w:val="22"/>
              </w:rPr>
            </w:pPr>
            <w:r w:rsidRPr="001268FD">
              <w:rPr>
                <w:rFonts w:cs="Arial"/>
                <w:b/>
                <w:sz w:val="22"/>
              </w:rPr>
              <w:t>Compliance</w:t>
            </w:r>
          </w:p>
        </w:tc>
        <w:tc>
          <w:tcPr>
            <w:tcW w:w="510" w:type="dxa"/>
          </w:tcPr>
          <w:p w14:paraId="4A3A30DD" w14:textId="77777777" w:rsidR="00BF6703" w:rsidRPr="001268FD" w:rsidRDefault="00BF6703" w:rsidP="0037440F">
            <w:pPr>
              <w:jc w:val="center"/>
              <w:rPr>
                <w:rFonts w:cs="Arial"/>
                <w:b/>
              </w:rPr>
            </w:pPr>
          </w:p>
        </w:tc>
        <w:tc>
          <w:tcPr>
            <w:tcW w:w="510" w:type="dxa"/>
          </w:tcPr>
          <w:p w14:paraId="357170AB" w14:textId="77777777" w:rsidR="00BF6703" w:rsidRPr="001268FD" w:rsidRDefault="00BF6703" w:rsidP="0037440F">
            <w:pPr>
              <w:rPr>
                <w:rFonts w:cs="Arial"/>
                <w:b/>
              </w:rPr>
            </w:pPr>
          </w:p>
        </w:tc>
        <w:tc>
          <w:tcPr>
            <w:tcW w:w="510" w:type="dxa"/>
          </w:tcPr>
          <w:p w14:paraId="5BFC168D" w14:textId="77777777" w:rsidR="00BF6703" w:rsidRPr="001268FD" w:rsidRDefault="00BF6703" w:rsidP="0037440F">
            <w:pPr>
              <w:rPr>
                <w:rFonts w:cs="Arial"/>
                <w:b/>
              </w:rPr>
            </w:pPr>
          </w:p>
        </w:tc>
        <w:tc>
          <w:tcPr>
            <w:tcW w:w="510" w:type="dxa"/>
          </w:tcPr>
          <w:p w14:paraId="70FA1588" w14:textId="77777777" w:rsidR="00BF6703" w:rsidRPr="001268FD" w:rsidRDefault="00BF6703" w:rsidP="0037440F">
            <w:pPr>
              <w:rPr>
                <w:rFonts w:cs="Arial"/>
                <w:b/>
              </w:rPr>
            </w:pPr>
          </w:p>
        </w:tc>
        <w:tc>
          <w:tcPr>
            <w:tcW w:w="510" w:type="dxa"/>
          </w:tcPr>
          <w:p w14:paraId="4518FB57" w14:textId="77777777" w:rsidR="00BF6703" w:rsidRPr="001268FD" w:rsidRDefault="00BF6703" w:rsidP="0037440F">
            <w:pPr>
              <w:rPr>
                <w:rFonts w:cs="Arial"/>
                <w:b/>
              </w:rPr>
            </w:pPr>
          </w:p>
        </w:tc>
        <w:tc>
          <w:tcPr>
            <w:tcW w:w="510" w:type="dxa"/>
          </w:tcPr>
          <w:p w14:paraId="6A6F1909" w14:textId="77777777" w:rsidR="00BF6703" w:rsidRPr="001268FD" w:rsidRDefault="00BF6703" w:rsidP="0037440F">
            <w:pPr>
              <w:rPr>
                <w:rFonts w:cs="Arial"/>
                <w:b/>
              </w:rPr>
            </w:pPr>
            <w:r w:rsidRPr="001268FD">
              <w:rPr>
                <w:noProof/>
                <w:szCs w:val="24"/>
              </w:rPr>
              <mc:AlternateContent>
                <mc:Choice Requires="wps">
                  <w:drawing>
                    <wp:anchor distT="0" distB="0" distL="114300" distR="114300" simplePos="0" relativeHeight="251659264" behindDoc="0" locked="0" layoutInCell="1" allowOverlap="1" wp14:anchorId="6AC6241C" wp14:editId="4E64331E">
                      <wp:simplePos x="0" y="0"/>
                      <wp:positionH relativeFrom="column">
                        <wp:posOffset>-389890</wp:posOffset>
                      </wp:positionH>
                      <wp:positionV relativeFrom="page">
                        <wp:posOffset>48260</wp:posOffset>
                      </wp:positionV>
                      <wp:extent cx="1600200" cy="247650"/>
                      <wp:effectExtent l="0" t="0" r="0" b="0"/>
                      <wp:wrapNone/>
                      <wp:docPr id="92" name="Rectangle 92"/>
                      <wp:cNvGraphicFramePr/>
                      <a:graphic xmlns:a="http://schemas.openxmlformats.org/drawingml/2006/main">
                        <a:graphicData uri="http://schemas.microsoft.com/office/word/2010/wordprocessingShape">
                          <wps:wsp>
                            <wps:cNvSpPr/>
                            <wps:spPr>
                              <a:xfrm>
                                <a:off x="0" y="0"/>
                                <a:ext cx="160020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02F842C1" w14:textId="77777777" w:rsidR="00BF6703" w:rsidRPr="00EF05E6" w:rsidRDefault="00BF6703" w:rsidP="00BF6703">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EBD32" id="Rectangle 92" o:spid="_x0000_s1027" style="position:absolute;margin-left:-30.7pt;margin-top:3.8pt;width:12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" fillcolor="#00b050" stroked="f" strokeweight="2pt">
                      <v:fill color2="red" rotate="t" focusposition=",1" focussize="" colors="0 #00b050;.25 yellow;23593f yellow;44564f #ffc000;1 red" focus="100%" type="gradientRadial"/>
                      <v:textbox inset="0,0,0,0">
                        <w:txbxContent>
                          <w:p w:rsidR="00BF6703" w:rsidRPr="00EF05E6" w:rsidRDefault="00BF6703" w:rsidP="00BF6703">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432065B5" w14:textId="77777777" w:rsidR="00BF6703" w:rsidRPr="001268FD" w:rsidRDefault="00BF6703" w:rsidP="0037440F">
            <w:pPr>
              <w:rPr>
                <w:rFonts w:cs="Arial"/>
                <w:b/>
              </w:rPr>
            </w:pPr>
          </w:p>
        </w:tc>
        <w:tc>
          <w:tcPr>
            <w:tcW w:w="510" w:type="dxa"/>
          </w:tcPr>
          <w:p w14:paraId="4CEA98C2" w14:textId="77777777" w:rsidR="00BF6703" w:rsidRPr="001268FD" w:rsidRDefault="00BF6703" w:rsidP="0037440F">
            <w:pPr>
              <w:rPr>
                <w:rFonts w:cs="Arial"/>
                <w:b/>
              </w:rPr>
            </w:pPr>
          </w:p>
        </w:tc>
        <w:tc>
          <w:tcPr>
            <w:tcW w:w="510" w:type="dxa"/>
          </w:tcPr>
          <w:p w14:paraId="5EF339AB" w14:textId="77777777" w:rsidR="00BF6703" w:rsidRPr="001268FD" w:rsidRDefault="00BF6703" w:rsidP="0037440F">
            <w:pPr>
              <w:rPr>
                <w:rFonts w:cs="Arial"/>
                <w:b/>
              </w:rPr>
            </w:pPr>
          </w:p>
        </w:tc>
        <w:tc>
          <w:tcPr>
            <w:tcW w:w="510" w:type="dxa"/>
          </w:tcPr>
          <w:p w14:paraId="33F8443E" w14:textId="77777777" w:rsidR="00BF6703" w:rsidRPr="001268FD" w:rsidRDefault="00BF6703" w:rsidP="0037440F">
            <w:pPr>
              <w:rPr>
                <w:rFonts w:cs="Arial"/>
                <w:b/>
              </w:rPr>
            </w:pPr>
          </w:p>
        </w:tc>
        <w:tc>
          <w:tcPr>
            <w:tcW w:w="510" w:type="dxa"/>
          </w:tcPr>
          <w:p w14:paraId="565EC04F" w14:textId="77777777" w:rsidR="00BF6703" w:rsidRPr="001268FD" w:rsidRDefault="00BF6703" w:rsidP="0037440F">
            <w:pPr>
              <w:rPr>
                <w:rFonts w:cs="Arial"/>
                <w:b/>
              </w:rPr>
            </w:pPr>
          </w:p>
        </w:tc>
        <w:tc>
          <w:tcPr>
            <w:tcW w:w="510" w:type="dxa"/>
          </w:tcPr>
          <w:p w14:paraId="0C0482F9" w14:textId="77777777" w:rsidR="00BF6703" w:rsidRPr="001268FD" w:rsidRDefault="00BF6703" w:rsidP="0037440F">
            <w:pPr>
              <w:rPr>
                <w:rFonts w:cs="Arial"/>
                <w:b/>
              </w:rPr>
            </w:pPr>
          </w:p>
        </w:tc>
        <w:tc>
          <w:tcPr>
            <w:tcW w:w="510" w:type="dxa"/>
          </w:tcPr>
          <w:p w14:paraId="24214FFE" w14:textId="77777777" w:rsidR="00BF6703" w:rsidRPr="001268FD" w:rsidRDefault="00BF6703" w:rsidP="0037440F">
            <w:pPr>
              <w:rPr>
                <w:rFonts w:cs="Arial"/>
                <w:b/>
              </w:rPr>
            </w:pPr>
          </w:p>
        </w:tc>
        <w:tc>
          <w:tcPr>
            <w:tcW w:w="510" w:type="dxa"/>
          </w:tcPr>
          <w:p w14:paraId="2D068C54" w14:textId="77777777" w:rsidR="00BF6703" w:rsidRPr="001268FD" w:rsidRDefault="00BF6703" w:rsidP="0037440F">
            <w:pPr>
              <w:rPr>
                <w:rFonts w:cs="Arial"/>
                <w:b/>
              </w:rPr>
            </w:pPr>
          </w:p>
        </w:tc>
        <w:tc>
          <w:tcPr>
            <w:tcW w:w="510" w:type="dxa"/>
          </w:tcPr>
          <w:p w14:paraId="6F42502C" w14:textId="77777777" w:rsidR="00BF6703" w:rsidRPr="001268FD" w:rsidRDefault="00BF6703" w:rsidP="0037440F">
            <w:pPr>
              <w:rPr>
                <w:rFonts w:cs="Arial"/>
                <w:b/>
              </w:rPr>
            </w:pPr>
          </w:p>
        </w:tc>
        <w:tc>
          <w:tcPr>
            <w:tcW w:w="510" w:type="dxa"/>
          </w:tcPr>
          <w:p w14:paraId="5E0AAA22" w14:textId="77777777" w:rsidR="00BF6703" w:rsidRPr="001268FD" w:rsidRDefault="00BF6703" w:rsidP="0037440F">
            <w:pPr>
              <w:rPr>
                <w:rFonts w:cs="Arial"/>
                <w:b/>
              </w:rPr>
            </w:pPr>
          </w:p>
        </w:tc>
        <w:tc>
          <w:tcPr>
            <w:tcW w:w="510" w:type="dxa"/>
          </w:tcPr>
          <w:p w14:paraId="5A2DC7D2" w14:textId="77777777" w:rsidR="00BF6703" w:rsidRPr="001268FD" w:rsidRDefault="00BF6703" w:rsidP="0037440F">
            <w:pPr>
              <w:rPr>
                <w:rFonts w:cs="Arial"/>
                <w:b/>
              </w:rPr>
            </w:pPr>
          </w:p>
        </w:tc>
        <w:tc>
          <w:tcPr>
            <w:tcW w:w="510" w:type="dxa"/>
          </w:tcPr>
          <w:p w14:paraId="2957AB97" w14:textId="77777777" w:rsidR="00BF6703" w:rsidRPr="001268FD" w:rsidRDefault="00BF6703" w:rsidP="0037440F">
            <w:pPr>
              <w:rPr>
                <w:rFonts w:cs="Arial"/>
                <w:b/>
              </w:rPr>
            </w:pPr>
          </w:p>
        </w:tc>
        <w:tc>
          <w:tcPr>
            <w:tcW w:w="510" w:type="dxa"/>
          </w:tcPr>
          <w:p w14:paraId="235E93B4" w14:textId="77777777" w:rsidR="00BF6703" w:rsidRPr="001268FD" w:rsidRDefault="00BF6703" w:rsidP="0037440F">
            <w:pPr>
              <w:rPr>
                <w:rFonts w:cs="Arial"/>
                <w:b/>
              </w:rPr>
            </w:pPr>
          </w:p>
        </w:tc>
        <w:tc>
          <w:tcPr>
            <w:tcW w:w="510" w:type="dxa"/>
          </w:tcPr>
          <w:p w14:paraId="7E551DAE" w14:textId="77777777" w:rsidR="00BF6703" w:rsidRPr="001268FD" w:rsidRDefault="00BF6703" w:rsidP="0037440F">
            <w:pPr>
              <w:rPr>
                <w:rFonts w:cs="Arial"/>
                <w:b/>
              </w:rPr>
            </w:pPr>
          </w:p>
        </w:tc>
        <w:tc>
          <w:tcPr>
            <w:tcW w:w="510" w:type="dxa"/>
          </w:tcPr>
          <w:p w14:paraId="22608C61" w14:textId="77777777" w:rsidR="00BF6703" w:rsidRPr="001268FD" w:rsidRDefault="00BF6703" w:rsidP="0037440F">
            <w:pPr>
              <w:rPr>
                <w:rFonts w:cs="Arial"/>
                <w:b/>
              </w:rPr>
            </w:pPr>
          </w:p>
        </w:tc>
        <w:tc>
          <w:tcPr>
            <w:tcW w:w="510" w:type="dxa"/>
          </w:tcPr>
          <w:p w14:paraId="6CF63BEE" w14:textId="77777777" w:rsidR="00BF6703" w:rsidRPr="001268FD" w:rsidRDefault="00BF6703" w:rsidP="0037440F">
            <w:pPr>
              <w:rPr>
                <w:rFonts w:cs="Arial"/>
                <w:b/>
              </w:rPr>
            </w:pPr>
          </w:p>
        </w:tc>
        <w:tc>
          <w:tcPr>
            <w:tcW w:w="510" w:type="dxa"/>
          </w:tcPr>
          <w:p w14:paraId="3D65F95F" w14:textId="77777777" w:rsidR="00BF6703" w:rsidRPr="001268FD" w:rsidRDefault="00BF6703" w:rsidP="0037440F">
            <w:pPr>
              <w:rPr>
                <w:rFonts w:cs="Arial"/>
                <w:b/>
              </w:rPr>
            </w:pPr>
          </w:p>
        </w:tc>
        <w:tc>
          <w:tcPr>
            <w:tcW w:w="510" w:type="dxa"/>
          </w:tcPr>
          <w:p w14:paraId="0C1C782C" w14:textId="77777777" w:rsidR="00BF6703" w:rsidRPr="001268FD" w:rsidRDefault="00BF6703" w:rsidP="0037440F">
            <w:pPr>
              <w:rPr>
                <w:rFonts w:cs="Arial"/>
                <w:b/>
              </w:rPr>
            </w:pPr>
          </w:p>
        </w:tc>
        <w:tc>
          <w:tcPr>
            <w:tcW w:w="510" w:type="dxa"/>
          </w:tcPr>
          <w:p w14:paraId="3B3AEE7A" w14:textId="77777777" w:rsidR="00BF6703" w:rsidRPr="001268FD" w:rsidRDefault="00BF6703" w:rsidP="0037440F">
            <w:pPr>
              <w:rPr>
                <w:rFonts w:cs="Arial"/>
                <w:b/>
              </w:rPr>
            </w:pPr>
          </w:p>
        </w:tc>
      </w:tr>
      <w:tr w:rsidR="00BF6703" w:rsidRPr="001268FD" w14:paraId="02AAE429" w14:textId="77777777" w:rsidTr="0037440F">
        <w:trPr>
          <w:trHeight w:val="510"/>
        </w:trPr>
        <w:tc>
          <w:tcPr>
            <w:tcW w:w="1985" w:type="dxa"/>
            <w:vAlign w:val="center"/>
          </w:tcPr>
          <w:p w14:paraId="26781074" w14:textId="77777777" w:rsidR="00BF6703" w:rsidRPr="001268FD" w:rsidRDefault="00BF6703" w:rsidP="0037440F">
            <w:pPr>
              <w:rPr>
                <w:rFonts w:cs="Arial"/>
                <w:b/>
                <w:sz w:val="22"/>
              </w:rPr>
            </w:pPr>
            <w:r w:rsidRPr="001268FD">
              <w:rPr>
                <w:rFonts w:cs="Arial"/>
                <w:b/>
                <w:sz w:val="22"/>
              </w:rPr>
              <w:t>Operational</w:t>
            </w:r>
          </w:p>
        </w:tc>
        <w:tc>
          <w:tcPr>
            <w:tcW w:w="510" w:type="dxa"/>
          </w:tcPr>
          <w:p w14:paraId="671BEAB6" w14:textId="77777777" w:rsidR="00BF6703" w:rsidRPr="001268FD" w:rsidRDefault="00BF6703" w:rsidP="0037440F">
            <w:pPr>
              <w:jc w:val="center"/>
              <w:rPr>
                <w:rFonts w:cs="Arial"/>
                <w:b/>
              </w:rPr>
            </w:pPr>
          </w:p>
        </w:tc>
        <w:tc>
          <w:tcPr>
            <w:tcW w:w="510" w:type="dxa"/>
          </w:tcPr>
          <w:p w14:paraId="35082747" w14:textId="77777777" w:rsidR="00BF6703" w:rsidRPr="001268FD" w:rsidRDefault="00BF6703" w:rsidP="0037440F">
            <w:pPr>
              <w:rPr>
                <w:rFonts w:cs="Arial"/>
                <w:b/>
              </w:rPr>
            </w:pPr>
          </w:p>
        </w:tc>
        <w:tc>
          <w:tcPr>
            <w:tcW w:w="510" w:type="dxa"/>
          </w:tcPr>
          <w:p w14:paraId="14D79C7F" w14:textId="77777777" w:rsidR="00BF6703" w:rsidRPr="001268FD" w:rsidRDefault="00BF6703" w:rsidP="0037440F">
            <w:pPr>
              <w:rPr>
                <w:rFonts w:cs="Arial"/>
                <w:b/>
              </w:rPr>
            </w:pPr>
          </w:p>
        </w:tc>
        <w:tc>
          <w:tcPr>
            <w:tcW w:w="510" w:type="dxa"/>
          </w:tcPr>
          <w:p w14:paraId="2E9B757A" w14:textId="77777777" w:rsidR="00BF6703" w:rsidRPr="001268FD" w:rsidRDefault="00BF6703" w:rsidP="0037440F">
            <w:pPr>
              <w:rPr>
                <w:rFonts w:cs="Arial"/>
                <w:b/>
              </w:rPr>
            </w:pPr>
          </w:p>
        </w:tc>
        <w:tc>
          <w:tcPr>
            <w:tcW w:w="510" w:type="dxa"/>
          </w:tcPr>
          <w:p w14:paraId="1CF68BC9" w14:textId="77777777" w:rsidR="00BF6703" w:rsidRPr="001268FD" w:rsidRDefault="00BF6703" w:rsidP="0037440F">
            <w:pPr>
              <w:rPr>
                <w:rFonts w:cs="Arial"/>
                <w:b/>
              </w:rPr>
            </w:pPr>
          </w:p>
        </w:tc>
        <w:tc>
          <w:tcPr>
            <w:tcW w:w="510" w:type="dxa"/>
          </w:tcPr>
          <w:p w14:paraId="395D55EB" w14:textId="77777777" w:rsidR="00BF6703" w:rsidRPr="001268FD" w:rsidRDefault="00BF6703" w:rsidP="0037440F">
            <w:pPr>
              <w:rPr>
                <w:rFonts w:cs="Arial"/>
                <w:b/>
              </w:rPr>
            </w:pPr>
          </w:p>
        </w:tc>
        <w:tc>
          <w:tcPr>
            <w:tcW w:w="510" w:type="dxa"/>
          </w:tcPr>
          <w:p w14:paraId="4CB5DF2E" w14:textId="77777777" w:rsidR="00BF6703" w:rsidRPr="001268FD" w:rsidRDefault="00BF6703" w:rsidP="0037440F">
            <w:pPr>
              <w:rPr>
                <w:rFonts w:cs="Arial"/>
                <w:b/>
              </w:rPr>
            </w:pPr>
          </w:p>
        </w:tc>
        <w:tc>
          <w:tcPr>
            <w:tcW w:w="510" w:type="dxa"/>
          </w:tcPr>
          <w:p w14:paraId="783FB422" w14:textId="77777777" w:rsidR="00BF6703" w:rsidRPr="001268FD" w:rsidRDefault="00BF6703" w:rsidP="0037440F">
            <w:pPr>
              <w:rPr>
                <w:rFonts w:cs="Arial"/>
                <w:b/>
              </w:rPr>
            </w:pPr>
          </w:p>
        </w:tc>
        <w:tc>
          <w:tcPr>
            <w:tcW w:w="510" w:type="dxa"/>
          </w:tcPr>
          <w:p w14:paraId="3EEE870B" w14:textId="77777777" w:rsidR="00BF6703" w:rsidRPr="001268FD" w:rsidRDefault="00BF6703" w:rsidP="0037440F">
            <w:pPr>
              <w:rPr>
                <w:rFonts w:cs="Arial"/>
                <w:b/>
              </w:rPr>
            </w:pPr>
          </w:p>
        </w:tc>
        <w:tc>
          <w:tcPr>
            <w:tcW w:w="510" w:type="dxa"/>
          </w:tcPr>
          <w:p w14:paraId="5FBF933A" w14:textId="77777777" w:rsidR="00BF6703" w:rsidRPr="001268FD" w:rsidRDefault="00BF6703" w:rsidP="0037440F">
            <w:pPr>
              <w:rPr>
                <w:rFonts w:cs="Arial"/>
                <w:b/>
              </w:rPr>
            </w:pPr>
          </w:p>
        </w:tc>
        <w:tc>
          <w:tcPr>
            <w:tcW w:w="510" w:type="dxa"/>
          </w:tcPr>
          <w:p w14:paraId="537FF6EE" w14:textId="77777777" w:rsidR="00BF6703" w:rsidRPr="001268FD" w:rsidRDefault="00BF6703" w:rsidP="0037440F">
            <w:pPr>
              <w:rPr>
                <w:rFonts w:cs="Arial"/>
                <w:b/>
              </w:rPr>
            </w:pPr>
          </w:p>
        </w:tc>
        <w:tc>
          <w:tcPr>
            <w:tcW w:w="510" w:type="dxa"/>
          </w:tcPr>
          <w:p w14:paraId="6F30E0A6" w14:textId="77777777" w:rsidR="00BF6703" w:rsidRPr="001268FD" w:rsidRDefault="00BF6703" w:rsidP="0037440F">
            <w:pPr>
              <w:rPr>
                <w:rFonts w:cs="Arial"/>
                <w:b/>
              </w:rPr>
            </w:pPr>
          </w:p>
        </w:tc>
        <w:tc>
          <w:tcPr>
            <w:tcW w:w="510" w:type="dxa"/>
          </w:tcPr>
          <w:p w14:paraId="4127387D" w14:textId="77777777" w:rsidR="00BF6703" w:rsidRPr="001268FD" w:rsidRDefault="00BF6703" w:rsidP="0037440F">
            <w:pPr>
              <w:rPr>
                <w:rFonts w:cs="Arial"/>
                <w:b/>
              </w:rPr>
            </w:pPr>
            <w:r w:rsidRPr="001268FD">
              <w:rPr>
                <w:noProof/>
                <w:szCs w:val="24"/>
              </w:rPr>
              <mc:AlternateContent>
                <mc:Choice Requires="wps">
                  <w:drawing>
                    <wp:anchor distT="0" distB="0" distL="114300" distR="114300" simplePos="0" relativeHeight="251660288" behindDoc="0" locked="0" layoutInCell="1" allowOverlap="1" wp14:anchorId="7509E3EE" wp14:editId="177A2018">
                      <wp:simplePos x="0" y="0"/>
                      <wp:positionH relativeFrom="column">
                        <wp:posOffset>239395</wp:posOffset>
                      </wp:positionH>
                      <wp:positionV relativeFrom="page">
                        <wp:posOffset>56515</wp:posOffset>
                      </wp:positionV>
                      <wp:extent cx="1962150" cy="247650"/>
                      <wp:effectExtent l="0" t="0" r="0" b="0"/>
                      <wp:wrapNone/>
                      <wp:docPr id="93" name="Rectangle 93"/>
                      <wp:cNvGraphicFramePr/>
                      <a:graphic xmlns:a="http://schemas.openxmlformats.org/drawingml/2006/main">
                        <a:graphicData uri="http://schemas.microsoft.com/office/word/2010/wordprocessingShape">
                          <wps:wsp>
                            <wps:cNvSpPr/>
                            <wps:spPr>
                              <a:xfrm>
                                <a:off x="0" y="0"/>
                                <a:ext cx="196215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01A7915D" w14:textId="77777777" w:rsidR="00BF6703" w:rsidRPr="00EF05E6" w:rsidRDefault="00BF6703" w:rsidP="00BF6703">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04AD1" id="Rectangle 93" o:spid="_x0000_s1028" style="position:absolute;margin-left:18.85pt;margin-top:4.45pt;width:15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" fillcolor="#00b050" stroked="f" strokeweight="2pt">
                      <v:fill color2="red" rotate="t" focusposition=",1" focussize="" colors="0 #00b050;.25 yellow;23593f yellow;44564f #ffc000;1 red" focus="100%" type="gradientRadial"/>
                      <v:textbox inset="0,0,0,0">
                        <w:txbxContent>
                          <w:p w:rsidR="00BF6703" w:rsidRPr="00EF05E6" w:rsidRDefault="00BF6703" w:rsidP="00BF6703">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18AEFABD" w14:textId="77777777" w:rsidR="00BF6703" w:rsidRPr="001268FD" w:rsidRDefault="00BF6703" w:rsidP="0037440F">
            <w:pPr>
              <w:rPr>
                <w:rFonts w:cs="Arial"/>
                <w:b/>
              </w:rPr>
            </w:pPr>
          </w:p>
        </w:tc>
        <w:tc>
          <w:tcPr>
            <w:tcW w:w="510" w:type="dxa"/>
          </w:tcPr>
          <w:p w14:paraId="0BD5EAA6" w14:textId="77777777" w:rsidR="00BF6703" w:rsidRPr="001268FD" w:rsidRDefault="00BF6703" w:rsidP="0037440F">
            <w:pPr>
              <w:rPr>
                <w:rFonts w:cs="Arial"/>
                <w:b/>
              </w:rPr>
            </w:pPr>
          </w:p>
        </w:tc>
        <w:tc>
          <w:tcPr>
            <w:tcW w:w="510" w:type="dxa"/>
          </w:tcPr>
          <w:p w14:paraId="28978872" w14:textId="77777777" w:rsidR="00BF6703" w:rsidRPr="001268FD" w:rsidRDefault="00BF6703" w:rsidP="0037440F">
            <w:pPr>
              <w:rPr>
                <w:rFonts w:cs="Arial"/>
                <w:b/>
              </w:rPr>
            </w:pPr>
          </w:p>
        </w:tc>
        <w:tc>
          <w:tcPr>
            <w:tcW w:w="510" w:type="dxa"/>
          </w:tcPr>
          <w:p w14:paraId="585A4259" w14:textId="77777777" w:rsidR="00BF6703" w:rsidRPr="001268FD" w:rsidRDefault="00BF6703" w:rsidP="0037440F">
            <w:pPr>
              <w:rPr>
                <w:rFonts w:cs="Arial"/>
                <w:b/>
              </w:rPr>
            </w:pPr>
          </w:p>
        </w:tc>
        <w:tc>
          <w:tcPr>
            <w:tcW w:w="510" w:type="dxa"/>
          </w:tcPr>
          <w:p w14:paraId="19B02E5F" w14:textId="77777777" w:rsidR="00BF6703" w:rsidRPr="001268FD" w:rsidRDefault="00BF6703" w:rsidP="0037440F">
            <w:pPr>
              <w:rPr>
                <w:rFonts w:cs="Arial"/>
                <w:b/>
              </w:rPr>
            </w:pPr>
          </w:p>
        </w:tc>
        <w:tc>
          <w:tcPr>
            <w:tcW w:w="510" w:type="dxa"/>
          </w:tcPr>
          <w:p w14:paraId="16EFA46B" w14:textId="77777777" w:rsidR="00BF6703" w:rsidRPr="001268FD" w:rsidRDefault="00BF6703" w:rsidP="0037440F">
            <w:pPr>
              <w:rPr>
                <w:rFonts w:cs="Arial"/>
                <w:b/>
              </w:rPr>
            </w:pPr>
          </w:p>
        </w:tc>
        <w:tc>
          <w:tcPr>
            <w:tcW w:w="510" w:type="dxa"/>
          </w:tcPr>
          <w:p w14:paraId="02834F4D" w14:textId="77777777" w:rsidR="00BF6703" w:rsidRPr="001268FD" w:rsidRDefault="00BF6703" w:rsidP="0037440F">
            <w:pPr>
              <w:rPr>
                <w:rFonts w:cs="Arial"/>
                <w:b/>
              </w:rPr>
            </w:pPr>
          </w:p>
        </w:tc>
        <w:tc>
          <w:tcPr>
            <w:tcW w:w="510" w:type="dxa"/>
          </w:tcPr>
          <w:p w14:paraId="0285F9D2" w14:textId="77777777" w:rsidR="00BF6703" w:rsidRPr="001268FD" w:rsidRDefault="00BF6703" w:rsidP="0037440F">
            <w:pPr>
              <w:rPr>
                <w:rFonts w:cs="Arial"/>
                <w:b/>
              </w:rPr>
            </w:pPr>
          </w:p>
        </w:tc>
        <w:tc>
          <w:tcPr>
            <w:tcW w:w="510" w:type="dxa"/>
          </w:tcPr>
          <w:p w14:paraId="68CD8D49" w14:textId="77777777" w:rsidR="00BF6703" w:rsidRPr="001268FD" w:rsidRDefault="00BF6703" w:rsidP="0037440F">
            <w:pPr>
              <w:rPr>
                <w:rFonts w:cs="Arial"/>
                <w:b/>
              </w:rPr>
            </w:pPr>
          </w:p>
        </w:tc>
        <w:tc>
          <w:tcPr>
            <w:tcW w:w="510" w:type="dxa"/>
          </w:tcPr>
          <w:p w14:paraId="30B20980" w14:textId="77777777" w:rsidR="00BF6703" w:rsidRPr="001268FD" w:rsidRDefault="00BF6703" w:rsidP="0037440F">
            <w:pPr>
              <w:rPr>
                <w:rFonts w:cs="Arial"/>
                <w:b/>
              </w:rPr>
            </w:pPr>
          </w:p>
        </w:tc>
        <w:tc>
          <w:tcPr>
            <w:tcW w:w="510" w:type="dxa"/>
          </w:tcPr>
          <w:p w14:paraId="3923397C" w14:textId="77777777" w:rsidR="00BF6703" w:rsidRPr="001268FD" w:rsidRDefault="00BF6703" w:rsidP="0037440F">
            <w:pPr>
              <w:rPr>
                <w:rFonts w:cs="Arial"/>
                <w:b/>
              </w:rPr>
            </w:pPr>
          </w:p>
        </w:tc>
        <w:tc>
          <w:tcPr>
            <w:tcW w:w="510" w:type="dxa"/>
          </w:tcPr>
          <w:p w14:paraId="1761168D" w14:textId="77777777" w:rsidR="00BF6703" w:rsidRPr="001268FD" w:rsidRDefault="00BF6703" w:rsidP="0037440F">
            <w:pPr>
              <w:rPr>
                <w:rFonts w:cs="Arial"/>
                <w:b/>
              </w:rPr>
            </w:pPr>
          </w:p>
        </w:tc>
      </w:tr>
      <w:tr w:rsidR="00BF6703" w:rsidRPr="001268FD" w14:paraId="0B85F7C9" w14:textId="77777777" w:rsidTr="0037440F">
        <w:trPr>
          <w:trHeight w:val="510"/>
        </w:trPr>
        <w:tc>
          <w:tcPr>
            <w:tcW w:w="1985" w:type="dxa"/>
            <w:vAlign w:val="center"/>
          </w:tcPr>
          <w:p w14:paraId="70FFB090" w14:textId="77777777" w:rsidR="00BF6703" w:rsidRPr="001268FD" w:rsidRDefault="00BF6703" w:rsidP="0037440F">
            <w:pPr>
              <w:rPr>
                <w:rFonts w:cs="Arial"/>
                <w:b/>
                <w:sz w:val="22"/>
              </w:rPr>
            </w:pPr>
            <w:r w:rsidRPr="001268FD">
              <w:rPr>
                <w:rFonts w:cs="Arial"/>
                <w:b/>
                <w:sz w:val="22"/>
              </w:rPr>
              <w:t>Resources</w:t>
            </w:r>
          </w:p>
        </w:tc>
        <w:tc>
          <w:tcPr>
            <w:tcW w:w="510" w:type="dxa"/>
          </w:tcPr>
          <w:p w14:paraId="1C2582F2" w14:textId="77777777" w:rsidR="00BF6703" w:rsidRPr="001268FD" w:rsidRDefault="00BF6703" w:rsidP="0037440F">
            <w:pPr>
              <w:jc w:val="center"/>
              <w:rPr>
                <w:rFonts w:cs="Arial"/>
                <w:b/>
              </w:rPr>
            </w:pPr>
          </w:p>
        </w:tc>
        <w:tc>
          <w:tcPr>
            <w:tcW w:w="510" w:type="dxa"/>
          </w:tcPr>
          <w:p w14:paraId="661D476B" w14:textId="77777777" w:rsidR="00BF6703" w:rsidRPr="001268FD" w:rsidRDefault="00BF6703" w:rsidP="0037440F">
            <w:pPr>
              <w:rPr>
                <w:rFonts w:cs="Arial"/>
                <w:b/>
              </w:rPr>
            </w:pPr>
          </w:p>
        </w:tc>
        <w:tc>
          <w:tcPr>
            <w:tcW w:w="510" w:type="dxa"/>
          </w:tcPr>
          <w:p w14:paraId="0C49B4FB" w14:textId="77777777" w:rsidR="00BF6703" w:rsidRPr="001268FD" w:rsidRDefault="00BF6703" w:rsidP="0037440F">
            <w:pPr>
              <w:rPr>
                <w:rFonts w:cs="Arial"/>
                <w:b/>
              </w:rPr>
            </w:pPr>
          </w:p>
        </w:tc>
        <w:tc>
          <w:tcPr>
            <w:tcW w:w="510" w:type="dxa"/>
          </w:tcPr>
          <w:p w14:paraId="02B0C440" w14:textId="77777777" w:rsidR="00BF6703" w:rsidRPr="001268FD" w:rsidRDefault="00BF6703" w:rsidP="0037440F">
            <w:pPr>
              <w:rPr>
                <w:rFonts w:cs="Arial"/>
                <w:b/>
              </w:rPr>
            </w:pPr>
          </w:p>
        </w:tc>
        <w:tc>
          <w:tcPr>
            <w:tcW w:w="510" w:type="dxa"/>
          </w:tcPr>
          <w:p w14:paraId="52656E2A" w14:textId="77777777" w:rsidR="00BF6703" w:rsidRPr="001268FD" w:rsidRDefault="00BF6703" w:rsidP="0037440F">
            <w:pPr>
              <w:rPr>
                <w:rFonts w:cs="Arial"/>
                <w:b/>
              </w:rPr>
            </w:pPr>
          </w:p>
        </w:tc>
        <w:tc>
          <w:tcPr>
            <w:tcW w:w="510" w:type="dxa"/>
          </w:tcPr>
          <w:p w14:paraId="184033D4" w14:textId="77777777" w:rsidR="00BF6703" w:rsidRPr="001268FD" w:rsidRDefault="00BF6703" w:rsidP="0037440F">
            <w:pPr>
              <w:rPr>
                <w:rFonts w:cs="Arial"/>
                <w:b/>
              </w:rPr>
            </w:pPr>
          </w:p>
        </w:tc>
        <w:tc>
          <w:tcPr>
            <w:tcW w:w="510" w:type="dxa"/>
          </w:tcPr>
          <w:p w14:paraId="72110C14" w14:textId="77777777" w:rsidR="00BF6703" w:rsidRPr="001268FD" w:rsidRDefault="00BF6703" w:rsidP="0037440F">
            <w:pPr>
              <w:rPr>
                <w:rFonts w:cs="Arial"/>
                <w:b/>
              </w:rPr>
            </w:pPr>
          </w:p>
        </w:tc>
        <w:tc>
          <w:tcPr>
            <w:tcW w:w="510" w:type="dxa"/>
          </w:tcPr>
          <w:p w14:paraId="130940B9" w14:textId="77777777" w:rsidR="00BF6703" w:rsidRPr="001268FD" w:rsidRDefault="00BF6703" w:rsidP="0037440F">
            <w:pPr>
              <w:rPr>
                <w:rFonts w:cs="Arial"/>
                <w:b/>
              </w:rPr>
            </w:pPr>
          </w:p>
        </w:tc>
        <w:tc>
          <w:tcPr>
            <w:tcW w:w="510" w:type="dxa"/>
          </w:tcPr>
          <w:p w14:paraId="6504AA95" w14:textId="77777777" w:rsidR="00BF6703" w:rsidRPr="001268FD" w:rsidRDefault="00BF6703" w:rsidP="0037440F">
            <w:pPr>
              <w:rPr>
                <w:rFonts w:cs="Arial"/>
                <w:b/>
              </w:rPr>
            </w:pPr>
          </w:p>
        </w:tc>
        <w:tc>
          <w:tcPr>
            <w:tcW w:w="510" w:type="dxa"/>
          </w:tcPr>
          <w:p w14:paraId="7F110ADD" w14:textId="77777777" w:rsidR="00BF6703" w:rsidRPr="001268FD" w:rsidRDefault="00BF6703" w:rsidP="0037440F">
            <w:pPr>
              <w:rPr>
                <w:rFonts w:cs="Arial"/>
                <w:b/>
              </w:rPr>
            </w:pPr>
          </w:p>
        </w:tc>
        <w:tc>
          <w:tcPr>
            <w:tcW w:w="510" w:type="dxa"/>
          </w:tcPr>
          <w:p w14:paraId="4BDAC056" w14:textId="77777777" w:rsidR="00BF6703" w:rsidRPr="001268FD" w:rsidRDefault="00BF6703" w:rsidP="0037440F">
            <w:pPr>
              <w:rPr>
                <w:rFonts w:cs="Arial"/>
                <w:b/>
              </w:rPr>
            </w:pPr>
          </w:p>
        </w:tc>
        <w:tc>
          <w:tcPr>
            <w:tcW w:w="510" w:type="dxa"/>
          </w:tcPr>
          <w:p w14:paraId="22118D6B" w14:textId="77777777" w:rsidR="00BF6703" w:rsidRPr="001268FD" w:rsidRDefault="00BF6703" w:rsidP="0037440F">
            <w:pPr>
              <w:rPr>
                <w:rFonts w:cs="Arial"/>
                <w:b/>
              </w:rPr>
            </w:pPr>
            <w:r w:rsidRPr="001268FD">
              <w:rPr>
                <w:noProof/>
                <w:szCs w:val="24"/>
              </w:rPr>
              <mc:AlternateContent>
                <mc:Choice Requires="wps">
                  <w:drawing>
                    <wp:anchor distT="0" distB="0" distL="114300" distR="114300" simplePos="0" relativeHeight="251663360" behindDoc="0" locked="0" layoutInCell="1" allowOverlap="1" wp14:anchorId="432DEB4C" wp14:editId="53A88D63">
                      <wp:simplePos x="0" y="0"/>
                      <wp:positionH relativeFrom="column">
                        <wp:posOffset>-65405</wp:posOffset>
                      </wp:positionH>
                      <wp:positionV relativeFrom="page">
                        <wp:posOffset>59690</wp:posOffset>
                      </wp:positionV>
                      <wp:extent cx="2228850" cy="247650"/>
                      <wp:effectExtent l="0" t="0" r="0" b="0"/>
                      <wp:wrapNone/>
                      <wp:docPr id="95" name="Rectangle 95"/>
                      <wp:cNvGraphicFramePr/>
                      <a:graphic xmlns:a="http://schemas.openxmlformats.org/drawingml/2006/main">
                        <a:graphicData uri="http://schemas.microsoft.com/office/word/2010/wordprocessingShape">
                          <wps:wsp>
                            <wps:cNvSpPr/>
                            <wps:spPr>
                              <a:xfrm>
                                <a:off x="0" y="0"/>
                                <a:ext cx="222885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18268075" w14:textId="77777777" w:rsidR="00BF6703" w:rsidRPr="00EF05E6" w:rsidRDefault="00BF6703" w:rsidP="00BF6703">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874CB" id="Rectangle 95" o:spid="_x0000_s1029" style="position:absolute;margin-left:-5.15pt;margin-top:4.7pt;width:17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" fillcolor="#00b050" stroked="f" strokeweight="2pt">
                      <v:fill color2="red" rotate="t" focusposition=",1" focussize="" colors="0 #00b050;.25 yellow;23593f yellow;44564f #ffc000;1 red" focus="100%" type="gradientRadial"/>
                      <v:textbox inset="0,0,0,0">
                        <w:txbxContent>
                          <w:p w:rsidR="00BF6703" w:rsidRPr="00EF05E6" w:rsidRDefault="00BF6703" w:rsidP="00BF6703">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166B041C" w14:textId="77777777" w:rsidR="00BF6703" w:rsidRPr="001268FD" w:rsidRDefault="00BF6703" w:rsidP="0037440F">
            <w:pPr>
              <w:rPr>
                <w:rFonts w:cs="Arial"/>
                <w:b/>
              </w:rPr>
            </w:pPr>
          </w:p>
        </w:tc>
        <w:tc>
          <w:tcPr>
            <w:tcW w:w="510" w:type="dxa"/>
          </w:tcPr>
          <w:p w14:paraId="22896F87" w14:textId="77777777" w:rsidR="00BF6703" w:rsidRPr="001268FD" w:rsidRDefault="00BF6703" w:rsidP="0037440F">
            <w:pPr>
              <w:rPr>
                <w:rFonts w:cs="Arial"/>
                <w:b/>
              </w:rPr>
            </w:pPr>
          </w:p>
        </w:tc>
        <w:tc>
          <w:tcPr>
            <w:tcW w:w="510" w:type="dxa"/>
          </w:tcPr>
          <w:p w14:paraId="0D886137" w14:textId="77777777" w:rsidR="00BF6703" w:rsidRPr="001268FD" w:rsidRDefault="00BF6703" w:rsidP="0037440F">
            <w:pPr>
              <w:rPr>
                <w:rFonts w:cs="Arial"/>
                <w:b/>
              </w:rPr>
            </w:pPr>
          </w:p>
        </w:tc>
        <w:tc>
          <w:tcPr>
            <w:tcW w:w="510" w:type="dxa"/>
          </w:tcPr>
          <w:p w14:paraId="44064649" w14:textId="77777777" w:rsidR="00BF6703" w:rsidRPr="001268FD" w:rsidRDefault="00BF6703" w:rsidP="0037440F">
            <w:pPr>
              <w:rPr>
                <w:rFonts w:cs="Arial"/>
                <w:b/>
              </w:rPr>
            </w:pPr>
          </w:p>
        </w:tc>
        <w:tc>
          <w:tcPr>
            <w:tcW w:w="510" w:type="dxa"/>
          </w:tcPr>
          <w:p w14:paraId="3FC3270D" w14:textId="77777777" w:rsidR="00BF6703" w:rsidRPr="001268FD" w:rsidRDefault="00BF6703" w:rsidP="0037440F">
            <w:pPr>
              <w:rPr>
                <w:rFonts w:cs="Arial"/>
                <w:b/>
              </w:rPr>
            </w:pPr>
          </w:p>
        </w:tc>
        <w:tc>
          <w:tcPr>
            <w:tcW w:w="510" w:type="dxa"/>
          </w:tcPr>
          <w:p w14:paraId="3CBDF0F8" w14:textId="77777777" w:rsidR="00BF6703" w:rsidRPr="001268FD" w:rsidRDefault="00BF6703" w:rsidP="0037440F">
            <w:pPr>
              <w:rPr>
                <w:rFonts w:cs="Arial"/>
                <w:b/>
              </w:rPr>
            </w:pPr>
          </w:p>
        </w:tc>
        <w:tc>
          <w:tcPr>
            <w:tcW w:w="510" w:type="dxa"/>
          </w:tcPr>
          <w:p w14:paraId="5DD22C5D" w14:textId="77777777" w:rsidR="00BF6703" w:rsidRPr="001268FD" w:rsidRDefault="00BF6703" w:rsidP="0037440F">
            <w:pPr>
              <w:rPr>
                <w:rFonts w:cs="Arial"/>
                <w:b/>
              </w:rPr>
            </w:pPr>
          </w:p>
        </w:tc>
        <w:tc>
          <w:tcPr>
            <w:tcW w:w="510" w:type="dxa"/>
          </w:tcPr>
          <w:p w14:paraId="62FCD68E" w14:textId="77777777" w:rsidR="00BF6703" w:rsidRPr="001268FD" w:rsidRDefault="00BF6703" w:rsidP="0037440F">
            <w:pPr>
              <w:rPr>
                <w:rFonts w:cs="Arial"/>
                <w:b/>
              </w:rPr>
            </w:pPr>
          </w:p>
        </w:tc>
        <w:tc>
          <w:tcPr>
            <w:tcW w:w="510" w:type="dxa"/>
          </w:tcPr>
          <w:p w14:paraId="18BFFF92" w14:textId="77777777" w:rsidR="00BF6703" w:rsidRPr="001268FD" w:rsidRDefault="00BF6703" w:rsidP="0037440F">
            <w:pPr>
              <w:rPr>
                <w:rFonts w:cs="Arial"/>
                <w:b/>
              </w:rPr>
            </w:pPr>
          </w:p>
        </w:tc>
        <w:tc>
          <w:tcPr>
            <w:tcW w:w="510" w:type="dxa"/>
          </w:tcPr>
          <w:p w14:paraId="18BC52CB" w14:textId="77777777" w:rsidR="00BF6703" w:rsidRPr="001268FD" w:rsidRDefault="00BF6703" w:rsidP="0037440F">
            <w:pPr>
              <w:rPr>
                <w:rFonts w:cs="Arial"/>
                <w:b/>
              </w:rPr>
            </w:pPr>
          </w:p>
        </w:tc>
        <w:tc>
          <w:tcPr>
            <w:tcW w:w="510" w:type="dxa"/>
          </w:tcPr>
          <w:p w14:paraId="0BC0E58E" w14:textId="77777777" w:rsidR="00BF6703" w:rsidRPr="001268FD" w:rsidRDefault="00BF6703" w:rsidP="0037440F">
            <w:pPr>
              <w:rPr>
                <w:rFonts w:cs="Arial"/>
                <w:b/>
              </w:rPr>
            </w:pPr>
          </w:p>
        </w:tc>
        <w:tc>
          <w:tcPr>
            <w:tcW w:w="510" w:type="dxa"/>
          </w:tcPr>
          <w:p w14:paraId="023327B8" w14:textId="77777777" w:rsidR="00BF6703" w:rsidRPr="001268FD" w:rsidRDefault="00BF6703" w:rsidP="0037440F">
            <w:pPr>
              <w:rPr>
                <w:rFonts w:cs="Arial"/>
                <w:b/>
              </w:rPr>
            </w:pPr>
          </w:p>
        </w:tc>
        <w:tc>
          <w:tcPr>
            <w:tcW w:w="510" w:type="dxa"/>
          </w:tcPr>
          <w:p w14:paraId="7F877AFB" w14:textId="77777777" w:rsidR="00BF6703" w:rsidRPr="001268FD" w:rsidRDefault="00BF6703" w:rsidP="0037440F">
            <w:pPr>
              <w:rPr>
                <w:rFonts w:cs="Arial"/>
                <w:b/>
              </w:rPr>
            </w:pPr>
          </w:p>
        </w:tc>
      </w:tr>
      <w:tr w:rsidR="00BF6703" w:rsidRPr="001268FD" w14:paraId="6BBB91AD" w14:textId="77777777" w:rsidTr="0037440F">
        <w:trPr>
          <w:trHeight w:val="510"/>
        </w:trPr>
        <w:tc>
          <w:tcPr>
            <w:tcW w:w="1985" w:type="dxa"/>
            <w:vAlign w:val="center"/>
          </w:tcPr>
          <w:p w14:paraId="2D7F8328" w14:textId="77777777" w:rsidR="00BF6703" w:rsidRPr="001268FD" w:rsidRDefault="00BF6703" w:rsidP="0037440F">
            <w:pPr>
              <w:rPr>
                <w:rFonts w:cs="Arial"/>
                <w:b/>
                <w:sz w:val="22"/>
              </w:rPr>
            </w:pPr>
            <w:r w:rsidRPr="001268FD">
              <w:rPr>
                <w:rFonts w:cs="Arial"/>
                <w:b/>
                <w:sz w:val="22"/>
              </w:rPr>
              <w:t>Reputational</w:t>
            </w:r>
          </w:p>
        </w:tc>
        <w:tc>
          <w:tcPr>
            <w:tcW w:w="510" w:type="dxa"/>
          </w:tcPr>
          <w:p w14:paraId="0FD764A9" w14:textId="77777777" w:rsidR="00BF6703" w:rsidRPr="001268FD" w:rsidRDefault="00BF6703" w:rsidP="0037440F">
            <w:pPr>
              <w:jc w:val="center"/>
              <w:rPr>
                <w:rFonts w:cs="Arial"/>
                <w:b/>
              </w:rPr>
            </w:pPr>
          </w:p>
        </w:tc>
        <w:tc>
          <w:tcPr>
            <w:tcW w:w="510" w:type="dxa"/>
          </w:tcPr>
          <w:p w14:paraId="553D53AD" w14:textId="77777777" w:rsidR="00BF6703" w:rsidRPr="001268FD" w:rsidRDefault="00BF6703" w:rsidP="0037440F">
            <w:pPr>
              <w:rPr>
                <w:rFonts w:cs="Arial"/>
                <w:b/>
              </w:rPr>
            </w:pPr>
          </w:p>
        </w:tc>
        <w:tc>
          <w:tcPr>
            <w:tcW w:w="510" w:type="dxa"/>
          </w:tcPr>
          <w:p w14:paraId="2CBFFB1A" w14:textId="77777777" w:rsidR="00BF6703" w:rsidRPr="001268FD" w:rsidRDefault="00BF6703" w:rsidP="0037440F">
            <w:pPr>
              <w:rPr>
                <w:rFonts w:cs="Arial"/>
                <w:b/>
              </w:rPr>
            </w:pPr>
          </w:p>
        </w:tc>
        <w:tc>
          <w:tcPr>
            <w:tcW w:w="510" w:type="dxa"/>
          </w:tcPr>
          <w:p w14:paraId="5C10D375" w14:textId="77777777" w:rsidR="00BF6703" w:rsidRPr="001268FD" w:rsidRDefault="00BF6703" w:rsidP="0037440F">
            <w:pPr>
              <w:rPr>
                <w:rFonts w:cs="Arial"/>
                <w:b/>
              </w:rPr>
            </w:pPr>
          </w:p>
        </w:tc>
        <w:tc>
          <w:tcPr>
            <w:tcW w:w="510" w:type="dxa"/>
          </w:tcPr>
          <w:p w14:paraId="0C8D267E" w14:textId="77777777" w:rsidR="00BF6703" w:rsidRPr="001268FD" w:rsidRDefault="00BF6703" w:rsidP="0037440F">
            <w:pPr>
              <w:rPr>
                <w:rFonts w:cs="Arial"/>
                <w:b/>
              </w:rPr>
            </w:pPr>
          </w:p>
        </w:tc>
        <w:tc>
          <w:tcPr>
            <w:tcW w:w="510" w:type="dxa"/>
          </w:tcPr>
          <w:p w14:paraId="1E0A7456" w14:textId="77777777" w:rsidR="00BF6703" w:rsidRPr="001268FD" w:rsidRDefault="00BF6703" w:rsidP="0037440F">
            <w:pPr>
              <w:rPr>
                <w:rFonts w:cs="Arial"/>
                <w:b/>
              </w:rPr>
            </w:pPr>
          </w:p>
        </w:tc>
        <w:tc>
          <w:tcPr>
            <w:tcW w:w="510" w:type="dxa"/>
          </w:tcPr>
          <w:p w14:paraId="121DC270" w14:textId="77777777" w:rsidR="00BF6703" w:rsidRPr="001268FD" w:rsidRDefault="00BF6703" w:rsidP="0037440F">
            <w:pPr>
              <w:rPr>
                <w:rFonts w:cs="Arial"/>
                <w:b/>
              </w:rPr>
            </w:pPr>
          </w:p>
        </w:tc>
        <w:tc>
          <w:tcPr>
            <w:tcW w:w="510" w:type="dxa"/>
          </w:tcPr>
          <w:p w14:paraId="1AB90933" w14:textId="77777777" w:rsidR="00BF6703" w:rsidRPr="001268FD" w:rsidRDefault="00BF6703" w:rsidP="0037440F">
            <w:pPr>
              <w:rPr>
                <w:rFonts w:cs="Arial"/>
                <w:b/>
              </w:rPr>
            </w:pPr>
          </w:p>
        </w:tc>
        <w:tc>
          <w:tcPr>
            <w:tcW w:w="510" w:type="dxa"/>
          </w:tcPr>
          <w:p w14:paraId="47A29A15" w14:textId="77777777" w:rsidR="00BF6703" w:rsidRPr="001268FD" w:rsidRDefault="00BF6703" w:rsidP="0037440F">
            <w:pPr>
              <w:rPr>
                <w:rFonts w:cs="Arial"/>
                <w:b/>
              </w:rPr>
            </w:pPr>
          </w:p>
        </w:tc>
        <w:tc>
          <w:tcPr>
            <w:tcW w:w="510" w:type="dxa"/>
          </w:tcPr>
          <w:p w14:paraId="43FDE614" w14:textId="77777777" w:rsidR="00BF6703" w:rsidRPr="001268FD" w:rsidRDefault="00BF6703" w:rsidP="0037440F">
            <w:pPr>
              <w:rPr>
                <w:rFonts w:cs="Arial"/>
                <w:b/>
              </w:rPr>
            </w:pPr>
          </w:p>
        </w:tc>
        <w:tc>
          <w:tcPr>
            <w:tcW w:w="510" w:type="dxa"/>
          </w:tcPr>
          <w:p w14:paraId="7E706DEB" w14:textId="77777777" w:rsidR="00BF6703" w:rsidRPr="001268FD" w:rsidRDefault="00BF6703" w:rsidP="0037440F">
            <w:pPr>
              <w:rPr>
                <w:rFonts w:cs="Arial"/>
                <w:b/>
              </w:rPr>
            </w:pPr>
          </w:p>
        </w:tc>
        <w:tc>
          <w:tcPr>
            <w:tcW w:w="510" w:type="dxa"/>
          </w:tcPr>
          <w:p w14:paraId="3A35DCB6" w14:textId="77777777" w:rsidR="00BF6703" w:rsidRPr="001268FD" w:rsidRDefault="00BF6703" w:rsidP="0037440F">
            <w:pPr>
              <w:rPr>
                <w:rFonts w:cs="Arial"/>
                <w:b/>
              </w:rPr>
            </w:pPr>
            <w:r w:rsidRPr="001268FD">
              <w:rPr>
                <w:noProof/>
                <w:szCs w:val="24"/>
              </w:rPr>
              <mc:AlternateContent>
                <mc:Choice Requires="wps">
                  <w:drawing>
                    <wp:anchor distT="0" distB="0" distL="114300" distR="114300" simplePos="0" relativeHeight="251661312" behindDoc="0" locked="0" layoutInCell="1" allowOverlap="1" wp14:anchorId="0444F373" wp14:editId="643C2624">
                      <wp:simplePos x="0" y="0"/>
                      <wp:positionH relativeFrom="column">
                        <wp:posOffset>239395</wp:posOffset>
                      </wp:positionH>
                      <wp:positionV relativeFrom="page">
                        <wp:posOffset>53340</wp:posOffset>
                      </wp:positionV>
                      <wp:extent cx="1600200" cy="247650"/>
                      <wp:effectExtent l="0" t="0" r="0" b="0"/>
                      <wp:wrapNone/>
                      <wp:docPr id="94" name="Rectangle 94"/>
                      <wp:cNvGraphicFramePr/>
                      <a:graphic xmlns:a="http://schemas.openxmlformats.org/drawingml/2006/main">
                        <a:graphicData uri="http://schemas.microsoft.com/office/word/2010/wordprocessingShape">
                          <wps:wsp>
                            <wps:cNvSpPr/>
                            <wps:spPr>
                              <a:xfrm>
                                <a:off x="0" y="0"/>
                                <a:ext cx="160020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550FB14C" w14:textId="77777777" w:rsidR="00BF6703" w:rsidRPr="00EF05E6" w:rsidRDefault="00BF6703" w:rsidP="00BF6703">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0B17C" id="Rectangle 94" o:spid="_x0000_s1030" style="position:absolute;margin-left:18.85pt;margin-top:4.2pt;width:12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" fillcolor="#00b050" stroked="f" strokeweight="2pt">
                      <v:fill color2="red" rotate="t" focusposition=",1" focussize="" colors="0 #00b050;.25 yellow;23593f yellow;44564f #ffc000;1 red" focus="100%" type="gradientRadial"/>
                      <v:textbox inset="0,0,0,0">
                        <w:txbxContent>
                          <w:p w:rsidR="00BF6703" w:rsidRPr="00EF05E6" w:rsidRDefault="00BF6703" w:rsidP="00BF6703">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3F611433" w14:textId="77777777" w:rsidR="00BF6703" w:rsidRPr="001268FD" w:rsidRDefault="00BF6703" w:rsidP="0037440F">
            <w:pPr>
              <w:rPr>
                <w:rFonts w:cs="Arial"/>
                <w:b/>
              </w:rPr>
            </w:pPr>
          </w:p>
        </w:tc>
        <w:tc>
          <w:tcPr>
            <w:tcW w:w="510" w:type="dxa"/>
          </w:tcPr>
          <w:p w14:paraId="0A50B974" w14:textId="77777777" w:rsidR="00BF6703" w:rsidRPr="001268FD" w:rsidRDefault="00BF6703" w:rsidP="0037440F">
            <w:pPr>
              <w:rPr>
                <w:rFonts w:cs="Arial"/>
                <w:b/>
              </w:rPr>
            </w:pPr>
          </w:p>
        </w:tc>
        <w:tc>
          <w:tcPr>
            <w:tcW w:w="510" w:type="dxa"/>
          </w:tcPr>
          <w:p w14:paraId="55E75136" w14:textId="77777777" w:rsidR="00BF6703" w:rsidRPr="001268FD" w:rsidRDefault="00BF6703" w:rsidP="0037440F">
            <w:pPr>
              <w:rPr>
                <w:rFonts w:cs="Arial"/>
                <w:b/>
              </w:rPr>
            </w:pPr>
          </w:p>
        </w:tc>
        <w:tc>
          <w:tcPr>
            <w:tcW w:w="510" w:type="dxa"/>
          </w:tcPr>
          <w:p w14:paraId="262355B1" w14:textId="77777777" w:rsidR="00BF6703" w:rsidRPr="001268FD" w:rsidRDefault="00BF6703" w:rsidP="0037440F">
            <w:pPr>
              <w:rPr>
                <w:rFonts w:cs="Arial"/>
                <w:b/>
              </w:rPr>
            </w:pPr>
          </w:p>
        </w:tc>
        <w:tc>
          <w:tcPr>
            <w:tcW w:w="510" w:type="dxa"/>
          </w:tcPr>
          <w:p w14:paraId="349B2F4F" w14:textId="77777777" w:rsidR="00BF6703" w:rsidRPr="001268FD" w:rsidRDefault="00BF6703" w:rsidP="0037440F">
            <w:pPr>
              <w:rPr>
                <w:rFonts w:cs="Arial"/>
                <w:b/>
              </w:rPr>
            </w:pPr>
          </w:p>
        </w:tc>
        <w:tc>
          <w:tcPr>
            <w:tcW w:w="510" w:type="dxa"/>
          </w:tcPr>
          <w:p w14:paraId="4072B288" w14:textId="77777777" w:rsidR="00BF6703" w:rsidRPr="001268FD" w:rsidRDefault="00BF6703" w:rsidP="0037440F">
            <w:pPr>
              <w:rPr>
                <w:rFonts w:cs="Arial"/>
                <w:b/>
              </w:rPr>
            </w:pPr>
          </w:p>
        </w:tc>
        <w:tc>
          <w:tcPr>
            <w:tcW w:w="510" w:type="dxa"/>
          </w:tcPr>
          <w:p w14:paraId="0B37D42A" w14:textId="77777777" w:rsidR="00BF6703" w:rsidRPr="001268FD" w:rsidRDefault="00BF6703" w:rsidP="0037440F">
            <w:pPr>
              <w:rPr>
                <w:rFonts w:cs="Arial"/>
                <w:b/>
              </w:rPr>
            </w:pPr>
          </w:p>
        </w:tc>
        <w:tc>
          <w:tcPr>
            <w:tcW w:w="510" w:type="dxa"/>
          </w:tcPr>
          <w:p w14:paraId="77D3110B" w14:textId="77777777" w:rsidR="00BF6703" w:rsidRPr="001268FD" w:rsidRDefault="00BF6703" w:rsidP="0037440F">
            <w:pPr>
              <w:rPr>
                <w:rFonts w:cs="Arial"/>
                <w:b/>
              </w:rPr>
            </w:pPr>
          </w:p>
        </w:tc>
        <w:tc>
          <w:tcPr>
            <w:tcW w:w="510" w:type="dxa"/>
          </w:tcPr>
          <w:p w14:paraId="7741BF44" w14:textId="77777777" w:rsidR="00BF6703" w:rsidRPr="001268FD" w:rsidRDefault="00BF6703" w:rsidP="0037440F">
            <w:pPr>
              <w:rPr>
                <w:rFonts w:cs="Arial"/>
                <w:b/>
              </w:rPr>
            </w:pPr>
          </w:p>
        </w:tc>
        <w:tc>
          <w:tcPr>
            <w:tcW w:w="510" w:type="dxa"/>
          </w:tcPr>
          <w:p w14:paraId="30537FAD" w14:textId="77777777" w:rsidR="00BF6703" w:rsidRPr="001268FD" w:rsidRDefault="00BF6703" w:rsidP="0037440F">
            <w:pPr>
              <w:rPr>
                <w:rFonts w:cs="Arial"/>
                <w:b/>
              </w:rPr>
            </w:pPr>
          </w:p>
        </w:tc>
        <w:tc>
          <w:tcPr>
            <w:tcW w:w="510" w:type="dxa"/>
          </w:tcPr>
          <w:p w14:paraId="0E55DFF3" w14:textId="77777777" w:rsidR="00BF6703" w:rsidRPr="001268FD" w:rsidRDefault="00BF6703" w:rsidP="0037440F">
            <w:pPr>
              <w:rPr>
                <w:rFonts w:cs="Arial"/>
                <w:b/>
              </w:rPr>
            </w:pPr>
          </w:p>
        </w:tc>
        <w:tc>
          <w:tcPr>
            <w:tcW w:w="510" w:type="dxa"/>
          </w:tcPr>
          <w:p w14:paraId="0F7D276D" w14:textId="77777777" w:rsidR="00BF6703" w:rsidRPr="001268FD" w:rsidRDefault="00BF6703" w:rsidP="0037440F">
            <w:pPr>
              <w:rPr>
                <w:rFonts w:cs="Arial"/>
                <w:b/>
              </w:rPr>
            </w:pPr>
          </w:p>
        </w:tc>
        <w:tc>
          <w:tcPr>
            <w:tcW w:w="510" w:type="dxa"/>
          </w:tcPr>
          <w:p w14:paraId="4F5E3246" w14:textId="77777777" w:rsidR="00BF6703" w:rsidRPr="001268FD" w:rsidRDefault="00BF6703" w:rsidP="0037440F">
            <w:pPr>
              <w:rPr>
                <w:rFonts w:cs="Arial"/>
                <w:b/>
              </w:rPr>
            </w:pPr>
          </w:p>
        </w:tc>
      </w:tr>
    </w:tbl>
    <w:p w14:paraId="15D0896B" w14:textId="77777777" w:rsidR="00BF6703" w:rsidRDefault="00BF6703" w:rsidP="00BF6703">
      <w:pPr>
        <w:spacing w:after="0"/>
        <w:rPr>
          <w:rFonts w:ascii="Calibri" w:hAnsi="Calibri" w:cs="Calibri"/>
          <w:b/>
          <w:szCs w:val="24"/>
        </w:rPr>
        <w:sectPr w:rsidR="00BF6703" w:rsidSect="005B6738">
          <w:headerReference w:type="default" r:id="rId12"/>
          <w:footerReference w:type="default" r:id="rId13"/>
          <w:headerReference w:type="first" r:id="rId14"/>
          <w:footerReference w:type="first" r:id="rId15"/>
          <w:pgSz w:w="16838" w:h="11906" w:orient="landscape"/>
          <w:pgMar w:top="1440" w:right="992" w:bottom="1440" w:left="1440" w:header="425" w:footer="709" w:gutter="0"/>
          <w:cols w:space="708"/>
          <w:docGrid w:linePitch="360"/>
        </w:sectPr>
      </w:pPr>
    </w:p>
    <w:p w14:paraId="7C34932D" w14:textId="77777777" w:rsidR="00BF6703" w:rsidRPr="00C41CEC" w:rsidRDefault="00BF6703" w:rsidP="00BF6703">
      <w:pPr>
        <w:spacing w:after="0"/>
        <w:rPr>
          <w:rFonts w:ascii="Calibri" w:hAnsi="Calibri" w:cs="Calibri"/>
          <w:b/>
          <w:szCs w:val="24"/>
        </w:rPr>
      </w:pPr>
      <w:r>
        <w:rPr>
          <w:rFonts w:ascii="Calibri" w:hAnsi="Calibri" w:cs="Calibri"/>
          <w:b/>
          <w:szCs w:val="24"/>
        </w:rPr>
        <w:lastRenderedPageBreak/>
        <w:t xml:space="preserve">Annex </w:t>
      </w:r>
      <w:proofErr w:type="gramStart"/>
      <w:r>
        <w:rPr>
          <w:rFonts w:ascii="Calibri" w:hAnsi="Calibri" w:cs="Calibri"/>
          <w:b/>
          <w:szCs w:val="24"/>
        </w:rPr>
        <w:t>A</w:t>
      </w:r>
      <w:proofErr w:type="gramEnd"/>
      <w:r>
        <w:rPr>
          <w:rFonts w:ascii="Calibri" w:hAnsi="Calibri" w:cs="Calibri"/>
          <w:b/>
          <w:szCs w:val="24"/>
        </w:rPr>
        <w:t xml:space="preserve"> (</w:t>
      </w:r>
      <w:proofErr w:type="spellStart"/>
      <w:r>
        <w:rPr>
          <w:rFonts w:ascii="Calibri" w:hAnsi="Calibri" w:cs="Calibri"/>
          <w:b/>
          <w:szCs w:val="24"/>
        </w:rPr>
        <w:t>c’tnd</w:t>
      </w:r>
      <w:proofErr w:type="spellEnd"/>
      <w:r>
        <w:rPr>
          <w:rFonts w:ascii="Calibri" w:hAnsi="Calibri" w:cs="Calibri"/>
          <w:b/>
          <w:szCs w:val="24"/>
        </w:rPr>
        <w:t>)</w:t>
      </w:r>
    </w:p>
    <w:p w14:paraId="07FF263A" w14:textId="77777777" w:rsidR="00BF6703" w:rsidRPr="003F195D" w:rsidRDefault="00BF6703" w:rsidP="00BF6703">
      <w:pPr>
        <w:spacing w:after="0"/>
        <w:rPr>
          <w:rFonts w:ascii="Calibri" w:hAnsi="Calibri" w:cs="Calibri"/>
          <w:b/>
          <w:sz w:val="16"/>
          <w:szCs w:val="16"/>
        </w:rPr>
      </w:pPr>
    </w:p>
    <w:tbl>
      <w:tblPr>
        <w:tblStyle w:val="TableGrid1"/>
        <w:tblW w:w="14709" w:type="dxa"/>
        <w:tblLayout w:type="fixed"/>
        <w:tblLook w:val="04A0" w:firstRow="1" w:lastRow="0" w:firstColumn="1" w:lastColumn="0" w:noHBand="0" w:noVBand="1"/>
        <w:tblCaption w:val="Risk Appetite level description"/>
        <w:tblDescription w:val="Lists the catgories and the levels associated with them and examples of where risks would be considered against each level."/>
      </w:tblPr>
      <w:tblGrid>
        <w:gridCol w:w="2122"/>
        <w:gridCol w:w="2835"/>
        <w:gridCol w:w="3118"/>
        <w:gridCol w:w="3119"/>
        <w:gridCol w:w="3515"/>
      </w:tblGrid>
      <w:tr w:rsidR="00BF6703" w:rsidRPr="00C41CEC" w14:paraId="743C12CA" w14:textId="77777777" w:rsidTr="0037440F">
        <w:trPr>
          <w:tblHeader/>
        </w:trPr>
        <w:tc>
          <w:tcPr>
            <w:tcW w:w="2122" w:type="dxa"/>
            <w:shd w:val="clear" w:color="auto" w:fill="C6D9F1" w:themeFill="text2" w:themeFillTint="33"/>
            <w:vAlign w:val="center"/>
          </w:tcPr>
          <w:p w14:paraId="626A42BB" w14:textId="77777777" w:rsidR="00BF6703" w:rsidRPr="00760EE0" w:rsidRDefault="00BF6703" w:rsidP="0037440F">
            <w:pPr>
              <w:pStyle w:val="Heading2"/>
              <w:outlineLvl w:val="1"/>
              <w:rPr>
                <w:rFonts w:ascii="Calibri" w:hAnsi="Calibri" w:cs="Calibri"/>
              </w:rPr>
            </w:pPr>
            <w:r w:rsidRPr="00760EE0">
              <w:rPr>
                <w:rFonts w:ascii="Calibri" w:hAnsi="Calibri" w:cs="Calibri"/>
              </w:rPr>
              <w:t xml:space="preserve">Risk Appetite Level </w:t>
            </w:r>
          </w:p>
        </w:tc>
        <w:tc>
          <w:tcPr>
            <w:tcW w:w="2835" w:type="dxa"/>
            <w:shd w:val="clear" w:color="auto" w:fill="00B050"/>
          </w:tcPr>
          <w:p w14:paraId="218EDA99" w14:textId="77777777" w:rsidR="00BF6703" w:rsidRPr="00760EE0" w:rsidRDefault="00BF6703" w:rsidP="0037440F">
            <w:pPr>
              <w:pStyle w:val="Heading2"/>
              <w:outlineLvl w:val="1"/>
              <w:rPr>
                <w:rFonts w:ascii="Calibri" w:hAnsi="Calibri" w:cs="Calibri"/>
              </w:rPr>
            </w:pPr>
            <w:r w:rsidRPr="00760EE0">
              <w:rPr>
                <w:rFonts w:ascii="Calibri" w:hAnsi="Calibri" w:cs="Calibri"/>
              </w:rPr>
              <w:t>Minimal</w:t>
            </w:r>
          </w:p>
        </w:tc>
        <w:tc>
          <w:tcPr>
            <w:tcW w:w="3118" w:type="dxa"/>
            <w:shd w:val="clear" w:color="auto" w:fill="FFFF00"/>
          </w:tcPr>
          <w:p w14:paraId="0064F12F" w14:textId="77777777" w:rsidR="00BF6703" w:rsidRPr="00760EE0" w:rsidRDefault="00BF6703" w:rsidP="0037440F">
            <w:pPr>
              <w:pStyle w:val="Heading2"/>
              <w:outlineLvl w:val="1"/>
              <w:rPr>
                <w:rFonts w:ascii="Calibri" w:hAnsi="Calibri" w:cs="Calibri"/>
              </w:rPr>
            </w:pPr>
            <w:r w:rsidRPr="00760EE0">
              <w:rPr>
                <w:rFonts w:ascii="Calibri" w:hAnsi="Calibri" w:cs="Calibri"/>
              </w:rPr>
              <w:t>Cautious</w:t>
            </w:r>
          </w:p>
        </w:tc>
        <w:tc>
          <w:tcPr>
            <w:tcW w:w="3119" w:type="dxa"/>
            <w:shd w:val="clear" w:color="auto" w:fill="FFC000"/>
          </w:tcPr>
          <w:p w14:paraId="3B854422" w14:textId="77777777" w:rsidR="00BF6703" w:rsidRPr="00760EE0" w:rsidRDefault="00BF6703" w:rsidP="0037440F">
            <w:pPr>
              <w:pStyle w:val="Heading2"/>
              <w:outlineLvl w:val="1"/>
              <w:rPr>
                <w:rFonts w:ascii="Calibri" w:hAnsi="Calibri" w:cs="Calibri"/>
              </w:rPr>
            </w:pPr>
            <w:r w:rsidRPr="00760EE0">
              <w:rPr>
                <w:rFonts w:ascii="Calibri" w:hAnsi="Calibri" w:cs="Calibri"/>
              </w:rPr>
              <w:t>Open</w:t>
            </w:r>
          </w:p>
        </w:tc>
        <w:tc>
          <w:tcPr>
            <w:tcW w:w="3515" w:type="dxa"/>
            <w:shd w:val="clear" w:color="auto" w:fill="FF0000"/>
          </w:tcPr>
          <w:p w14:paraId="02939EB4" w14:textId="77777777" w:rsidR="00BF6703" w:rsidRPr="00760EE0" w:rsidRDefault="00BF6703" w:rsidP="0037440F">
            <w:pPr>
              <w:pStyle w:val="Heading2"/>
              <w:outlineLvl w:val="1"/>
              <w:rPr>
                <w:rFonts w:ascii="Calibri" w:hAnsi="Calibri" w:cs="Calibri"/>
              </w:rPr>
            </w:pPr>
            <w:r w:rsidRPr="00760EE0">
              <w:rPr>
                <w:rFonts w:ascii="Calibri" w:hAnsi="Calibri" w:cs="Calibri"/>
              </w:rPr>
              <w:t>Hungry</w:t>
            </w:r>
          </w:p>
        </w:tc>
      </w:tr>
      <w:tr w:rsidR="00BF6703" w:rsidRPr="00C41CEC" w14:paraId="5EB879B4" w14:textId="77777777" w:rsidTr="0037440F">
        <w:tc>
          <w:tcPr>
            <w:tcW w:w="2122" w:type="dxa"/>
            <w:shd w:val="clear" w:color="auto" w:fill="FBD4B4" w:themeFill="accent6" w:themeFillTint="66"/>
            <w:vAlign w:val="center"/>
          </w:tcPr>
          <w:p w14:paraId="3FA9C074" w14:textId="77777777" w:rsidR="00BF6703" w:rsidRPr="00760EE0" w:rsidRDefault="00BF6703" w:rsidP="0037440F">
            <w:pPr>
              <w:spacing w:after="100" w:afterAutospacing="1"/>
              <w:rPr>
                <w:rFonts w:ascii="Calibri" w:hAnsi="Calibri" w:cs="Calibri"/>
                <w:szCs w:val="24"/>
              </w:rPr>
            </w:pPr>
            <w:r w:rsidRPr="00760EE0">
              <w:rPr>
                <w:rFonts w:ascii="Calibri" w:hAnsi="Calibri" w:cs="Calibri"/>
                <w:szCs w:val="24"/>
              </w:rPr>
              <w:t>Risk Categories</w:t>
            </w:r>
          </w:p>
        </w:tc>
        <w:tc>
          <w:tcPr>
            <w:tcW w:w="2835" w:type="dxa"/>
          </w:tcPr>
          <w:p w14:paraId="6E48F04A" w14:textId="77777777" w:rsidR="00BF6703" w:rsidRPr="00C41CEC" w:rsidRDefault="00BF6703" w:rsidP="0037440F">
            <w:pPr>
              <w:spacing w:after="-1"/>
              <w:rPr>
                <w:rFonts w:ascii="Calibri" w:hAnsi="Calibri" w:cs="Calibri"/>
                <w:color w:val="00B0F0"/>
                <w:szCs w:val="24"/>
              </w:rPr>
            </w:pPr>
            <w:r w:rsidRPr="00C41CEC">
              <w:rPr>
                <w:rFonts w:ascii="Calibri" w:hAnsi="Calibri" w:cs="Calibri"/>
                <w:color w:val="00B0F0"/>
                <w:szCs w:val="24"/>
              </w:rPr>
              <w:t xml:space="preserve">The main focus is to play it very safe.  A low level of risk taking will always be the overriding concern, accepting this may reduce the potential reward.  </w:t>
            </w:r>
          </w:p>
        </w:tc>
        <w:tc>
          <w:tcPr>
            <w:tcW w:w="3118" w:type="dxa"/>
          </w:tcPr>
          <w:p w14:paraId="7F373207" w14:textId="77777777" w:rsidR="00BF6703" w:rsidRPr="00C41CEC" w:rsidRDefault="00BF6703" w:rsidP="0037440F">
            <w:pPr>
              <w:spacing w:after="-1"/>
              <w:rPr>
                <w:rFonts w:ascii="Calibri" w:hAnsi="Calibri" w:cs="Calibri"/>
                <w:color w:val="00B0F0"/>
                <w:szCs w:val="24"/>
              </w:rPr>
            </w:pPr>
            <w:r w:rsidRPr="00C41CEC">
              <w:rPr>
                <w:rFonts w:ascii="Calibri" w:hAnsi="Calibri" w:cs="Calibri"/>
                <w:color w:val="00B0F0"/>
                <w:szCs w:val="24"/>
              </w:rPr>
              <w:t xml:space="preserve">Preference for safe delivery options but prepared to look at the options and accept a medium level of risk taking that should provide a satisfactory degree of reward.  </w:t>
            </w:r>
          </w:p>
        </w:tc>
        <w:tc>
          <w:tcPr>
            <w:tcW w:w="3119" w:type="dxa"/>
          </w:tcPr>
          <w:p w14:paraId="03872D29" w14:textId="77777777" w:rsidR="00BF6703" w:rsidRPr="00C41CEC" w:rsidRDefault="00BF6703" w:rsidP="0037440F">
            <w:pPr>
              <w:spacing w:after="-1"/>
              <w:rPr>
                <w:rFonts w:ascii="Calibri" w:hAnsi="Calibri" w:cs="Calibri"/>
                <w:color w:val="00B0F0"/>
                <w:szCs w:val="24"/>
              </w:rPr>
            </w:pPr>
            <w:r w:rsidRPr="00C41CEC">
              <w:rPr>
                <w:rFonts w:ascii="Calibri" w:hAnsi="Calibri" w:cs="Calibri"/>
                <w:color w:val="00B0F0"/>
                <w:szCs w:val="24"/>
              </w:rPr>
              <w:t xml:space="preserve">Willingness to consider all delivery options,  accepting the higher level of risk taking which this could involve but which potentially increases the reward </w:t>
            </w:r>
          </w:p>
        </w:tc>
        <w:tc>
          <w:tcPr>
            <w:tcW w:w="3515" w:type="dxa"/>
          </w:tcPr>
          <w:p w14:paraId="73DC1FAF" w14:textId="77777777" w:rsidR="00BF6703" w:rsidRPr="00C41CEC" w:rsidRDefault="00BF6703" w:rsidP="0037440F">
            <w:pPr>
              <w:spacing w:after="-1"/>
              <w:rPr>
                <w:rFonts w:ascii="Calibri" w:hAnsi="Calibri" w:cs="Calibri"/>
                <w:color w:val="00B0F0"/>
                <w:szCs w:val="24"/>
              </w:rPr>
            </w:pPr>
            <w:r w:rsidRPr="00C41CEC">
              <w:rPr>
                <w:rFonts w:ascii="Calibri" w:hAnsi="Calibri" w:cs="Calibri"/>
                <w:color w:val="00B0F0"/>
                <w:szCs w:val="24"/>
              </w:rPr>
              <w:t>Eager to pursue all potential delivery options which despite the very high level of risk which this would involve has the potential to maximise the reward.</w:t>
            </w:r>
          </w:p>
        </w:tc>
      </w:tr>
      <w:tr w:rsidR="00BF6703" w:rsidRPr="00C41CEC" w14:paraId="40BAA131" w14:textId="77777777" w:rsidTr="0037440F">
        <w:tc>
          <w:tcPr>
            <w:tcW w:w="2122" w:type="dxa"/>
            <w:shd w:val="clear" w:color="auto" w:fill="FBD4B4" w:themeFill="accent6" w:themeFillTint="66"/>
          </w:tcPr>
          <w:p w14:paraId="6621D56A" w14:textId="77777777" w:rsidR="00BF6703" w:rsidRDefault="00BF6703" w:rsidP="0037440F">
            <w:pPr>
              <w:spacing w:after="-1"/>
              <w:rPr>
                <w:rFonts w:ascii="Calibri" w:hAnsi="Calibri" w:cs="Calibri"/>
                <w:szCs w:val="24"/>
              </w:rPr>
            </w:pPr>
            <w:r w:rsidRPr="00C41CEC">
              <w:rPr>
                <w:rFonts w:ascii="Calibri" w:hAnsi="Calibri" w:cs="Calibri"/>
                <w:szCs w:val="24"/>
              </w:rPr>
              <w:t>Compliance/</w:t>
            </w:r>
          </w:p>
          <w:p w14:paraId="3B053A58" w14:textId="77777777" w:rsidR="00BF6703" w:rsidRPr="00C41CEC" w:rsidRDefault="00BF6703" w:rsidP="0037440F">
            <w:pPr>
              <w:spacing w:after="-1"/>
              <w:rPr>
                <w:rFonts w:ascii="Calibri" w:hAnsi="Calibri" w:cs="Calibri"/>
                <w:szCs w:val="24"/>
              </w:rPr>
            </w:pPr>
            <w:r w:rsidRPr="00C41CEC">
              <w:rPr>
                <w:rFonts w:ascii="Calibri" w:hAnsi="Calibri" w:cs="Calibri"/>
                <w:szCs w:val="24"/>
              </w:rPr>
              <w:t>Regulatory</w:t>
            </w:r>
          </w:p>
        </w:tc>
        <w:tc>
          <w:tcPr>
            <w:tcW w:w="2835" w:type="dxa"/>
          </w:tcPr>
          <w:p w14:paraId="529C1EF4" w14:textId="77777777" w:rsidR="00BF6703" w:rsidRPr="00C41CEC" w:rsidRDefault="00BF6703" w:rsidP="0037440F">
            <w:pPr>
              <w:spacing w:after="-1"/>
              <w:rPr>
                <w:rFonts w:ascii="Calibri" w:hAnsi="Calibri" w:cs="Calibri"/>
                <w:szCs w:val="24"/>
              </w:rPr>
            </w:pPr>
            <w:r w:rsidRPr="00C41CEC">
              <w:rPr>
                <w:rFonts w:ascii="Calibri" w:hAnsi="Calibri" w:cs="Calibri"/>
                <w:szCs w:val="24"/>
              </w:rPr>
              <w:t>Play it very safe, avoid anything which we could be challenged on, however minor this might be</w:t>
            </w:r>
          </w:p>
        </w:tc>
        <w:tc>
          <w:tcPr>
            <w:tcW w:w="3118" w:type="dxa"/>
          </w:tcPr>
          <w:p w14:paraId="4A5C6070" w14:textId="77777777" w:rsidR="00BF6703" w:rsidRPr="00C41CEC" w:rsidRDefault="00BF6703" w:rsidP="0037440F">
            <w:pPr>
              <w:spacing w:after="-1"/>
              <w:rPr>
                <w:rFonts w:ascii="Calibri" w:hAnsi="Calibri" w:cs="Calibri"/>
                <w:szCs w:val="24"/>
              </w:rPr>
            </w:pPr>
            <w:r w:rsidRPr="00C41CEC">
              <w:rPr>
                <w:rFonts w:ascii="Calibri" w:hAnsi="Calibri" w:cs="Calibri"/>
                <w:szCs w:val="24"/>
              </w:rPr>
              <w:t>Some limited tolerance for how we interpret the required compliance.  Want to be reasonable sure though that we could win any challenge if this arises.</w:t>
            </w:r>
          </w:p>
        </w:tc>
        <w:tc>
          <w:tcPr>
            <w:tcW w:w="3119" w:type="dxa"/>
          </w:tcPr>
          <w:p w14:paraId="54EC94CF" w14:textId="77777777" w:rsidR="00BF6703" w:rsidRPr="00C41CEC" w:rsidRDefault="00BF6703" w:rsidP="0037440F">
            <w:pPr>
              <w:spacing w:after="-1"/>
              <w:rPr>
                <w:rFonts w:ascii="Calibri" w:hAnsi="Calibri" w:cs="Calibri"/>
                <w:szCs w:val="24"/>
              </w:rPr>
            </w:pPr>
            <w:r w:rsidRPr="00C41CEC">
              <w:rPr>
                <w:rFonts w:ascii="Calibri" w:hAnsi="Calibri" w:cs="Calibri"/>
                <w:szCs w:val="24"/>
              </w:rPr>
              <w:t xml:space="preserve">Willing to take decisions that have the potential to stretch the interpretation of the required compliance.  Any challenge could be problematic with no absolute certainty that we win  </w:t>
            </w:r>
          </w:p>
        </w:tc>
        <w:tc>
          <w:tcPr>
            <w:tcW w:w="3515" w:type="dxa"/>
          </w:tcPr>
          <w:p w14:paraId="1315A72A" w14:textId="77777777" w:rsidR="00BF6703" w:rsidRPr="00C41CEC" w:rsidRDefault="00BF6703" w:rsidP="0037440F">
            <w:pPr>
              <w:spacing w:after="-1"/>
              <w:rPr>
                <w:rFonts w:ascii="Calibri" w:hAnsi="Calibri" w:cs="Calibri"/>
                <w:szCs w:val="24"/>
              </w:rPr>
            </w:pPr>
            <w:r w:rsidRPr="00C41CEC">
              <w:rPr>
                <w:rFonts w:ascii="Calibri" w:hAnsi="Calibri" w:cs="Calibri"/>
                <w:szCs w:val="24"/>
              </w:rPr>
              <w:t>Willing to push the limits over compliance, acknowledging the very high level of risk involved with this and the potential danger which this could create</w:t>
            </w:r>
          </w:p>
        </w:tc>
      </w:tr>
      <w:tr w:rsidR="00BF6703" w:rsidRPr="00C41CEC" w14:paraId="5764C9FF" w14:textId="77777777" w:rsidTr="0037440F">
        <w:tc>
          <w:tcPr>
            <w:tcW w:w="2122" w:type="dxa"/>
            <w:shd w:val="clear" w:color="auto" w:fill="FBD4B4" w:themeFill="accent6" w:themeFillTint="66"/>
          </w:tcPr>
          <w:p w14:paraId="52C6B1B6" w14:textId="77777777" w:rsidR="00BF6703" w:rsidRPr="00C41CEC" w:rsidRDefault="00BF6703" w:rsidP="0037440F">
            <w:pPr>
              <w:spacing w:after="-1"/>
              <w:rPr>
                <w:rFonts w:ascii="Calibri" w:hAnsi="Calibri" w:cs="Calibri"/>
                <w:szCs w:val="24"/>
              </w:rPr>
            </w:pPr>
            <w:r w:rsidRPr="00C41CEC">
              <w:rPr>
                <w:rFonts w:ascii="Calibri" w:hAnsi="Calibri" w:cs="Calibri"/>
                <w:szCs w:val="24"/>
              </w:rPr>
              <w:t>Operational</w:t>
            </w:r>
          </w:p>
        </w:tc>
        <w:tc>
          <w:tcPr>
            <w:tcW w:w="2835" w:type="dxa"/>
          </w:tcPr>
          <w:p w14:paraId="2B9C75F3" w14:textId="77777777" w:rsidR="00BF6703" w:rsidRPr="00C41CEC" w:rsidRDefault="00BF6703" w:rsidP="0037440F">
            <w:pPr>
              <w:spacing w:after="-1"/>
              <w:rPr>
                <w:rFonts w:ascii="Calibri" w:hAnsi="Calibri" w:cs="Calibri"/>
                <w:szCs w:val="24"/>
              </w:rPr>
            </w:pPr>
            <w:r w:rsidRPr="00C41CEC">
              <w:rPr>
                <w:rFonts w:ascii="Calibri" w:hAnsi="Calibri" w:cs="Calibri"/>
                <w:szCs w:val="24"/>
              </w:rPr>
              <w:t>Play safe, avoid if possible actions which have the potential to risk current ways of operating</w:t>
            </w:r>
          </w:p>
        </w:tc>
        <w:tc>
          <w:tcPr>
            <w:tcW w:w="3118" w:type="dxa"/>
          </w:tcPr>
          <w:p w14:paraId="2C65B528" w14:textId="77777777" w:rsidR="00BF6703" w:rsidRPr="00C41CEC" w:rsidRDefault="00BF6703" w:rsidP="0037440F">
            <w:pPr>
              <w:spacing w:after="100" w:afterAutospacing="1"/>
              <w:rPr>
                <w:rFonts w:ascii="Calibri" w:hAnsi="Calibri" w:cs="Calibri"/>
                <w:szCs w:val="24"/>
              </w:rPr>
            </w:pPr>
            <w:r w:rsidRPr="00C41CEC">
              <w:rPr>
                <w:rFonts w:ascii="Calibri" w:hAnsi="Calibri" w:cs="Calibri"/>
                <w:szCs w:val="24"/>
              </w:rPr>
              <w:t>Prepared to consider making decisions that would have some risks attached to them but if managed would have some benefit for improving current ways of operating</w:t>
            </w:r>
          </w:p>
        </w:tc>
        <w:tc>
          <w:tcPr>
            <w:tcW w:w="3119" w:type="dxa"/>
          </w:tcPr>
          <w:p w14:paraId="54E39D1E" w14:textId="77777777" w:rsidR="00BF6703" w:rsidRPr="00C41CEC" w:rsidRDefault="00BF6703" w:rsidP="0037440F">
            <w:pPr>
              <w:spacing w:after="-1"/>
              <w:rPr>
                <w:rFonts w:ascii="Calibri" w:hAnsi="Calibri" w:cs="Calibri"/>
                <w:szCs w:val="24"/>
              </w:rPr>
            </w:pPr>
            <w:r w:rsidRPr="00C41CEC">
              <w:rPr>
                <w:rFonts w:ascii="Calibri" w:hAnsi="Calibri" w:cs="Calibri"/>
                <w:szCs w:val="24"/>
              </w:rPr>
              <w:t>Willing to take decisions to improve current ways of operating despite the higher degree of risk taking which this might involve, acknowledging that these may not always be successful</w:t>
            </w:r>
          </w:p>
        </w:tc>
        <w:tc>
          <w:tcPr>
            <w:tcW w:w="3515" w:type="dxa"/>
          </w:tcPr>
          <w:p w14:paraId="3B0F5CB8" w14:textId="77777777" w:rsidR="00BF6703" w:rsidRPr="00C41CEC" w:rsidRDefault="00BF6703" w:rsidP="0037440F">
            <w:pPr>
              <w:spacing w:after="-1"/>
              <w:rPr>
                <w:rFonts w:ascii="Calibri" w:hAnsi="Calibri" w:cs="Calibri"/>
                <w:szCs w:val="24"/>
              </w:rPr>
            </w:pPr>
            <w:r w:rsidRPr="00C41CEC">
              <w:rPr>
                <w:rFonts w:ascii="Calibri" w:hAnsi="Calibri" w:cs="Calibri"/>
                <w:szCs w:val="24"/>
              </w:rPr>
              <w:t xml:space="preserve">Overriding focus is on making decisions to optimise operational delivery but which attracts a very high level of risk taking and an increased possibility that these may not be successful </w:t>
            </w:r>
          </w:p>
        </w:tc>
      </w:tr>
      <w:tr w:rsidR="00BF6703" w:rsidRPr="00C41CEC" w14:paraId="6FC2430F" w14:textId="77777777" w:rsidTr="0037440F">
        <w:tc>
          <w:tcPr>
            <w:tcW w:w="2122" w:type="dxa"/>
            <w:shd w:val="clear" w:color="auto" w:fill="FBD4B4" w:themeFill="accent6" w:themeFillTint="66"/>
          </w:tcPr>
          <w:p w14:paraId="50A61C98" w14:textId="77777777" w:rsidR="00BF6703" w:rsidRPr="00C41CEC" w:rsidRDefault="00BF6703" w:rsidP="0037440F">
            <w:pPr>
              <w:spacing w:after="100" w:afterAutospacing="1"/>
              <w:rPr>
                <w:rFonts w:ascii="Calibri" w:hAnsi="Calibri" w:cs="Calibri"/>
                <w:szCs w:val="24"/>
              </w:rPr>
            </w:pPr>
            <w:r>
              <w:rPr>
                <w:rFonts w:ascii="Calibri" w:hAnsi="Calibri" w:cs="Calibri"/>
                <w:szCs w:val="24"/>
              </w:rPr>
              <w:t>Nature</w:t>
            </w:r>
          </w:p>
        </w:tc>
        <w:tc>
          <w:tcPr>
            <w:tcW w:w="2835" w:type="dxa"/>
          </w:tcPr>
          <w:p w14:paraId="0FA3CEB6" w14:textId="77777777" w:rsidR="00BF6703" w:rsidRPr="00C41CEC" w:rsidRDefault="00BF6703" w:rsidP="0037440F">
            <w:pPr>
              <w:spacing w:after="100" w:afterAutospacing="1"/>
              <w:rPr>
                <w:rFonts w:ascii="Calibri" w:hAnsi="Calibri" w:cs="Calibri"/>
                <w:szCs w:val="24"/>
              </w:rPr>
            </w:pPr>
            <w:r w:rsidRPr="00C41CEC">
              <w:rPr>
                <w:rFonts w:ascii="Calibri" w:hAnsi="Calibri" w:cs="Calibri"/>
                <w:szCs w:val="24"/>
              </w:rPr>
              <w:t>Avoid any decisions which could negatively impact on nature, however minor or short-term</w:t>
            </w:r>
          </w:p>
        </w:tc>
        <w:tc>
          <w:tcPr>
            <w:tcW w:w="3118" w:type="dxa"/>
          </w:tcPr>
          <w:p w14:paraId="1A3DC747" w14:textId="77777777" w:rsidR="00BF6703" w:rsidRPr="00C41CEC" w:rsidRDefault="00BF6703" w:rsidP="0037440F">
            <w:pPr>
              <w:spacing w:after="-1"/>
              <w:rPr>
                <w:rFonts w:ascii="Calibri" w:hAnsi="Calibri" w:cs="Calibri"/>
                <w:szCs w:val="24"/>
              </w:rPr>
            </w:pPr>
            <w:r w:rsidRPr="00C41CEC">
              <w:rPr>
                <w:rFonts w:ascii="Calibri" w:hAnsi="Calibri" w:cs="Calibri"/>
                <w:szCs w:val="24"/>
              </w:rPr>
              <w:t xml:space="preserve">Prepared to consider making decisions which could be perceived as having some minor impact on nature but which are seen as worth </w:t>
            </w:r>
            <w:r w:rsidRPr="00C41CEC">
              <w:rPr>
                <w:rFonts w:ascii="Calibri" w:hAnsi="Calibri" w:cs="Calibri"/>
                <w:szCs w:val="24"/>
              </w:rPr>
              <w:lastRenderedPageBreak/>
              <w:t>taking and/or are short-term in nature</w:t>
            </w:r>
          </w:p>
        </w:tc>
        <w:tc>
          <w:tcPr>
            <w:tcW w:w="3119" w:type="dxa"/>
          </w:tcPr>
          <w:p w14:paraId="4F12BA3F" w14:textId="77777777" w:rsidR="00BF6703" w:rsidRPr="00C41CEC" w:rsidRDefault="00BF6703" w:rsidP="0037440F">
            <w:pPr>
              <w:spacing w:after="-1"/>
              <w:rPr>
                <w:rFonts w:ascii="Calibri" w:hAnsi="Calibri" w:cs="Calibri"/>
                <w:szCs w:val="24"/>
              </w:rPr>
            </w:pPr>
            <w:r w:rsidRPr="00C41CEC">
              <w:rPr>
                <w:rFonts w:ascii="Calibri" w:hAnsi="Calibri" w:cs="Calibri"/>
                <w:szCs w:val="24"/>
              </w:rPr>
              <w:lastRenderedPageBreak/>
              <w:t>Willing to take decisions which might potentially be seen as impacting on nature but which could help obtain a wider outcome/benefit</w:t>
            </w:r>
          </w:p>
        </w:tc>
        <w:tc>
          <w:tcPr>
            <w:tcW w:w="3515" w:type="dxa"/>
          </w:tcPr>
          <w:p w14:paraId="1C7FD95B" w14:textId="77777777" w:rsidR="00BF6703" w:rsidRPr="00C41CEC" w:rsidRDefault="00BF6703" w:rsidP="0037440F">
            <w:pPr>
              <w:spacing w:after="-1"/>
              <w:rPr>
                <w:rFonts w:ascii="Calibri" w:hAnsi="Calibri" w:cs="Calibri"/>
                <w:szCs w:val="24"/>
              </w:rPr>
            </w:pPr>
            <w:r w:rsidRPr="00C41CEC">
              <w:rPr>
                <w:rFonts w:ascii="Calibri" w:hAnsi="Calibri" w:cs="Calibri"/>
                <w:szCs w:val="24"/>
              </w:rPr>
              <w:t xml:space="preserve">Willingness to make decisions where there is a very high risk that they could impact on nature where the advantages are considered to outweigh the negatives </w:t>
            </w:r>
          </w:p>
        </w:tc>
      </w:tr>
      <w:tr w:rsidR="002E4B11" w:rsidRPr="00C41CEC" w14:paraId="11F04DA5" w14:textId="77777777" w:rsidTr="002E4B11">
        <w:tc>
          <w:tcPr>
            <w:tcW w:w="2122" w:type="dxa"/>
            <w:shd w:val="clear" w:color="auto" w:fill="FBD4B4" w:themeFill="accent6" w:themeFillTint="66"/>
          </w:tcPr>
          <w:p w14:paraId="6ED9F180" w14:textId="4DCA7E24" w:rsidR="002E4B11" w:rsidRPr="00C41CEC" w:rsidRDefault="002E4B11" w:rsidP="002E4B11">
            <w:pPr>
              <w:spacing w:after="100" w:afterAutospacing="1"/>
              <w:rPr>
                <w:rFonts w:ascii="Calibri" w:hAnsi="Calibri" w:cs="Calibri"/>
                <w:szCs w:val="24"/>
              </w:rPr>
            </w:pPr>
            <w:r>
              <w:rPr>
                <w:rFonts w:ascii="Calibri" w:hAnsi="Calibri" w:cs="Calibri"/>
                <w:szCs w:val="24"/>
              </w:rPr>
              <w:t>Resources</w:t>
            </w:r>
          </w:p>
        </w:tc>
        <w:tc>
          <w:tcPr>
            <w:tcW w:w="2835" w:type="dxa"/>
          </w:tcPr>
          <w:p w14:paraId="3A12BB1B" w14:textId="46F1959B" w:rsidR="002E4B11" w:rsidRPr="002E4B11" w:rsidRDefault="002E4B11" w:rsidP="002E4B11">
            <w:pPr>
              <w:spacing w:after="-1"/>
              <w:rPr>
                <w:rFonts w:ascii="Calibri" w:hAnsi="Calibri" w:cs="Calibri"/>
                <w:szCs w:val="24"/>
              </w:rPr>
            </w:pPr>
            <w:r w:rsidRPr="002E4B11">
              <w:rPr>
                <w:rFonts w:ascii="Calibri" w:hAnsi="Calibri" w:cs="Calibri"/>
                <w:szCs w:val="24"/>
              </w:rPr>
              <w:t>Avoidance of financial loss is the key outcome.  We are only willing to accept the low cost option as V</w:t>
            </w:r>
            <w:r>
              <w:rPr>
                <w:rFonts w:ascii="Calibri" w:hAnsi="Calibri" w:cs="Calibri"/>
                <w:szCs w:val="24"/>
              </w:rPr>
              <w:t xml:space="preserve">alue for </w:t>
            </w:r>
            <w:r w:rsidRPr="002E4B11">
              <w:rPr>
                <w:rFonts w:ascii="Calibri" w:hAnsi="Calibri" w:cs="Calibri"/>
                <w:szCs w:val="24"/>
              </w:rPr>
              <w:t>M</w:t>
            </w:r>
            <w:r>
              <w:rPr>
                <w:rFonts w:ascii="Calibri" w:hAnsi="Calibri" w:cs="Calibri"/>
                <w:szCs w:val="24"/>
              </w:rPr>
              <w:t>oney</w:t>
            </w:r>
            <w:r w:rsidRPr="002E4B11">
              <w:rPr>
                <w:rFonts w:ascii="Calibri" w:hAnsi="Calibri" w:cs="Calibri"/>
                <w:szCs w:val="24"/>
              </w:rPr>
              <w:t xml:space="preserve"> is the primary concern.  Avoidance of any perceived negative impact on staff is also a primary concern.</w:t>
            </w:r>
          </w:p>
        </w:tc>
        <w:tc>
          <w:tcPr>
            <w:tcW w:w="3118" w:type="dxa"/>
          </w:tcPr>
          <w:p w14:paraId="7BA0BB2B" w14:textId="51A45855" w:rsidR="002E4B11" w:rsidRPr="002E4B11" w:rsidRDefault="002E4B11" w:rsidP="002E4B11">
            <w:pPr>
              <w:spacing w:after="-1"/>
              <w:rPr>
                <w:rFonts w:ascii="Calibri" w:hAnsi="Calibri" w:cs="Calibri"/>
                <w:szCs w:val="24"/>
              </w:rPr>
            </w:pPr>
            <w:r w:rsidRPr="002E4B11">
              <w:rPr>
                <w:rFonts w:ascii="Calibri" w:hAnsi="Calibri" w:cs="Calibri"/>
                <w:szCs w:val="24"/>
              </w:rPr>
              <w:t>Prepared to accept possibility of some limited financial loss.  V</w:t>
            </w:r>
            <w:r>
              <w:rPr>
                <w:rFonts w:ascii="Calibri" w:hAnsi="Calibri" w:cs="Calibri"/>
                <w:szCs w:val="24"/>
              </w:rPr>
              <w:t xml:space="preserve">alue </w:t>
            </w:r>
            <w:r w:rsidRPr="002E4B11">
              <w:rPr>
                <w:rFonts w:ascii="Calibri" w:hAnsi="Calibri" w:cs="Calibri"/>
                <w:szCs w:val="24"/>
              </w:rPr>
              <w:t>f</w:t>
            </w:r>
            <w:r>
              <w:rPr>
                <w:rFonts w:ascii="Calibri" w:hAnsi="Calibri" w:cs="Calibri"/>
                <w:szCs w:val="24"/>
              </w:rPr>
              <w:t xml:space="preserve">or </w:t>
            </w:r>
            <w:r w:rsidRPr="002E4B11">
              <w:rPr>
                <w:rFonts w:ascii="Calibri" w:hAnsi="Calibri" w:cs="Calibri"/>
                <w:szCs w:val="24"/>
              </w:rPr>
              <w:t>M</w:t>
            </w:r>
            <w:r>
              <w:rPr>
                <w:rFonts w:ascii="Calibri" w:hAnsi="Calibri" w:cs="Calibri"/>
                <w:szCs w:val="24"/>
              </w:rPr>
              <w:t>oney</w:t>
            </w:r>
            <w:r w:rsidRPr="002E4B11">
              <w:rPr>
                <w:rFonts w:ascii="Calibri" w:hAnsi="Calibri" w:cs="Calibri"/>
                <w:szCs w:val="24"/>
              </w:rPr>
              <w:t xml:space="preserve"> still the primary concern but willing to consider other benefits. Prepared to accept the possibility of some minor impact on staff but which is considered should be recoverable in the short term.  </w:t>
            </w:r>
          </w:p>
        </w:tc>
        <w:tc>
          <w:tcPr>
            <w:tcW w:w="3119" w:type="dxa"/>
          </w:tcPr>
          <w:p w14:paraId="603961F2" w14:textId="0E0D041D" w:rsidR="002E4B11" w:rsidRPr="002E4B11" w:rsidRDefault="002E4B11" w:rsidP="002E4B11">
            <w:pPr>
              <w:spacing w:after="-1"/>
              <w:rPr>
                <w:rFonts w:ascii="Calibri" w:hAnsi="Calibri" w:cs="Calibri"/>
                <w:szCs w:val="24"/>
              </w:rPr>
            </w:pPr>
            <w:r w:rsidRPr="002E4B11">
              <w:rPr>
                <w:rFonts w:ascii="Calibri" w:hAnsi="Calibri" w:cs="Calibri"/>
                <w:szCs w:val="24"/>
              </w:rPr>
              <w:t>Prepared to invest for return and minimise the possibility of financial loss by managing the risks to a tolerable level. Prepared to tolerate the possibility of some impact on staff where it is considered that the action is worth pursuing.</w:t>
            </w:r>
          </w:p>
        </w:tc>
        <w:tc>
          <w:tcPr>
            <w:tcW w:w="3515" w:type="dxa"/>
          </w:tcPr>
          <w:p w14:paraId="146F6E8A" w14:textId="2463870E" w:rsidR="002E4B11" w:rsidRPr="002E4B11" w:rsidRDefault="002E4B11" w:rsidP="002E4B11">
            <w:pPr>
              <w:spacing w:after="-1"/>
              <w:rPr>
                <w:rFonts w:ascii="Calibri" w:hAnsi="Calibri" w:cs="Calibri"/>
                <w:szCs w:val="24"/>
              </w:rPr>
            </w:pPr>
            <w:r w:rsidRPr="002E4B11">
              <w:rPr>
                <w:rFonts w:ascii="Calibri" w:hAnsi="Calibri" w:cs="Calibri"/>
                <w:szCs w:val="24"/>
              </w:rPr>
              <w:t>Consistently focussed on the best possible return and accept the possibility of financial loss (with controls in place).  Willingness to accept the possibility that staff might be impacted by the action where the reward is deemed to be of greater value.</w:t>
            </w:r>
          </w:p>
        </w:tc>
      </w:tr>
      <w:tr w:rsidR="00BF6703" w:rsidRPr="00C41CEC" w14:paraId="1AC94920" w14:textId="77777777" w:rsidTr="0037440F">
        <w:tc>
          <w:tcPr>
            <w:tcW w:w="2122" w:type="dxa"/>
            <w:shd w:val="clear" w:color="auto" w:fill="FBD4B4" w:themeFill="accent6" w:themeFillTint="66"/>
          </w:tcPr>
          <w:p w14:paraId="0A938FD6" w14:textId="77777777" w:rsidR="00BF6703" w:rsidRPr="00C41CEC" w:rsidRDefault="00BF6703" w:rsidP="0037440F">
            <w:pPr>
              <w:spacing w:after="100" w:afterAutospacing="1"/>
              <w:rPr>
                <w:rFonts w:ascii="Calibri" w:hAnsi="Calibri" w:cs="Calibri"/>
                <w:szCs w:val="24"/>
              </w:rPr>
            </w:pPr>
            <w:r w:rsidRPr="00C41CEC">
              <w:rPr>
                <w:rFonts w:ascii="Calibri" w:hAnsi="Calibri" w:cs="Calibri"/>
                <w:szCs w:val="24"/>
              </w:rPr>
              <w:t xml:space="preserve">Reputational </w:t>
            </w:r>
          </w:p>
        </w:tc>
        <w:tc>
          <w:tcPr>
            <w:tcW w:w="2835" w:type="dxa"/>
          </w:tcPr>
          <w:p w14:paraId="5A01C21B" w14:textId="77777777" w:rsidR="00BF6703" w:rsidRPr="00C41CEC" w:rsidRDefault="00BF6703" w:rsidP="0037440F">
            <w:pPr>
              <w:spacing w:after="-1"/>
              <w:rPr>
                <w:rFonts w:ascii="Calibri" w:hAnsi="Calibri" w:cs="Calibri"/>
                <w:szCs w:val="24"/>
              </w:rPr>
            </w:pPr>
            <w:r w:rsidRPr="00C41CEC">
              <w:rPr>
                <w:rFonts w:ascii="Calibri" w:hAnsi="Calibri" w:cs="Calibri"/>
                <w:szCs w:val="24"/>
              </w:rPr>
              <w:t>Very little tolerance for making decisions or actions where there is the potential that it could lead to adverse scrutiny or criticism from any sector or community</w:t>
            </w:r>
          </w:p>
        </w:tc>
        <w:tc>
          <w:tcPr>
            <w:tcW w:w="3118" w:type="dxa"/>
          </w:tcPr>
          <w:p w14:paraId="10807CF3" w14:textId="77777777" w:rsidR="00BF6703" w:rsidRPr="00C41CEC" w:rsidRDefault="00BF6703" w:rsidP="0037440F">
            <w:pPr>
              <w:spacing w:after="-1"/>
              <w:rPr>
                <w:rFonts w:ascii="Calibri" w:hAnsi="Calibri" w:cs="Calibri"/>
                <w:szCs w:val="24"/>
              </w:rPr>
            </w:pPr>
            <w:r w:rsidRPr="00C41CEC">
              <w:rPr>
                <w:rFonts w:ascii="Calibri" w:hAnsi="Calibri" w:cs="Calibri"/>
                <w:szCs w:val="24"/>
              </w:rPr>
              <w:t xml:space="preserve">Prepared to consider making some decisions or actions where there is a possibility that it could potentially lead to adverse scrutiny or criticism from one or more sectors or communities </w:t>
            </w:r>
          </w:p>
        </w:tc>
        <w:tc>
          <w:tcPr>
            <w:tcW w:w="3119" w:type="dxa"/>
          </w:tcPr>
          <w:p w14:paraId="2C462269" w14:textId="77777777" w:rsidR="00BF6703" w:rsidRPr="00C41CEC" w:rsidRDefault="00BF6703" w:rsidP="0037440F">
            <w:pPr>
              <w:spacing w:after="-1"/>
              <w:rPr>
                <w:rFonts w:ascii="Calibri" w:hAnsi="Calibri" w:cs="Calibri"/>
                <w:szCs w:val="24"/>
              </w:rPr>
            </w:pPr>
            <w:r w:rsidRPr="00C41CEC">
              <w:rPr>
                <w:rFonts w:ascii="Calibri" w:hAnsi="Calibri" w:cs="Calibri"/>
                <w:szCs w:val="24"/>
              </w:rPr>
              <w:t>Willing to take decisions or actions which has a high degree of likelihood that it will expose the organisation to adverse scrutiny or criticism from one or more sectors or communities</w:t>
            </w:r>
          </w:p>
        </w:tc>
        <w:tc>
          <w:tcPr>
            <w:tcW w:w="3515" w:type="dxa"/>
          </w:tcPr>
          <w:p w14:paraId="19A2EF76" w14:textId="77777777" w:rsidR="00BF6703" w:rsidRPr="00C41CEC" w:rsidRDefault="00BF6703" w:rsidP="0037440F">
            <w:pPr>
              <w:spacing w:after="-1"/>
              <w:rPr>
                <w:rFonts w:ascii="Calibri" w:hAnsi="Calibri" w:cs="Calibri"/>
                <w:szCs w:val="24"/>
              </w:rPr>
            </w:pPr>
            <w:r w:rsidRPr="00C41CEC">
              <w:rPr>
                <w:rFonts w:ascii="Calibri" w:hAnsi="Calibri" w:cs="Calibri"/>
                <w:szCs w:val="24"/>
              </w:rPr>
              <w:t>Readiness to take decisions where it is almost certain that we would be exposed to adverse scrutiny or criticism from one or more sectors or communities</w:t>
            </w:r>
          </w:p>
        </w:tc>
      </w:tr>
    </w:tbl>
    <w:p w14:paraId="37072080" w14:textId="77777777" w:rsidR="00BF6703" w:rsidRPr="00BF6703" w:rsidRDefault="00BF6703" w:rsidP="00BF6703">
      <w:pPr>
        <w:spacing w:after="0" w:line="240" w:lineRule="auto"/>
        <w:jc w:val="both"/>
        <w:rPr>
          <w:rFonts w:cstheme="minorHAnsi"/>
          <w:b/>
          <w:szCs w:val="24"/>
        </w:rPr>
        <w:sectPr w:rsidR="00BF6703" w:rsidRPr="00BF6703" w:rsidSect="00862E38">
          <w:footerReference w:type="default" r:id="rId16"/>
          <w:pgSz w:w="16838" w:h="11906" w:orient="landscape"/>
          <w:pgMar w:top="1440" w:right="993" w:bottom="1440" w:left="1440" w:header="567" w:footer="708" w:gutter="0"/>
          <w:cols w:space="708"/>
          <w:docGrid w:linePitch="360"/>
        </w:sectPr>
      </w:pPr>
      <w:r w:rsidRPr="00BF6703">
        <w:rPr>
          <w:rFonts w:cstheme="minorHAnsi"/>
          <w:szCs w:val="24"/>
        </w:rPr>
        <w:br w:type="page"/>
      </w:r>
    </w:p>
    <w:p w14:paraId="27769A1B" w14:textId="77777777" w:rsidR="00BF6703" w:rsidRPr="00BF6703" w:rsidRDefault="00BF6703" w:rsidP="00BF6703">
      <w:pPr>
        <w:spacing w:after="0" w:line="240" w:lineRule="auto"/>
        <w:jc w:val="both"/>
        <w:rPr>
          <w:rFonts w:cstheme="minorHAnsi"/>
          <w:b/>
          <w:szCs w:val="24"/>
        </w:rPr>
      </w:pPr>
      <w:r w:rsidRPr="00BF6703">
        <w:rPr>
          <w:rFonts w:cstheme="minorHAnsi"/>
          <w:b/>
          <w:szCs w:val="24"/>
        </w:rPr>
        <w:lastRenderedPageBreak/>
        <w:t>Annex B - Categories of Risk and Risk Statements</w:t>
      </w:r>
    </w:p>
    <w:p w14:paraId="0C02BBDA" w14:textId="77777777" w:rsidR="00BF6703" w:rsidRPr="00BF6703" w:rsidRDefault="00BF6703" w:rsidP="00BF6703">
      <w:pPr>
        <w:spacing w:after="0" w:line="240" w:lineRule="auto"/>
        <w:jc w:val="both"/>
        <w:rPr>
          <w:rFonts w:cstheme="minorHAnsi"/>
          <w:b/>
          <w:szCs w:val="24"/>
        </w:rPr>
      </w:pPr>
    </w:p>
    <w:p w14:paraId="5FED5CF4" w14:textId="77777777" w:rsidR="00BF6703" w:rsidRPr="00BF6703" w:rsidRDefault="00BF6703" w:rsidP="00BF6703">
      <w:pPr>
        <w:spacing w:after="0" w:line="240" w:lineRule="auto"/>
        <w:jc w:val="both"/>
        <w:rPr>
          <w:rFonts w:cstheme="minorHAnsi"/>
          <w:b/>
          <w:szCs w:val="24"/>
        </w:rPr>
      </w:pPr>
      <w:r w:rsidRPr="00BF6703">
        <w:rPr>
          <w:rFonts w:cstheme="minorHAnsi"/>
          <w:b/>
          <w:szCs w:val="24"/>
        </w:rPr>
        <w:t>Nature</w:t>
      </w:r>
    </w:p>
    <w:p w14:paraId="3013F6C6" w14:textId="77777777" w:rsidR="00BF6703" w:rsidRPr="00BF6703" w:rsidRDefault="00BF6703" w:rsidP="00BF6703">
      <w:pPr>
        <w:spacing w:after="0" w:line="240" w:lineRule="auto"/>
        <w:jc w:val="both"/>
        <w:rPr>
          <w:rFonts w:cstheme="minorHAnsi"/>
          <w:szCs w:val="24"/>
        </w:rPr>
      </w:pPr>
      <w:r w:rsidRPr="00CA6CD2">
        <w:rPr>
          <w:rFonts w:cstheme="minorHAnsi"/>
          <w:szCs w:val="24"/>
        </w:rPr>
        <w:t xml:space="preserve">As the body responsible for the protection of the natural heritage and to promote its understanding and sustainable use we shall continue to pursue policies, take decisions and undertake actions that protect, restore and value nature.  We shall also take account of our ‘balancing duties’ and acknowledge the range of stakeholder interests.  With the uncertainty in the natural world, especially in the face of climate change, there may be </w:t>
      </w:r>
      <w:r w:rsidR="00CA6CD2" w:rsidRPr="00CA6CD2">
        <w:rPr>
          <w:rFonts w:cstheme="minorHAnsi"/>
          <w:szCs w:val="24"/>
        </w:rPr>
        <w:t>high risk</w:t>
      </w:r>
      <w:r w:rsidRPr="00CA6CD2">
        <w:rPr>
          <w:rFonts w:cstheme="minorHAnsi"/>
          <w:szCs w:val="24"/>
        </w:rPr>
        <w:t xml:space="preserve"> </w:t>
      </w:r>
      <w:r w:rsidR="00CA6CD2" w:rsidRPr="00CA6CD2">
        <w:rPr>
          <w:rFonts w:cstheme="minorHAnsi"/>
          <w:szCs w:val="24"/>
        </w:rPr>
        <w:t xml:space="preserve">of a negative impact on nature of </w:t>
      </w:r>
      <w:r w:rsidRPr="00CA6CD2">
        <w:rPr>
          <w:rFonts w:cstheme="minorHAnsi"/>
          <w:szCs w:val="24"/>
        </w:rPr>
        <w:t xml:space="preserve">proposed activities. We shall take decisions and advise accordingly </w:t>
      </w:r>
      <w:r w:rsidR="00CA6CD2" w:rsidRPr="00CA6CD2">
        <w:rPr>
          <w:rFonts w:cstheme="minorHAnsi"/>
          <w:szCs w:val="24"/>
        </w:rPr>
        <w:t>however we are willing to tolerate some negative impact where the advantages for nature outweigh them</w:t>
      </w:r>
      <w:r w:rsidRPr="00CA6CD2">
        <w:rPr>
          <w:rFonts w:cstheme="minorHAnsi"/>
          <w:szCs w:val="24"/>
        </w:rPr>
        <w:t>.</w:t>
      </w:r>
    </w:p>
    <w:p w14:paraId="08EEE69F" w14:textId="77777777" w:rsidR="00BF6703" w:rsidRPr="00BF6703" w:rsidRDefault="00BF6703" w:rsidP="00BF6703">
      <w:pPr>
        <w:spacing w:after="0" w:line="240" w:lineRule="auto"/>
        <w:jc w:val="both"/>
        <w:rPr>
          <w:rFonts w:cstheme="minorHAnsi"/>
          <w:b/>
          <w:szCs w:val="24"/>
        </w:rPr>
      </w:pPr>
      <w:r w:rsidRPr="00BF6703">
        <w:rPr>
          <w:rFonts w:cstheme="minorHAnsi"/>
          <w:b/>
          <w:szCs w:val="24"/>
        </w:rPr>
        <w:t>Compliance</w:t>
      </w:r>
    </w:p>
    <w:p w14:paraId="50120953" w14:textId="77777777" w:rsidR="00BF6703" w:rsidRPr="00BF6703" w:rsidRDefault="00BF6703" w:rsidP="00BF6703">
      <w:pPr>
        <w:spacing w:after="0" w:line="240" w:lineRule="auto"/>
        <w:jc w:val="both"/>
        <w:rPr>
          <w:rFonts w:cstheme="minorHAnsi"/>
          <w:szCs w:val="24"/>
        </w:rPr>
      </w:pPr>
      <w:r w:rsidRPr="00BF6703">
        <w:rPr>
          <w:rFonts w:cstheme="minorHAnsi"/>
          <w:szCs w:val="24"/>
        </w:rPr>
        <w:t>We will comply with the high standards of corporate governance expected of a public body and ensure that all our activities are carried out in accordance within the regulatory parameters set.  We shall also ensure that we follow all related legislation associated with our activities.   Only a very limited tolerance will be taken towards any discretion over the interpretation of our compliance requirements.  These would only be taken with prior consultation and approval at the relevant level of authority.</w:t>
      </w:r>
    </w:p>
    <w:p w14:paraId="5EFC8B65" w14:textId="77777777" w:rsidR="00BF6703" w:rsidRPr="00BF6703" w:rsidRDefault="00BF6703" w:rsidP="00BF6703">
      <w:pPr>
        <w:spacing w:after="0" w:line="240" w:lineRule="auto"/>
        <w:jc w:val="both"/>
        <w:rPr>
          <w:rFonts w:cstheme="minorHAnsi"/>
          <w:b/>
          <w:szCs w:val="24"/>
        </w:rPr>
      </w:pPr>
      <w:r w:rsidRPr="00BF6703">
        <w:rPr>
          <w:rFonts w:cstheme="minorHAnsi"/>
          <w:b/>
          <w:szCs w:val="24"/>
        </w:rPr>
        <w:t>Operational</w:t>
      </w:r>
    </w:p>
    <w:p w14:paraId="197C7E28" w14:textId="77777777" w:rsidR="00BF6703" w:rsidRPr="00BF6703" w:rsidRDefault="00BF6703" w:rsidP="00BF6703">
      <w:pPr>
        <w:spacing w:after="0" w:line="240" w:lineRule="auto"/>
        <w:jc w:val="both"/>
        <w:rPr>
          <w:rFonts w:cstheme="minorHAnsi"/>
          <w:szCs w:val="24"/>
        </w:rPr>
      </w:pPr>
      <w:r w:rsidRPr="00BF6703">
        <w:rPr>
          <w:rFonts w:cstheme="minorHAnsi"/>
          <w:szCs w:val="24"/>
        </w:rPr>
        <w:t>We encourage innovation and creativity in order to maximise our impact from investing in Scotland’s nature, and providing more benefits for more people, including through preventative spend.  We shall also actively look for opportunities where these exist to take on new roles that help deliver our outcomes and improve our services.  When delivering funds with or on behalf of others we will acknowledge the risk of some de-commitment losses provided they are proportionate to the scale of funds being managed.</w:t>
      </w:r>
    </w:p>
    <w:p w14:paraId="58007D8D" w14:textId="77777777" w:rsidR="00BF6703" w:rsidRPr="00BF6703" w:rsidRDefault="00BF6703" w:rsidP="00BF6703">
      <w:pPr>
        <w:spacing w:after="0" w:line="240" w:lineRule="auto"/>
        <w:jc w:val="both"/>
        <w:rPr>
          <w:rFonts w:cstheme="minorHAnsi"/>
          <w:b/>
          <w:szCs w:val="24"/>
        </w:rPr>
      </w:pPr>
      <w:r w:rsidRPr="00BF6703">
        <w:rPr>
          <w:rFonts w:cstheme="minorHAnsi"/>
          <w:b/>
          <w:szCs w:val="24"/>
        </w:rPr>
        <w:t>Resource</w:t>
      </w:r>
    </w:p>
    <w:p w14:paraId="25DD6CD5" w14:textId="77777777" w:rsidR="00BF6703" w:rsidRPr="00BF6703" w:rsidRDefault="00BF6703" w:rsidP="00BF6703">
      <w:pPr>
        <w:spacing w:after="0" w:line="240" w:lineRule="auto"/>
        <w:jc w:val="both"/>
        <w:rPr>
          <w:rFonts w:cstheme="minorHAnsi"/>
          <w:szCs w:val="24"/>
        </w:rPr>
      </w:pPr>
      <w:r w:rsidRPr="00BF6703">
        <w:rPr>
          <w:rFonts w:cstheme="minorHAnsi"/>
          <w:szCs w:val="24"/>
        </w:rPr>
        <w:t>We recognise that public finances will continue to remain under significant pressure.  We will therefore ensure that we are proficient in the decisions we take on the use and deployment of our resources to maximise the public benefit they provide.  We shall also pursue opportunities to diverse our funding and take a leadership role in the development of shared services to minimise our costs and maximise our investment in the natural heritage.</w:t>
      </w:r>
    </w:p>
    <w:p w14:paraId="3AA4DC5B" w14:textId="77777777" w:rsidR="00BF6703" w:rsidRPr="00BF6703" w:rsidRDefault="00BF6703" w:rsidP="00BF6703">
      <w:pPr>
        <w:spacing w:after="0" w:line="240" w:lineRule="auto"/>
        <w:jc w:val="both"/>
        <w:rPr>
          <w:rFonts w:cstheme="minorHAnsi"/>
          <w:b/>
          <w:szCs w:val="24"/>
        </w:rPr>
      </w:pPr>
      <w:r w:rsidRPr="00BF6703">
        <w:rPr>
          <w:rFonts w:cstheme="minorHAnsi"/>
          <w:b/>
          <w:szCs w:val="24"/>
        </w:rPr>
        <w:t xml:space="preserve">Reputational </w:t>
      </w:r>
    </w:p>
    <w:p w14:paraId="61A652A4" w14:textId="77777777" w:rsidR="00BF6703" w:rsidRPr="00BF6703" w:rsidRDefault="00BF6703" w:rsidP="00BF6703">
      <w:pPr>
        <w:spacing w:after="0" w:line="240" w:lineRule="auto"/>
        <w:jc w:val="both"/>
        <w:rPr>
          <w:rFonts w:cstheme="minorHAnsi"/>
          <w:szCs w:val="24"/>
        </w:rPr>
      </w:pPr>
      <w:r w:rsidRPr="00BF6703">
        <w:rPr>
          <w:rFonts w:cstheme="minorHAnsi"/>
          <w:szCs w:val="24"/>
        </w:rPr>
        <w:t>Our work attracts a high level of interest in the policy and operational decisions we take to deliver our outcomes from a wide range of external stakeholders.  We must take account of their views as part of our balancing duties.  However, as an evidence-based organisation we must also be rigorous in ensuring that the decisions we take are based on solid evidence.  This can be difficult due to the uncertainty addressing the twin crises of biodiversity loss and climate change and as such, we shall be prepared to take decisions where there may be no consensus across all stakeholders and where it is judged that this is in the best interest for the natural heritage and wider socio-economic needs.</w:t>
      </w:r>
    </w:p>
    <w:p w14:paraId="44BD57A3" w14:textId="77777777" w:rsidR="00BF6703" w:rsidRDefault="00BF6703" w:rsidP="005D0E4E">
      <w:pPr>
        <w:spacing w:after="0" w:line="240" w:lineRule="auto"/>
        <w:jc w:val="both"/>
        <w:rPr>
          <w:rFonts w:cstheme="minorHAnsi"/>
          <w:szCs w:val="24"/>
        </w:rPr>
      </w:pPr>
    </w:p>
    <w:p w14:paraId="2ED7DDEF" w14:textId="77777777" w:rsidR="00FA0E12" w:rsidRPr="00CA6CD2" w:rsidRDefault="00FA0E12" w:rsidP="00CA6CD2">
      <w:pPr>
        <w:rPr>
          <w:rFonts w:eastAsiaTheme="majorEastAsia" w:cstheme="minorHAnsi"/>
          <w:b/>
          <w:szCs w:val="24"/>
        </w:rPr>
      </w:pPr>
    </w:p>
    <w:sectPr w:rsidR="00FA0E12" w:rsidRPr="00CA6CD2" w:rsidSect="00604DB9">
      <w:footerReference w:type="default" r:id="rId17"/>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1E88" w14:textId="77777777" w:rsidR="003E3122" w:rsidRDefault="003E3122" w:rsidP="00204D20">
      <w:pPr>
        <w:spacing w:after="0" w:line="240" w:lineRule="auto"/>
      </w:pPr>
      <w:r>
        <w:separator/>
      </w:r>
    </w:p>
  </w:endnote>
  <w:endnote w:type="continuationSeparator" w:id="0">
    <w:p w14:paraId="4CF12E0B" w14:textId="77777777" w:rsidR="003E3122" w:rsidRDefault="003E3122"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801B" w14:textId="77777777" w:rsidR="00BF6703" w:rsidRDefault="00BF6703" w:rsidP="00986B58">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74146"/>
      <w:docPartObj>
        <w:docPartGallery w:val="Page Numbers (Bottom of Page)"/>
        <w:docPartUnique/>
      </w:docPartObj>
    </w:sdtPr>
    <w:sdtEndPr>
      <w:rPr>
        <w:noProof/>
      </w:rPr>
    </w:sdtEndPr>
    <w:sdtContent>
      <w:p w14:paraId="35F5A0A6" w14:textId="4D95686E" w:rsidR="00BF6703" w:rsidRDefault="00BF6703">
        <w:pPr>
          <w:pStyle w:val="Footer"/>
          <w:jc w:val="center"/>
        </w:pPr>
        <w:r>
          <w:fldChar w:fldCharType="begin"/>
        </w:r>
        <w:r>
          <w:instrText xml:space="preserve"> PAGE   \* MERGEFORMAT </w:instrText>
        </w:r>
        <w:r>
          <w:fldChar w:fldCharType="separate"/>
        </w:r>
        <w:r w:rsidR="00297BE1">
          <w:rPr>
            <w:noProof/>
          </w:rPr>
          <w:t>5</w:t>
        </w:r>
        <w:r>
          <w:rPr>
            <w:noProof/>
          </w:rPr>
          <w:fldChar w:fldCharType="end"/>
        </w:r>
      </w:p>
    </w:sdtContent>
  </w:sdt>
  <w:p w14:paraId="2B20D174" w14:textId="77777777" w:rsidR="00BF6703" w:rsidRPr="003F195D" w:rsidRDefault="00BF6703" w:rsidP="003F195D">
    <w:pPr>
      <w:pStyle w:val="Footer"/>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7529"/>
      <w:docPartObj>
        <w:docPartGallery w:val="Page Numbers (Bottom of Page)"/>
        <w:docPartUnique/>
      </w:docPartObj>
    </w:sdtPr>
    <w:sdtEndPr>
      <w:rPr>
        <w:rFonts w:ascii="Arial" w:hAnsi="Arial" w:cs="Arial"/>
        <w:noProof/>
      </w:rPr>
    </w:sdtEndPr>
    <w:sdtContent>
      <w:p w14:paraId="46C8C41C" w14:textId="77777777" w:rsidR="00BF6703" w:rsidRPr="00BB1ED6" w:rsidRDefault="00BF6703">
        <w:pPr>
          <w:pStyle w:val="Footer"/>
          <w:jc w:val="center"/>
          <w:rPr>
            <w:rFonts w:ascii="Arial" w:hAnsi="Arial" w:cs="Arial"/>
          </w:rPr>
        </w:pPr>
        <w:r w:rsidRPr="00BB1ED6">
          <w:rPr>
            <w:rFonts w:ascii="Arial" w:hAnsi="Arial" w:cs="Arial"/>
          </w:rPr>
          <w:fldChar w:fldCharType="begin"/>
        </w:r>
        <w:r w:rsidRPr="00BB1ED6">
          <w:rPr>
            <w:rFonts w:ascii="Arial" w:hAnsi="Arial" w:cs="Arial"/>
          </w:rPr>
          <w:instrText xml:space="preserve"> PAGE   \* MERGEFORMAT </w:instrText>
        </w:r>
        <w:r w:rsidRPr="00BB1ED6">
          <w:rPr>
            <w:rFonts w:ascii="Arial" w:hAnsi="Arial" w:cs="Arial"/>
          </w:rPr>
          <w:fldChar w:fldCharType="separate"/>
        </w:r>
        <w:r>
          <w:rPr>
            <w:rFonts w:ascii="Arial" w:hAnsi="Arial" w:cs="Arial"/>
            <w:noProof/>
          </w:rPr>
          <w:t>1</w:t>
        </w:r>
        <w:r w:rsidRPr="00BB1ED6">
          <w:rPr>
            <w:rFonts w:ascii="Arial" w:hAnsi="Arial" w:cs="Arial"/>
            <w:noProof/>
          </w:rPr>
          <w:fldChar w:fldCharType="end"/>
        </w:r>
      </w:p>
    </w:sdtContent>
  </w:sdt>
  <w:p w14:paraId="1F1853F2" w14:textId="77777777" w:rsidR="00BF6703" w:rsidRDefault="00BF67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0D26" w14:textId="77777777" w:rsidR="00BF6703" w:rsidRDefault="00BF6703">
    <w:pPr>
      <w:pStyle w:val="Footer"/>
      <w:jc w:val="center"/>
    </w:pPr>
  </w:p>
  <w:p w14:paraId="376D2998" w14:textId="77777777" w:rsidR="00BF6703" w:rsidRDefault="00BF67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F0E4" w14:textId="77777777" w:rsidR="004F1BBD" w:rsidRDefault="004F1BBD">
    <w:pPr>
      <w:pStyle w:val="Footer"/>
      <w:jc w:val="center"/>
    </w:pPr>
  </w:p>
  <w:p w14:paraId="7252619F"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33B6" w14:textId="77777777" w:rsidR="003E3122" w:rsidRDefault="003E3122" w:rsidP="00204D20">
      <w:pPr>
        <w:spacing w:after="0" w:line="240" w:lineRule="auto"/>
      </w:pPr>
      <w:r>
        <w:separator/>
      </w:r>
    </w:p>
  </w:footnote>
  <w:footnote w:type="continuationSeparator" w:id="0">
    <w:p w14:paraId="31BA85CF" w14:textId="77777777" w:rsidR="003E3122" w:rsidRDefault="003E3122"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61C7" w14:textId="0B8F33D0" w:rsidR="00297BE1" w:rsidRPr="00297BE1" w:rsidRDefault="00297BE1" w:rsidP="00297BE1">
    <w:pPr>
      <w:pStyle w:val="Header"/>
      <w:jc w:val="right"/>
      <w:rPr>
        <w:b/>
      </w:rPr>
    </w:pPr>
    <w:r w:rsidRPr="00297BE1">
      <w:rPr>
        <w:b/>
      </w:rPr>
      <w:t>BOARD/198/06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F9F8" w14:textId="77777777" w:rsidR="00297BE1" w:rsidRPr="00297BE1" w:rsidRDefault="00297BE1" w:rsidP="00297BE1">
    <w:pPr>
      <w:pStyle w:val="Header"/>
      <w:jc w:val="right"/>
      <w:rPr>
        <w:b/>
      </w:rPr>
    </w:pPr>
    <w:r w:rsidRPr="00297BE1">
      <w:rPr>
        <w:b/>
      </w:rPr>
      <w:t>BOARD/198/06</w:t>
    </w:r>
  </w:p>
  <w:p w14:paraId="11236D9A" w14:textId="77777777" w:rsidR="00BF6703" w:rsidRPr="003F195D" w:rsidRDefault="00BF6703" w:rsidP="00297BE1">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299B" w14:textId="77777777" w:rsidR="00BF6703" w:rsidRPr="00BB1ED6" w:rsidRDefault="00BF6703" w:rsidP="00BB1ED6">
    <w:pPr>
      <w:pStyle w:val="Header"/>
      <w:jc w:val="right"/>
      <w:rPr>
        <w:rFonts w:ascii="Arial" w:hAnsi="Arial" w:cs="Arial"/>
        <w:b/>
      </w:rPr>
    </w:pPr>
    <w:r w:rsidRPr="00BB1ED6">
      <w:rPr>
        <w:rFonts w:ascii="Arial" w:hAnsi="Arial" w:cs="Arial"/>
        <w:b/>
      </w:rPr>
      <w:t>Ref (to be inserted by SMU)</w:t>
    </w:r>
  </w:p>
  <w:p w14:paraId="62290ECD" w14:textId="77777777" w:rsidR="00BF6703" w:rsidRDefault="00BF6703" w:rsidP="00BB1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C03E1"/>
    <w:multiLevelType w:val="hybridMultilevel"/>
    <w:tmpl w:val="1E6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47E28"/>
    <w:multiLevelType w:val="hybridMultilevel"/>
    <w:tmpl w:val="61F4556A"/>
    <w:lvl w:ilvl="0" w:tplc="3EFCD5BA">
      <w:start w:val="1"/>
      <w:numFmt w:val="decimal"/>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F19EC"/>
    <w:multiLevelType w:val="hybridMultilevel"/>
    <w:tmpl w:val="355696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90544A"/>
    <w:multiLevelType w:val="hybridMultilevel"/>
    <w:tmpl w:val="A7CA8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6"/>
  </w:num>
  <w:num w:numId="5">
    <w:abstractNumId w:val="4"/>
  </w:num>
  <w:num w:numId="6">
    <w:abstractNumId w:val="3"/>
  </w:num>
  <w:num w:numId="7">
    <w:abstractNumId w:val="10"/>
  </w:num>
  <w:num w:numId="8">
    <w:abstractNumId w:val="8"/>
  </w:num>
  <w:num w:numId="9">
    <w:abstractNumId w:val="2"/>
  </w:num>
  <w:num w:numId="10">
    <w:abstractNumId w:val="12"/>
  </w:num>
  <w:num w:numId="11">
    <w:abstractNumId w:val="0"/>
  </w:num>
  <w:num w:numId="12">
    <w:abstractNumId w:val="14"/>
  </w:num>
  <w:num w:numId="13">
    <w:abstractNumId w:val="15"/>
  </w:num>
  <w:num w:numId="14">
    <w:abstractNumId w:val="19"/>
  </w:num>
  <w:num w:numId="15">
    <w:abstractNumId w:val="7"/>
  </w:num>
  <w:num w:numId="16">
    <w:abstractNumId w:val="1"/>
  </w:num>
  <w:num w:numId="17">
    <w:abstractNumId w:val="18"/>
  </w:num>
  <w:num w:numId="18">
    <w:abstractNumId w:val="11"/>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37EF1"/>
    <w:rsid w:val="0004150E"/>
    <w:rsid w:val="00042DB0"/>
    <w:rsid w:val="000744E6"/>
    <w:rsid w:val="000936B1"/>
    <w:rsid w:val="001033FB"/>
    <w:rsid w:val="00111B84"/>
    <w:rsid w:val="001160F9"/>
    <w:rsid w:val="00146276"/>
    <w:rsid w:val="00162DE7"/>
    <w:rsid w:val="001753AB"/>
    <w:rsid w:val="00183C38"/>
    <w:rsid w:val="00190AE4"/>
    <w:rsid w:val="00195ED8"/>
    <w:rsid w:val="001B6867"/>
    <w:rsid w:val="001F7397"/>
    <w:rsid w:val="00204D20"/>
    <w:rsid w:val="0020596F"/>
    <w:rsid w:val="00217896"/>
    <w:rsid w:val="00236700"/>
    <w:rsid w:val="00257A02"/>
    <w:rsid w:val="00264512"/>
    <w:rsid w:val="00297BE1"/>
    <w:rsid w:val="002A7A0F"/>
    <w:rsid w:val="002E4B11"/>
    <w:rsid w:val="00304855"/>
    <w:rsid w:val="00322D98"/>
    <w:rsid w:val="0033297B"/>
    <w:rsid w:val="003344F1"/>
    <w:rsid w:val="00366E4B"/>
    <w:rsid w:val="003B170D"/>
    <w:rsid w:val="003C0B5D"/>
    <w:rsid w:val="003C3F48"/>
    <w:rsid w:val="003E22BB"/>
    <w:rsid w:val="003E3122"/>
    <w:rsid w:val="003E509E"/>
    <w:rsid w:val="004256C5"/>
    <w:rsid w:val="00460391"/>
    <w:rsid w:val="00474D07"/>
    <w:rsid w:val="004F1BBD"/>
    <w:rsid w:val="004F3D8D"/>
    <w:rsid w:val="00501026"/>
    <w:rsid w:val="00505836"/>
    <w:rsid w:val="00506E5C"/>
    <w:rsid w:val="005261AF"/>
    <w:rsid w:val="00530421"/>
    <w:rsid w:val="00545A1C"/>
    <w:rsid w:val="00546D2A"/>
    <w:rsid w:val="00567227"/>
    <w:rsid w:val="005926A8"/>
    <w:rsid w:val="005C6F3F"/>
    <w:rsid w:val="005D0E4E"/>
    <w:rsid w:val="005F2537"/>
    <w:rsid w:val="005F53C1"/>
    <w:rsid w:val="00600E8F"/>
    <w:rsid w:val="00604DB9"/>
    <w:rsid w:val="00611CD6"/>
    <w:rsid w:val="0061200E"/>
    <w:rsid w:val="00617BA8"/>
    <w:rsid w:val="00633F28"/>
    <w:rsid w:val="00683DAA"/>
    <w:rsid w:val="00690252"/>
    <w:rsid w:val="006B1E74"/>
    <w:rsid w:val="006B521F"/>
    <w:rsid w:val="006D3FA5"/>
    <w:rsid w:val="006E075C"/>
    <w:rsid w:val="006E336B"/>
    <w:rsid w:val="00701143"/>
    <w:rsid w:val="00717EC9"/>
    <w:rsid w:val="00751947"/>
    <w:rsid w:val="007604BC"/>
    <w:rsid w:val="00774F53"/>
    <w:rsid w:val="007C5167"/>
    <w:rsid w:val="007D33E1"/>
    <w:rsid w:val="007D4236"/>
    <w:rsid w:val="00834565"/>
    <w:rsid w:val="008558A8"/>
    <w:rsid w:val="00866908"/>
    <w:rsid w:val="00871EC6"/>
    <w:rsid w:val="00897B62"/>
    <w:rsid w:val="008C4013"/>
    <w:rsid w:val="00916496"/>
    <w:rsid w:val="0093190C"/>
    <w:rsid w:val="00946309"/>
    <w:rsid w:val="00976B38"/>
    <w:rsid w:val="009A0129"/>
    <w:rsid w:val="009A549A"/>
    <w:rsid w:val="009B467A"/>
    <w:rsid w:val="009B6B14"/>
    <w:rsid w:val="009E544C"/>
    <w:rsid w:val="009E599C"/>
    <w:rsid w:val="00A07F18"/>
    <w:rsid w:val="00A30604"/>
    <w:rsid w:val="00A33EEE"/>
    <w:rsid w:val="00A40A44"/>
    <w:rsid w:val="00A7484C"/>
    <w:rsid w:val="00A80762"/>
    <w:rsid w:val="00A81585"/>
    <w:rsid w:val="00A907C9"/>
    <w:rsid w:val="00A932B9"/>
    <w:rsid w:val="00AA6D98"/>
    <w:rsid w:val="00AC4A70"/>
    <w:rsid w:val="00AF0F13"/>
    <w:rsid w:val="00B175FD"/>
    <w:rsid w:val="00B17F58"/>
    <w:rsid w:val="00B24CA5"/>
    <w:rsid w:val="00B45716"/>
    <w:rsid w:val="00BD5E53"/>
    <w:rsid w:val="00BE0D91"/>
    <w:rsid w:val="00BF6703"/>
    <w:rsid w:val="00C23A43"/>
    <w:rsid w:val="00C3696B"/>
    <w:rsid w:val="00C54AF8"/>
    <w:rsid w:val="00C70AC5"/>
    <w:rsid w:val="00CA6CA5"/>
    <w:rsid w:val="00CA6CD2"/>
    <w:rsid w:val="00CC23E9"/>
    <w:rsid w:val="00CC4495"/>
    <w:rsid w:val="00CE5BE1"/>
    <w:rsid w:val="00CF5775"/>
    <w:rsid w:val="00D44333"/>
    <w:rsid w:val="00D85A63"/>
    <w:rsid w:val="00D9473C"/>
    <w:rsid w:val="00DA6B4D"/>
    <w:rsid w:val="00DC1933"/>
    <w:rsid w:val="00DC3685"/>
    <w:rsid w:val="00E04F18"/>
    <w:rsid w:val="00E1294D"/>
    <w:rsid w:val="00E22A05"/>
    <w:rsid w:val="00E31FF8"/>
    <w:rsid w:val="00E37F70"/>
    <w:rsid w:val="00E403E3"/>
    <w:rsid w:val="00E630FC"/>
    <w:rsid w:val="00E83BDD"/>
    <w:rsid w:val="00EA1751"/>
    <w:rsid w:val="00EB179F"/>
    <w:rsid w:val="00EC1C3C"/>
    <w:rsid w:val="00ED7021"/>
    <w:rsid w:val="00EE480A"/>
    <w:rsid w:val="00F15554"/>
    <w:rsid w:val="00F24063"/>
    <w:rsid w:val="00F37072"/>
    <w:rsid w:val="00F66BD0"/>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6C6D"/>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BF67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6703"/>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oter" Target="foot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6dbcb2669a3947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A3726771</value>
    </field>
    <field name="Objective-Title">
      <value order="0">E.06 Board of NatureScot Meeting - 18 May 2022 - Future Risk Appetite</value>
    </field>
    <field name="Objective-Description">
      <value order="0"/>
    </field>
    <field name="Objective-CreationStamp">
      <value order="0">2022-05-11T08:58:44Z</value>
    </field>
    <field name="Objective-IsApproved">
      <value order="0">false</value>
    </field>
    <field name="Objective-IsPublished">
      <value order="0">true</value>
    </field>
    <field name="Objective-DatePublished">
      <value order="0">2022-05-11T08:58:45Z</value>
    </field>
    <field name="Objective-ModificationStamp">
      <value order="0">2022-05-11T08:59:07Z</value>
    </field>
    <field name="Objective-Owner">
      <value order="0">Mary-Anne Thomson</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vA6558698</value>
    </field>
    <field name="Objective-Version">
      <value order="0">1.0</value>
    </field>
    <field name="Objective-VersionNumber">
      <value order="0">1</value>
    </field>
    <field name="Objective-VersionComment">
      <value order="0">First version</value>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890F00B-08F9-491D-846C-00FB0C80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2022-05-11T08:35:00Z</dcterms:created>
  <dcterms:modified xsi:type="dcterms:W3CDTF">2022-05-11T08:35:00Z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A3726771</vt:lpwstr>
  </property>
  <property fmtid="{D5CDD505-2E9C-101B-9397-08002B2CF9AE}" pid="4" name="Objective-Title">
    <vt:lpwstr>E.06 Board of NatureScot Meeting - 18 May 2022 - Future Risk Appetite</vt:lpwstr>
  </property>
  <property fmtid="{D5CDD505-2E9C-101B-9397-08002B2CF9AE}" pid="5" name="Objective-Comment">
    <vt:lpwstr/>
  </property>
  <property fmtid="{D5CDD505-2E9C-101B-9397-08002B2CF9AE}" pid="6" name="Objective-CreationStamp">
    <vt:filetime>2022-05-11T08:58:44Z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2022-05-11T08:58:45Z</vt:filetime>
  </property>
  <property fmtid="{D5CDD505-2E9C-101B-9397-08002B2CF9AE}" pid="10" name="Objective-ModificationStamp">
    <vt:filetime>2022-05-11T08:59:07Z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vA6558698</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