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6A153" w14:textId="77777777" w:rsidR="00A932B9" w:rsidRDefault="00AF0F13" w:rsidP="005D0E4E">
      <w:pPr>
        <w:rPr>
          <w:rFonts w:cstheme="minorHAnsi"/>
          <w:color w:val="FF0000"/>
          <w:sz w:val="22"/>
        </w:rPr>
      </w:pPr>
      <w:r>
        <w:rPr>
          <w:noProof/>
          <w:lang w:eastAsia="en-GB"/>
        </w:rPr>
        <w:drawing>
          <wp:inline distT="0" distB="0" distL="0" distR="0" wp14:anchorId="578C02F7" wp14:editId="315AA0A3">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1C57F6A6" w14:textId="77777777" w:rsidR="00862E38" w:rsidRPr="005B6738" w:rsidRDefault="00862E38" w:rsidP="00862E38">
      <w:pPr>
        <w:pStyle w:val="Heading1"/>
        <w:tabs>
          <w:tab w:val="left" w:pos="3120"/>
        </w:tabs>
        <w:rPr>
          <w:rFonts w:asciiTheme="minorHAnsi" w:hAnsiTheme="minorHAnsi" w:cstheme="minorHAnsi"/>
          <w:sz w:val="24"/>
          <w:szCs w:val="24"/>
        </w:rPr>
      </w:pPr>
      <w:r>
        <w:rPr>
          <w:rFonts w:ascii="Calibri" w:hAnsi="Calibri" w:cs="Calibri"/>
          <w:sz w:val="24"/>
          <w:szCs w:val="24"/>
        </w:rPr>
        <w:t xml:space="preserve">Title:  </w:t>
      </w:r>
      <w:r w:rsidRPr="005B6738">
        <w:rPr>
          <w:rFonts w:asciiTheme="minorHAnsi" w:hAnsiTheme="minorHAnsi" w:cstheme="minorHAnsi"/>
          <w:sz w:val="24"/>
          <w:szCs w:val="24"/>
        </w:rPr>
        <w:t>Corporate Plan 2022-2026 – Future Risk Appetite</w:t>
      </w:r>
    </w:p>
    <w:p w14:paraId="759DFDC4" w14:textId="4E0AE8AB" w:rsidR="00862E38" w:rsidRPr="005B6738" w:rsidRDefault="00862E38" w:rsidP="00862E38">
      <w:pPr>
        <w:rPr>
          <w:rFonts w:cstheme="minorHAnsi"/>
          <w:b/>
          <w:szCs w:val="24"/>
        </w:rPr>
      </w:pPr>
      <w:r w:rsidRPr="005B6738">
        <w:rPr>
          <w:rFonts w:cstheme="minorHAnsi"/>
          <w:b/>
          <w:szCs w:val="24"/>
        </w:rPr>
        <w:t xml:space="preserve">Date: </w:t>
      </w:r>
      <w:r w:rsidR="00E53D14">
        <w:rPr>
          <w:rFonts w:cstheme="minorHAnsi"/>
          <w:b/>
          <w:szCs w:val="24"/>
        </w:rPr>
        <w:t>16</w:t>
      </w:r>
      <w:r w:rsidR="00AC4163">
        <w:rPr>
          <w:rFonts w:cstheme="minorHAnsi"/>
          <w:b/>
          <w:szCs w:val="24"/>
          <w:vertAlign w:val="superscript"/>
        </w:rPr>
        <w:t xml:space="preserve"> </w:t>
      </w:r>
      <w:r w:rsidR="00E53D14">
        <w:rPr>
          <w:rFonts w:cstheme="minorHAnsi"/>
          <w:b/>
          <w:szCs w:val="24"/>
        </w:rPr>
        <w:t>March 2022</w:t>
      </w:r>
    </w:p>
    <w:p w14:paraId="491D42A3" w14:textId="77777777" w:rsidR="003E22BB" w:rsidRPr="00A932B9" w:rsidRDefault="003E22BB" w:rsidP="00862E38">
      <w:pPr>
        <w:pStyle w:val="Heading1"/>
        <w:rPr>
          <w:rFonts w:cstheme="minorHAnsi"/>
          <w:b w:val="0"/>
          <w:color w:val="FF0000"/>
        </w:rPr>
      </w:pPr>
    </w:p>
    <w:tbl>
      <w:tblPr>
        <w:tblStyle w:val="TableGrid"/>
        <w:tblW w:w="0" w:type="auto"/>
        <w:tblLook w:val="04A0" w:firstRow="1" w:lastRow="0" w:firstColumn="1" w:lastColumn="0" w:noHBand="0" w:noVBand="1"/>
        <w:tblCaption w:val="Cover page "/>
        <w:tblDescription w:val="Summary of information provided in the subsequent pages of the paper"/>
      </w:tblPr>
      <w:tblGrid>
        <w:gridCol w:w="2547"/>
        <w:gridCol w:w="6469"/>
      </w:tblGrid>
      <w:tr w:rsidR="00862E38" w:rsidRPr="005D0E4E" w14:paraId="10A199CE" w14:textId="77777777" w:rsidTr="0097304C">
        <w:trPr>
          <w:tblHeader/>
        </w:trPr>
        <w:tc>
          <w:tcPr>
            <w:tcW w:w="2547" w:type="dxa"/>
          </w:tcPr>
          <w:p w14:paraId="02923991" w14:textId="77777777" w:rsidR="00862E38" w:rsidRPr="005D0E4E" w:rsidRDefault="00862E38" w:rsidP="00862E38">
            <w:pPr>
              <w:rPr>
                <w:szCs w:val="24"/>
              </w:rPr>
            </w:pPr>
            <w:r w:rsidRPr="005B6738">
              <w:rPr>
                <w:rFonts w:cstheme="minorHAnsi"/>
                <w:b/>
                <w:color w:val="000000" w:themeColor="text1"/>
                <w:szCs w:val="24"/>
              </w:rPr>
              <w:t>Purpose:</w:t>
            </w:r>
          </w:p>
        </w:tc>
        <w:tc>
          <w:tcPr>
            <w:tcW w:w="6469" w:type="dxa"/>
          </w:tcPr>
          <w:p w14:paraId="3EB714B1" w14:textId="7BAB2DE7" w:rsidR="00862E38" w:rsidRPr="005D0E4E" w:rsidRDefault="0097304C" w:rsidP="00862E38">
            <w:pPr>
              <w:contextualSpacing/>
              <w:rPr>
                <w:rFonts w:ascii="Calibri" w:eastAsia="Arial" w:hAnsi="Calibri" w:cs="Times New Roman"/>
                <w:szCs w:val="24"/>
              </w:rPr>
            </w:pPr>
            <w:r>
              <w:rPr>
                <w:rFonts w:cstheme="minorHAnsi"/>
                <w:color w:val="000000" w:themeColor="text1"/>
                <w:szCs w:val="24"/>
              </w:rPr>
              <w:t>Decision</w:t>
            </w:r>
          </w:p>
        </w:tc>
      </w:tr>
      <w:tr w:rsidR="00862E38" w:rsidRPr="005D0E4E" w14:paraId="15A5E17F" w14:textId="77777777" w:rsidTr="005D0E4E">
        <w:tc>
          <w:tcPr>
            <w:tcW w:w="2547" w:type="dxa"/>
          </w:tcPr>
          <w:p w14:paraId="2296339A" w14:textId="77777777" w:rsidR="00862E38" w:rsidRPr="005D0E4E" w:rsidRDefault="00862E38" w:rsidP="00862E38">
            <w:pPr>
              <w:rPr>
                <w:rFonts w:ascii="Calibri" w:eastAsia="Arial" w:hAnsi="Calibri" w:cs="Times New Roman"/>
                <w:szCs w:val="24"/>
              </w:rPr>
            </w:pPr>
            <w:r w:rsidRPr="005B3708">
              <w:rPr>
                <w:rFonts w:cstheme="minorHAnsi"/>
                <w:b/>
                <w:szCs w:val="24"/>
              </w:rPr>
              <w:t>How does this link with our corporate priorities of improving biodiversity or delivering nature-based solutions to climate change</w:t>
            </w:r>
          </w:p>
        </w:tc>
        <w:tc>
          <w:tcPr>
            <w:tcW w:w="6469" w:type="dxa"/>
          </w:tcPr>
          <w:p w14:paraId="77466486" w14:textId="77777777" w:rsidR="00862E38" w:rsidRPr="005B6738" w:rsidRDefault="00862E38" w:rsidP="00862E38">
            <w:pPr>
              <w:rPr>
                <w:rFonts w:cstheme="minorHAnsi"/>
                <w:szCs w:val="24"/>
              </w:rPr>
            </w:pPr>
            <w:r w:rsidRPr="005B6738">
              <w:rPr>
                <w:rFonts w:cstheme="minorHAnsi"/>
                <w:szCs w:val="24"/>
              </w:rPr>
              <w:t>This is the final stage in the development of the Corporate Plan; to identify and develop a risk appetite statement that reflects the organisation’s approach to risk in strategic decision making.</w:t>
            </w:r>
          </w:p>
          <w:p w14:paraId="628B50C1" w14:textId="77777777" w:rsidR="00862E38" w:rsidRPr="005D0E4E" w:rsidRDefault="00862E38" w:rsidP="00862E38">
            <w:pPr>
              <w:contextualSpacing/>
              <w:rPr>
                <w:rFonts w:ascii="Calibri" w:eastAsia="Arial" w:hAnsi="Calibri" w:cs="Times New Roman"/>
                <w:i/>
                <w:szCs w:val="24"/>
              </w:rPr>
            </w:pPr>
            <w:r w:rsidRPr="005B6738">
              <w:rPr>
                <w:rFonts w:cstheme="minorHAnsi"/>
                <w:szCs w:val="24"/>
              </w:rPr>
              <w:t>A more specific statement on the organisation’s appetite to risk will be used to inform and support strategic-related decisions during the life of the corporate plan.</w:t>
            </w:r>
          </w:p>
        </w:tc>
      </w:tr>
      <w:tr w:rsidR="00862E38" w:rsidRPr="005D0E4E" w14:paraId="1E64373B" w14:textId="77777777" w:rsidTr="005D0E4E">
        <w:tc>
          <w:tcPr>
            <w:tcW w:w="2547" w:type="dxa"/>
          </w:tcPr>
          <w:p w14:paraId="17C86F66" w14:textId="77777777" w:rsidR="00862E38" w:rsidRPr="005B3708" w:rsidRDefault="00862E38" w:rsidP="00862E38">
            <w:pPr>
              <w:rPr>
                <w:rFonts w:cstheme="minorHAnsi"/>
                <w:b/>
                <w:szCs w:val="24"/>
              </w:rPr>
            </w:pPr>
            <w:r w:rsidRPr="005B3708">
              <w:rPr>
                <w:rFonts w:cstheme="minorHAnsi"/>
                <w:b/>
                <w:szCs w:val="24"/>
              </w:rPr>
              <w:t>Summary:</w:t>
            </w:r>
          </w:p>
          <w:p w14:paraId="7F66609C" w14:textId="77777777" w:rsidR="00862E38" w:rsidRPr="005B3708" w:rsidRDefault="00862E38" w:rsidP="00862E38">
            <w:pPr>
              <w:rPr>
                <w:rFonts w:cstheme="minorHAnsi"/>
                <w:b/>
                <w:szCs w:val="24"/>
              </w:rPr>
            </w:pPr>
          </w:p>
          <w:p w14:paraId="15954898" w14:textId="77777777" w:rsidR="00862E38" w:rsidRPr="005D0E4E" w:rsidRDefault="00862E38" w:rsidP="00862E38">
            <w:pPr>
              <w:rPr>
                <w:rFonts w:ascii="Calibri" w:eastAsia="Arial" w:hAnsi="Calibri" w:cs="Times New Roman"/>
                <w:szCs w:val="24"/>
              </w:rPr>
            </w:pPr>
          </w:p>
        </w:tc>
        <w:tc>
          <w:tcPr>
            <w:tcW w:w="6469" w:type="dxa"/>
          </w:tcPr>
          <w:p w14:paraId="1B0EB5E1" w14:textId="7837FBAE" w:rsidR="00862E38" w:rsidRPr="005D0E4E" w:rsidRDefault="00862E38" w:rsidP="00862E38">
            <w:pPr>
              <w:contextualSpacing/>
              <w:rPr>
                <w:rFonts w:ascii="Calibri" w:eastAsia="Arial" w:hAnsi="Calibri" w:cs="Times New Roman"/>
                <w:szCs w:val="24"/>
              </w:rPr>
            </w:pPr>
            <w:r w:rsidRPr="005B6738">
              <w:rPr>
                <w:rFonts w:cstheme="minorHAnsi"/>
                <w:szCs w:val="24"/>
              </w:rPr>
              <w:t>Confirming a new risk appetite will facilitate communications with colleagues across the organisation, increasing their empowerment in decision making with the confirmed risk appetite in mind.</w:t>
            </w:r>
          </w:p>
        </w:tc>
      </w:tr>
      <w:tr w:rsidR="00862E38" w:rsidRPr="005D0E4E" w14:paraId="1AD41E7C" w14:textId="77777777" w:rsidTr="005D0E4E">
        <w:tc>
          <w:tcPr>
            <w:tcW w:w="2547" w:type="dxa"/>
          </w:tcPr>
          <w:p w14:paraId="05A798A5" w14:textId="77777777" w:rsidR="00862E38" w:rsidRPr="005D0E4E" w:rsidRDefault="00862E38" w:rsidP="00862E38">
            <w:pPr>
              <w:rPr>
                <w:rFonts w:ascii="Calibri" w:eastAsia="Arial" w:hAnsi="Calibri" w:cs="Times New Roman"/>
                <w:szCs w:val="24"/>
              </w:rPr>
            </w:pPr>
            <w:r w:rsidRPr="005B3708">
              <w:rPr>
                <w:rFonts w:cstheme="minorHAnsi"/>
                <w:b/>
                <w:szCs w:val="24"/>
              </w:rPr>
              <w:t>Actions:</w:t>
            </w:r>
          </w:p>
        </w:tc>
        <w:tc>
          <w:tcPr>
            <w:tcW w:w="6469" w:type="dxa"/>
          </w:tcPr>
          <w:p w14:paraId="0997ACFD" w14:textId="41E813BE" w:rsidR="00862E38" w:rsidRPr="005D0E4E" w:rsidRDefault="007E362C" w:rsidP="009B7C91">
            <w:pPr>
              <w:contextualSpacing/>
              <w:rPr>
                <w:rFonts w:ascii="Calibri" w:eastAsia="Arial" w:hAnsi="Calibri" w:cs="Times New Roman"/>
                <w:i/>
                <w:szCs w:val="24"/>
              </w:rPr>
            </w:pPr>
            <w:r>
              <w:rPr>
                <w:rFonts w:cstheme="minorHAnsi"/>
                <w:szCs w:val="24"/>
              </w:rPr>
              <w:t>Board</w:t>
            </w:r>
            <w:r w:rsidR="00862E38" w:rsidRPr="005B6738">
              <w:rPr>
                <w:rFonts w:cstheme="minorHAnsi"/>
                <w:szCs w:val="24"/>
              </w:rPr>
              <w:t xml:space="preserve"> are asked to </w:t>
            </w:r>
            <w:r w:rsidR="009B7C91">
              <w:rPr>
                <w:rFonts w:cstheme="minorHAnsi"/>
                <w:szCs w:val="24"/>
              </w:rPr>
              <w:t>confirm NatureScot’s new risk appetite as aligned to ‘A Nature Rich Future’</w:t>
            </w:r>
          </w:p>
        </w:tc>
      </w:tr>
      <w:tr w:rsidR="00862E38" w:rsidRPr="005D0E4E" w14:paraId="651C08E1" w14:textId="77777777" w:rsidTr="005D0E4E">
        <w:tc>
          <w:tcPr>
            <w:tcW w:w="2547" w:type="dxa"/>
          </w:tcPr>
          <w:p w14:paraId="56A233D7" w14:textId="77777777" w:rsidR="00862E38" w:rsidRPr="005B3708" w:rsidRDefault="00862E38" w:rsidP="00862E38">
            <w:pPr>
              <w:rPr>
                <w:rFonts w:cstheme="minorHAnsi"/>
                <w:b/>
                <w:szCs w:val="24"/>
              </w:rPr>
            </w:pPr>
            <w:r w:rsidRPr="005B3708">
              <w:rPr>
                <w:rFonts w:cstheme="minorHAnsi"/>
                <w:b/>
                <w:szCs w:val="24"/>
              </w:rPr>
              <w:t>Recommendations:</w:t>
            </w:r>
          </w:p>
          <w:p w14:paraId="27ABB32C" w14:textId="77777777" w:rsidR="00862E38" w:rsidRPr="005D0E4E" w:rsidRDefault="00862E38" w:rsidP="00862E38">
            <w:pPr>
              <w:contextualSpacing/>
              <w:rPr>
                <w:rFonts w:ascii="Calibri" w:eastAsia="Arial" w:hAnsi="Calibri" w:cs="Times New Roman"/>
                <w:szCs w:val="24"/>
              </w:rPr>
            </w:pPr>
          </w:p>
        </w:tc>
        <w:tc>
          <w:tcPr>
            <w:tcW w:w="6469" w:type="dxa"/>
          </w:tcPr>
          <w:p w14:paraId="01056053" w14:textId="77777777" w:rsidR="00862E38" w:rsidRPr="005B6738" w:rsidRDefault="007E362C" w:rsidP="00862E38">
            <w:pPr>
              <w:rPr>
                <w:rFonts w:cstheme="minorHAnsi"/>
                <w:szCs w:val="24"/>
              </w:rPr>
            </w:pPr>
            <w:r>
              <w:rPr>
                <w:rFonts w:cstheme="minorHAnsi"/>
                <w:szCs w:val="24"/>
              </w:rPr>
              <w:t>Board</w:t>
            </w:r>
            <w:r w:rsidR="00862E38" w:rsidRPr="005B6738">
              <w:rPr>
                <w:rFonts w:cstheme="minorHAnsi"/>
                <w:szCs w:val="24"/>
              </w:rPr>
              <w:t xml:space="preserve"> are asked to:</w:t>
            </w:r>
          </w:p>
          <w:p w14:paraId="464D129D" w14:textId="77777777" w:rsidR="007E362C" w:rsidRDefault="007E362C" w:rsidP="007E362C">
            <w:pPr>
              <w:pStyle w:val="ListParagraph"/>
              <w:numPr>
                <w:ilvl w:val="0"/>
                <w:numId w:val="22"/>
              </w:numPr>
              <w:rPr>
                <w:b/>
                <w:szCs w:val="24"/>
              </w:rPr>
            </w:pPr>
            <w:r w:rsidRPr="007E362C">
              <w:rPr>
                <w:b/>
                <w:szCs w:val="24"/>
              </w:rPr>
              <w:t xml:space="preserve">Discuss and agree a new risk appetite for the 2022-2026 Corporate Plan </w:t>
            </w:r>
          </w:p>
          <w:p w14:paraId="15CFEF4D" w14:textId="77777777" w:rsidR="00862E38" w:rsidRPr="007E362C" w:rsidRDefault="007E362C" w:rsidP="007E362C">
            <w:pPr>
              <w:pStyle w:val="ListParagraph"/>
              <w:numPr>
                <w:ilvl w:val="0"/>
                <w:numId w:val="22"/>
              </w:numPr>
              <w:rPr>
                <w:b/>
                <w:szCs w:val="24"/>
              </w:rPr>
            </w:pPr>
            <w:r w:rsidRPr="007E362C">
              <w:rPr>
                <w:b/>
                <w:szCs w:val="24"/>
              </w:rPr>
              <w:t>Confirm whether one risk appetite level should be set for each category</w:t>
            </w:r>
          </w:p>
        </w:tc>
      </w:tr>
      <w:tr w:rsidR="00862E38" w:rsidRPr="005D0E4E" w14:paraId="67C3ADC4" w14:textId="77777777" w:rsidTr="005D0E4E">
        <w:tc>
          <w:tcPr>
            <w:tcW w:w="2547" w:type="dxa"/>
          </w:tcPr>
          <w:p w14:paraId="7F8D8A82" w14:textId="77777777" w:rsidR="00862E38" w:rsidRPr="005B3708" w:rsidRDefault="00862E38" w:rsidP="00862E38">
            <w:pPr>
              <w:rPr>
                <w:rFonts w:cstheme="minorHAnsi"/>
                <w:b/>
                <w:szCs w:val="24"/>
              </w:rPr>
            </w:pPr>
            <w:r w:rsidRPr="005B3708">
              <w:rPr>
                <w:rFonts w:cstheme="minorHAnsi"/>
                <w:b/>
                <w:szCs w:val="24"/>
              </w:rPr>
              <w:t>Paper Author(s):</w:t>
            </w:r>
          </w:p>
          <w:p w14:paraId="74079735" w14:textId="77777777" w:rsidR="00862E38" w:rsidRPr="005B3708" w:rsidRDefault="00862E38" w:rsidP="00862E38">
            <w:pPr>
              <w:rPr>
                <w:rFonts w:cstheme="minorHAnsi"/>
                <w:b/>
                <w:szCs w:val="24"/>
              </w:rPr>
            </w:pPr>
            <w:r w:rsidRPr="005B3708">
              <w:rPr>
                <w:rFonts w:cstheme="minorHAnsi"/>
                <w:b/>
                <w:szCs w:val="24"/>
              </w:rPr>
              <w:t>Sponsor:</w:t>
            </w:r>
          </w:p>
          <w:p w14:paraId="6240C15D" w14:textId="77777777" w:rsidR="00862E38" w:rsidRPr="005D0E4E" w:rsidRDefault="00862E38" w:rsidP="00862E38">
            <w:pPr>
              <w:contextualSpacing/>
              <w:rPr>
                <w:rFonts w:ascii="Calibri" w:eastAsia="Arial" w:hAnsi="Calibri" w:cs="Times New Roman"/>
                <w:szCs w:val="24"/>
              </w:rPr>
            </w:pPr>
          </w:p>
        </w:tc>
        <w:tc>
          <w:tcPr>
            <w:tcW w:w="6469" w:type="dxa"/>
          </w:tcPr>
          <w:p w14:paraId="69470964" w14:textId="77777777" w:rsidR="00862E38" w:rsidRPr="00D91A0A" w:rsidRDefault="00862E38" w:rsidP="00862E38">
            <w:pPr>
              <w:rPr>
                <w:rFonts w:ascii="Calibri" w:eastAsia="Arial" w:hAnsi="Calibri" w:cs="Times New Roman"/>
                <w:szCs w:val="24"/>
              </w:rPr>
            </w:pPr>
            <w:r w:rsidRPr="00D91A0A">
              <w:rPr>
                <w:rFonts w:ascii="Calibri" w:eastAsia="Arial" w:hAnsi="Calibri" w:cs="Times New Roman"/>
                <w:szCs w:val="24"/>
              </w:rPr>
              <w:t>Yvonne McIntosh – Planning and Performance Manager</w:t>
            </w:r>
          </w:p>
          <w:p w14:paraId="65401DCA" w14:textId="77777777" w:rsidR="00862E38" w:rsidRPr="005D0E4E" w:rsidRDefault="00862E38" w:rsidP="00862E38">
            <w:pPr>
              <w:rPr>
                <w:rFonts w:ascii="Calibri" w:eastAsia="Arial" w:hAnsi="Calibri" w:cs="Times New Roman"/>
                <w:szCs w:val="24"/>
              </w:rPr>
            </w:pPr>
            <w:r w:rsidRPr="005B6738">
              <w:rPr>
                <w:rFonts w:cstheme="minorHAnsi"/>
                <w:szCs w:val="24"/>
              </w:rPr>
              <w:t>Stuart MacQuarrie – Deputy Director of Business Services and Transformation</w:t>
            </w:r>
          </w:p>
        </w:tc>
      </w:tr>
      <w:tr w:rsidR="00862E38" w:rsidRPr="005D0E4E" w14:paraId="75DDD589" w14:textId="77777777" w:rsidTr="005D0E4E">
        <w:tc>
          <w:tcPr>
            <w:tcW w:w="2547" w:type="dxa"/>
          </w:tcPr>
          <w:p w14:paraId="58EE1ACF" w14:textId="77777777" w:rsidR="00862E38" w:rsidRPr="005D0E4E" w:rsidRDefault="00862E38" w:rsidP="00862E38">
            <w:pPr>
              <w:contextualSpacing/>
              <w:rPr>
                <w:rFonts w:ascii="Calibri" w:eastAsia="Arial" w:hAnsi="Calibri" w:cs="Times New Roman"/>
                <w:b/>
                <w:szCs w:val="24"/>
              </w:rPr>
            </w:pPr>
            <w:r w:rsidRPr="005B6738">
              <w:rPr>
                <w:rFonts w:cstheme="minorHAnsi"/>
                <w:b/>
                <w:szCs w:val="24"/>
              </w:rPr>
              <w:t>Appendices:</w:t>
            </w:r>
          </w:p>
        </w:tc>
        <w:tc>
          <w:tcPr>
            <w:tcW w:w="6469" w:type="dxa"/>
          </w:tcPr>
          <w:p w14:paraId="41875289" w14:textId="77777777" w:rsidR="00862E38" w:rsidRPr="005B6738" w:rsidRDefault="00862E38" w:rsidP="00862E38">
            <w:pPr>
              <w:rPr>
                <w:rFonts w:cstheme="minorHAnsi"/>
                <w:szCs w:val="24"/>
              </w:rPr>
            </w:pPr>
            <w:r w:rsidRPr="005B6738">
              <w:rPr>
                <w:rFonts w:cstheme="minorHAnsi"/>
                <w:szCs w:val="24"/>
              </w:rPr>
              <w:t>Annex A – Risk Categories and Risk Statements</w:t>
            </w:r>
          </w:p>
          <w:p w14:paraId="7F763BB7" w14:textId="77777777" w:rsidR="00862E38" w:rsidRPr="007E362C" w:rsidRDefault="00862E38" w:rsidP="00862E38">
            <w:pPr>
              <w:rPr>
                <w:rFonts w:cstheme="minorHAnsi"/>
                <w:szCs w:val="24"/>
              </w:rPr>
            </w:pPr>
            <w:r w:rsidRPr="005B6738">
              <w:rPr>
                <w:rFonts w:cstheme="minorHAnsi"/>
                <w:szCs w:val="24"/>
              </w:rPr>
              <w:t xml:space="preserve">Annex B - </w:t>
            </w:r>
            <w:r w:rsidR="007E362C" w:rsidRPr="007E362C">
              <w:rPr>
                <w:rFonts w:cstheme="minorHAnsi"/>
                <w:szCs w:val="24"/>
              </w:rPr>
              <w:t>NatureScot Risk Appetite Table and description of each level of Risk Appetite</w:t>
            </w:r>
          </w:p>
        </w:tc>
      </w:tr>
    </w:tbl>
    <w:p w14:paraId="5A55E4ED" w14:textId="77777777" w:rsidR="003B170D" w:rsidRDefault="003B170D" w:rsidP="003B170D"/>
    <w:p w14:paraId="2C3C3130" w14:textId="77777777" w:rsidR="00862E38" w:rsidRDefault="00862E38">
      <w:pPr>
        <w:rPr>
          <w:rFonts w:cstheme="minorHAnsi"/>
          <w:b/>
          <w:szCs w:val="24"/>
        </w:rPr>
      </w:pPr>
      <w:r>
        <w:rPr>
          <w:rFonts w:cstheme="minorHAnsi"/>
          <w:b/>
          <w:szCs w:val="24"/>
        </w:rPr>
        <w:br w:type="page"/>
      </w:r>
    </w:p>
    <w:p w14:paraId="1C37D728" w14:textId="77777777" w:rsidR="00DA6B4D" w:rsidRPr="00530421" w:rsidRDefault="00DA6B4D" w:rsidP="00FA0E12">
      <w:pPr>
        <w:spacing w:after="0" w:line="240" w:lineRule="auto"/>
        <w:jc w:val="both"/>
        <w:rPr>
          <w:rFonts w:cstheme="minorHAnsi"/>
          <w:b/>
          <w:szCs w:val="24"/>
        </w:rPr>
      </w:pPr>
    </w:p>
    <w:p w14:paraId="2545CF68" w14:textId="77777777" w:rsidR="00862E38" w:rsidRPr="005B6738" w:rsidRDefault="00862E38" w:rsidP="0097304C">
      <w:pPr>
        <w:pStyle w:val="Heading2"/>
        <w:rPr>
          <w:i/>
        </w:rPr>
      </w:pPr>
      <w:r w:rsidRPr="005B3708">
        <w:t xml:space="preserve">Purpose </w:t>
      </w:r>
    </w:p>
    <w:p w14:paraId="02329344" w14:textId="7F4A2ACC" w:rsidR="00862E38" w:rsidRPr="005B370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This paper seeks to review our strategic risk appetite so that it can be used to aid and inform current and future strategic-related decisions</w:t>
      </w:r>
      <w:r w:rsidR="009B7C91">
        <w:rPr>
          <w:rFonts w:cstheme="minorHAnsi"/>
          <w:szCs w:val="24"/>
        </w:rPr>
        <w:t xml:space="preserve"> aligned to</w:t>
      </w:r>
      <w:r w:rsidRPr="005B6738">
        <w:rPr>
          <w:rFonts w:cstheme="minorHAnsi"/>
          <w:szCs w:val="24"/>
        </w:rPr>
        <w:t xml:space="preserve"> delivery of our Corporate Plan.  It will be promoted across the organisation for wider understanding of the organisation’s appetite to risk and to improve the organisation’s risk culture.</w:t>
      </w:r>
    </w:p>
    <w:p w14:paraId="694839F1" w14:textId="77777777" w:rsidR="00862E38" w:rsidRPr="005B3708" w:rsidRDefault="00862E38" w:rsidP="0097304C">
      <w:pPr>
        <w:spacing w:after="0" w:line="240" w:lineRule="auto"/>
        <w:ind w:left="-76"/>
        <w:rPr>
          <w:rFonts w:cstheme="minorHAnsi"/>
          <w:szCs w:val="24"/>
        </w:rPr>
      </w:pPr>
    </w:p>
    <w:p w14:paraId="12E3D322" w14:textId="77777777" w:rsidR="00862E38" w:rsidRPr="005B6738" w:rsidRDefault="00862E38" w:rsidP="0097304C">
      <w:pPr>
        <w:pStyle w:val="Heading2"/>
        <w:rPr>
          <w:i/>
        </w:rPr>
      </w:pPr>
      <w:r w:rsidRPr="005B3708">
        <w:t xml:space="preserve">Background </w:t>
      </w:r>
    </w:p>
    <w:p w14:paraId="49277E24" w14:textId="77777777" w:rsidR="00862E38" w:rsidRPr="005B67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As part of the development of the new Corporate Plan, we are reviewing the organisation’s risk appetite i.e. how much risk are we willing to take (or accept) to deliver our objectives.</w:t>
      </w:r>
    </w:p>
    <w:p w14:paraId="0B1F0D2A" w14:textId="77777777" w:rsidR="00862E38" w:rsidRPr="005B67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To do this we have considered; firstly, the organisation’s risk maturity, which identifies weaker areas of risk management in the organisation such as cultural adoption and secondly feedback from staff on what they felt was the organisation’s approach to risk at our risk appetite workshops.</w:t>
      </w:r>
    </w:p>
    <w:p w14:paraId="4148AED1" w14:textId="77777777" w:rsidR="00862E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There is historically a perception that NatureScot is an inherently risk adverse organisation although there’s good examples of where we have been prepared to take risks such as Green Infrastructure Strategic Investment and Peatland Action.  One weakness perhaps is that we need to enhance th</w:t>
      </w:r>
      <w:r>
        <w:rPr>
          <w:rFonts w:cstheme="minorHAnsi"/>
          <w:szCs w:val="24"/>
        </w:rPr>
        <w:t>e</w:t>
      </w:r>
      <w:r w:rsidRPr="005B6738">
        <w:rPr>
          <w:rFonts w:cstheme="minorHAnsi"/>
          <w:szCs w:val="24"/>
        </w:rPr>
        <w:t xml:space="preserve"> organisations understanding of risk appetite and help colleagues to feel supported and therefore more open to taking risk.</w:t>
      </w:r>
    </w:p>
    <w:p w14:paraId="1C67685C" w14:textId="77777777" w:rsidR="00862E38" w:rsidRDefault="00862E38" w:rsidP="0097304C">
      <w:pPr>
        <w:spacing w:after="0" w:line="240" w:lineRule="auto"/>
        <w:rPr>
          <w:rFonts w:cstheme="minorHAnsi"/>
          <w:szCs w:val="24"/>
        </w:rPr>
      </w:pPr>
    </w:p>
    <w:p w14:paraId="461B627F" w14:textId="77777777" w:rsidR="00862E38" w:rsidRPr="005B6738" w:rsidRDefault="00862E38" w:rsidP="0097304C">
      <w:pPr>
        <w:pStyle w:val="Heading2"/>
        <w:rPr>
          <w:rFonts w:ascii="Calibri" w:hAnsi="Calibri" w:cs="Calibri"/>
        </w:rPr>
      </w:pPr>
      <w:r w:rsidRPr="005B6738">
        <w:rPr>
          <w:rFonts w:ascii="Calibri" w:hAnsi="Calibri" w:cs="Calibri"/>
        </w:rPr>
        <w:t>When to take risks</w:t>
      </w:r>
    </w:p>
    <w:p w14:paraId="239E6A25" w14:textId="77777777" w:rsidR="00862E38" w:rsidRPr="005B67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 xml:space="preserve">When faced with strategic decisions we need to consider both the benefits to be achieved and the associated risks.  Decisions however are often taken on the basis of avoiding or minimising loss so there’s a tendency to be more influenced by potential losses than potential gains. </w:t>
      </w:r>
    </w:p>
    <w:p w14:paraId="0F5AD646" w14:textId="77777777" w:rsidR="00862E38" w:rsidRPr="005B67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 xml:space="preserve">There’s some evidence that people who look to work in the public sector are more risk adverse than those in the private sector – and this perhaps reflects the risk culture of the organisation.  We need to recognise however that there’s differences in approach to risk taking across the public sector e.g. the approach to risk in social services or the NHS compared with the Armed Forces, however, there’s perhaps good reasons why we can’t or shouldn’t have the same level of risk appetite than the private sector given that we are publically funded.  </w:t>
      </w:r>
    </w:p>
    <w:p w14:paraId="2ADB0430" w14:textId="77777777" w:rsidR="00862E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We also need to consider the environment in which we operate in the public sector and the culture of the organisation that develops from this.  Taking risks however needs to consider our capability and cap</w:t>
      </w:r>
      <w:r>
        <w:rPr>
          <w:rFonts w:cstheme="minorHAnsi"/>
          <w:szCs w:val="24"/>
        </w:rPr>
        <w:t>acity to manage them e.g. what resources we have,</w:t>
      </w:r>
      <w:r w:rsidRPr="005B6738">
        <w:rPr>
          <w:rFonts w:cstheme="minorHAnsi"/>
          <w:szCs w:val="24"/>
        </w:rPr>
        <w:t xml:space="preserve"> what skills we possess, what typ</w:t>
      </w:r>
      <w:r>
        <w:rPr>
          <w:rFonts w:cstheme="minorHAnsi"/>
          <w:szCs w:val="24"/>
        </w:rPr>
        <w:t xml:space="preserve">e of knowledge and expertise </w:t>
      </w:r>
      <w:r w:rsidRPr="005B6738">
        <w:rPr>
          <w:rFonts w:cstheme="minorHAnsi"/>
          <w:szCs w:val="24"/>
        </w:rPr>
        <w:t>we have or how robust our reputation and brand is.</w:t>
      </w:r>
    </w:p>
    <w:p w14:paraId="2F3C673A" w14:textId="77777777" w:rsidR="00862E38" w:rsidRDefault="00862E38" w:rsidP="0097304C">
      <w:pPr>
        <w:spacing w:after="0" w:line="240" w:lineRule="auto"/>
        <w:rPr>
          <w:rFonts w:cstheme="minorHAnsi"/>
          <w:szCs w:val="24"/>
        </w:rPr>
      </w:pPr>
    </w:p>
    <w:p w14:paraId="3B50E1FB" w14:textId="77777777" w:rsidR="00862E38" w:rsidRPr="005B6738" w:rsidRDefault="00862E38" w:rsidP="0097304C">
      <w:pPr>
        <w:pStyle w:val="Heading2"/>
        <w:rPr>
          <w:rFonts w:ascii="Calibri" w:hAnsi="Calibri" w:cs="Calibri"/>
        </w:rPr>
      </w:pPr>
      <w:r w:rsidRPr="005B6738">
        <w:rPr>
          <w:rFonts w:ascii="Calibri" w:hAnsi="Calibri" w:cs="Calibri"/>
        </w:rPr>
        <w:t>Setting Risk Appetite</w:t>
      </w:r>
    </w:p>
    <w:p w14:paraId="28FA1FB8" w14:textId="77777777" w:rsidR="00862E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 xml:space="preserve">Identifying the appropriate </w:t>
      </w:r>
      <w:r>
        <w:rPr>
          <w:rFonts w:cstheme="minorHAnsi"/>
          <w:szCs w:val="24"/>
        </w:rPr>
        <w:t xml:space="preserve">appetite for a risk category </w:t>
      </w:r>
      <w:r w:rsidRPr="005B6738">
        <w:rPr>
          <w:rFonts w:cstheme="minorHAnsi"/>
          <w:szCs w:val="24"/>
        </w:rPr>
        <w:t>requires us to consider our capacity and capability to deal with the risks we might be exposed to.  For NatureScot we should therefore take into consideration elements such as:</w:t>
      </w:r>
    </w:p>
    <w:p w14:paraId="1E9F9EE7" w14:textId="77777777" w:rsidR="00862E38" w:rsidRPr="005B6738" w:rsidRDefault="00862E38" w:rsidP="0097304C">
      <w:pPr>
        <w:pStyle w:val="ListParagraph"/>
        <w:spacing w:after="0" w:line="240" w:lineRule="auto"/>
        <w:ind w:left="360"/>
        <w:rPr>
          <w:rFonts w:cstheme="minorHAnsi"/>
          <w:szCs w:val="24"/>
        </w:rPr>
      </w:pPr>
    </w:p>
    <w:p w14:paraId="6C9FBB36" w14:textId="77777777" w:rsidR="00862E38" w:rsidRPr="005B6738" w:rsidRDefault="00862E38" w:rsidP="0097304C">
      <w:pPr>
        <w:pStyle w:val="ListParagraph"/>
        <w:numPr>
          <w:ilvl w:val="0"/>
          <w:numId w:val="18"/>
        </w:numPr>
        <w:spacing w:after="0" w:line="240" w:lineRule="auto"/>
        <w:rPr>
          <w:rFonts w:cstheme="minorHAnsi"/>
          <w:szCs w:val="24"/>
        </w:rPr>
      </w:pPr>
      <w:r w:rsidRPr="005B6738">
        <w:rPr>
          <w:rFonts w:cstheme="minorHAnsi"/>
          <w:szCs w:val="24"/>
        </w:rPr>
        <w:t>Whether we have a sufficient risk management process in place to help us identify and manage current and future risks?</w:t>
      </w:r>
    </w:p>
    <w:p w14:paraId="46DE08C4" w14:textId="77777777" w:rsidR="00862E38" w:rsidRPr="005B6738" w:rsidRDefault="00862E38" w:rsidP="0097304C">
      <w:pPr>
        <w:pStyle w:val="ListParagraph"/>
        <w:numPr>
          <w:ilvl w:val="0"/>
          <w:numId w:val="18"/>
        </w:numPr>
        <w:spacing w:after="0" w:line="240" w:lineRule="auto"/>
        <w:rPr>
          <w:rFonts w:cstheme="minorHAnsi"/>
          <w:szCs w:val="24"/>
        </w:rPr>
      </w:pPr>
      <w:r w:rsidRPr="005B6738">
        <w:rPr>
          <w:rFonts w:cstheme="minorHAnsi"/>
          <w:szCs w:val="24"/>
        </w:rPr>
        <w:t>Whether our position as a Non Departmental Public Body (NDPB) provides us with sufficient independence and impartiality to take decisions and a stand on particular issues?</w:t>
      </w:r>
    </w:p>
    <w:p w14:paraId="4F0334AC" w14:textId="77777777" w:rsidR="00862E38" w:rsidRPr="005B6738" w:rsidRDefault="00862E38" w:rsidP="0097304C">
      <w:pPr>
        <w:pStyle w:val="ListParagraph"/>
        <w:numPr>
          <w:ilvl w:val="0"/>
          <w:numId w:val="18"/>
        </w:numPr>
        <w:spacing w:after="0" w:line="240" w:lineRule="auto"/>
        <w:rPr>
          <w:rFonts w:cstheme="minorHAnsi"/>
          <w:szCs w:val="24"/>
        </w:rPr>
      </w:pPr>
      <w:r w:rsidRPr="005B6738">
        <w:rPr>
          <w:rFonts w:cstheme="minorHAnsi"/>
          <w:szCs w:val="24"/>
        </w:rPr>
        <w:t>Whether our current and future resources are likely to be sufficient to manage the risks we may wish to take in strategic decisions?</w:t>
      </w:r>
    </w:p>
    <w:p w14:paraId="490892C9" w14:textId="77777777" w:rsidR="00862E38" w:rsidRPr="005B6738" w:rsidRDefault="00862E38" w:rsidP="0097304C">
      <w:pPr>
        <w:pStyle w:val="ListParagraph"/>
        <w:numPr>
          <w:ilvl w:val="0"/>
          <w:numId w:val="18"/>
        </w:numPr>
        <w:spacing w:after="0" w:line="240" w:lineRule="auto"/>
        <w:rPr>
          <w:rFonts w:cstheme="minorHAnsi"/>
          <w:szCs w:val="24"/>
        </w:rPr>
      </w:pPr>
      <w:r w:rsidRPr="005B6738">
        <w:rPr>
          <w:rFonts w:cstheme="minorHAnsi"/>
          <w:szCs w:val="24"/>
        </w:rPr>
        <w:lastRenderedPageBreak/>
        <w:t>Whether we have sufficient skills, knowledge and expertise in the organisation to manage risks we may wish to take in strategic decisions?</w:t>
      </w:r>
    </w:p>
    <w:p w14:paraId="68F3FCDD" w14:textId="5B58DEF3" w:rsidR="00862E38" w:rsidRPr="005B6738" w:rsidRDefault="00862E38" w:rsidP="0097304C">
      <w:pPr>
        <w:pStyle w:val="ListParagraph"/>
        <w:numPr>
          <w:ilvl w:val="0"/>
          <w:numId w:val="18"/>
        </w:numPr>
        <w:spacing w:after="0" w:line="240" w:lineRule="auto"/>
        <w:rPr>
          <w:rFonts w:cstheme="minorHAnsi"/>
          <w:szCs w:val="24"/>
        </w:rPr>
      </w:pPr>
      <w:r w:rsidRPr="005B6738">
        <w:rPr>
          <w:rFonts w:cstheme="minorHAnsi"/>
          <w:szCs w:val="24"/>
        </w:rPr>
        <w:t>Whether we are sufficiently flexible as an organisation to be able to react to emerging risks and issues e.g. can we re-deploy staff swiftly to where they might need to be, do we empower decision making at the appropriate level?</w:t>
      </w:r>
    </w:p>
    <w:p w14:paraId="73388DF0" w14:textId="77777777" w:rsidR="00862E38" w:rsidRPr="005B6738" w:rsidRDefault="00862E38" w:rsidP="0097304C">
      <w:pPr>
        <w:pStyle w:val="ListParagraph"/>
        <w:numPr>
          <w:ilvl w:val="0"/>
          <w:numId w:val="18"/>
        </w:numPr>
        <w:spacing w:after="0" w:line="240" w:lineRule="auto"/>
        <w:rPr>
          <w:rFonts w:cstheme="minorHAnsi"/>
          <w:szCs w:val="24"/>
        </w:rPr>
      </w:pPr>
      <w:r w:rsidRPr="005B6738">
        <w:rPr>
          <w:rFonts w:cstheme="minorHAnsi"/>
          <w:szCs w:val="24"/>
        </w:rPr>
        <w:t xml:space="preserve">Whether we have the ability to withstand and react appropriately to potential adverse scrutiny or criticism from stakeholders and those we’re responsible to from the strategic decisions and actions we may wish to take? </w:t>
      </w:r>
    </w:p>
    <w:p w14:paraId="5BAA205B" w14:textId="77777777" w:rsidR="00862E38" w:rsidRPr="005B6738" w:rsidRDefault="00862E38" w:rsidP="0097304C">
      <w:pPr>
        <w:spacing w:after="0" w:line="240" w:lineRule="auto"/>
        <w:rPr>
          <w:rFonts w:cstheme="minorHAnsi"/>
          <w:szCs w:val="24"/>
        </w:rPr>
      </w:pPr>
    </w:p>
    <w:p w14:paraId="28A819C1" w14:textId="77777777" w:rsidR="00862E38" w:rsidRPr="005B67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 xml:space="preserve">Annex </w:t>
      </w:r>
      <w:proofErr w:type="gramStart"/>
      <w:r w:rsidRPr="005B6738">
        <w:rPr>
          <w:rFonts w:cstheme="minorHAnsi"/>
          <w:szCs w:val="24"/>
        </w:rPr>
        <w:t>A</w:t>
      </w:r>
      <w:proofErr w:type="gramEnd"/>
      <w:r w:rsidRPr="005B6738">
        <w:rPr>
          <w:rFonts w:cstheme="minorHAnsi"/>
          <w:szCs w:val="24"/>
        </w:rPr>
        <w:t xml:space="preserve"> sets out our current </w:t>
      </w:r>
      <w:hyperlink w:anchor="_Annex_A_-" w:history="1">
        <w:r w:rsidRPr="00F02861">
          <w:rPr>
            <w:rStyle w:val="Hyperlink"/>
            <w:rFonts w:cstheme="minorHAnsi"/>
            <w:szCs w:val="24"/>
          </w:rPr>
          <w:t>Risk Categories and the risk statements</w:t>
        </w:r>
      </w:hyperlink>
      <w:r w:rsidRPr="005B6738">
        <w:rPr>
          <w:rFonts w:cstheme="minorHAnsi"/>
          <w:szCs w:val="24"/>
        </w:rPr>
        <w:t xml:space="preserve"> that support them.  Risk categories are the classification of risks aligned to the business areas of the organisation.  These are:</w:t>
      </w:r>
    </w:p>
    <w:p w14:paraId="53F0BAA8" w14:textId="77777777" w:rsidR="00862E38" w:rsidRPr="005B6738" w:rsidRDefault="00862E38" w:rsidP="0097304C">
      <w:pPr>
        <w:pStyle w:val="ListParagraph"/>
        <w:spacing w:after="0" w:line="240" w:lineRule="auto"/>
        <w:ind w:left="360"/>
        <w:rPr>
          <w:rFonts w:cstheme="minorHAnsi"/>
          <w:szCs w:val="24"/>
        </w:rPr>
      </w:pPr>
    </w:p>
    <w:p w14:paraId="5535AC0D" w14:textId="7B6E0071" w:rsidR="00862E38" w:rsidRPr="00D91A0A" w:rsidRDefault="00862E38" w:rsidP="0097304C">
      <w:pPr>
        <w:pStyle w:val="ListParagraph"/>
        <w:numPr>
          <w:ilvl w:val="0"/>
          <w:numId w:val="19"/>
        </w:numPr>
        <w:spacing w:after="0" w:line="240" w:lineRule="auto"/>
        <w:rPr>
          <w:rFonts w:cstheme="minorHAnsi"/>
          <w:szCs w:val="24"/>
        </w:rPr>
      </w:pPr>
      <w:r w:rsidRPr="00760EE0">
        <w:rPr>
          <w:rFonts w:cstheme="minorHAnsi"/>
          <w:b/>
          <w:szCs w:val="24"/>
        </w:rPr>
        <w:t>Nature</w:t>
      </w:r>
      <w:r w:rsidRPr="00760EE0">
        <w:rPr>
          <w:rFonts w:cstheme="minorHAnsi"/>
          <w:szCs w:val="24"/>
        </w:rPr>
        <w:t xml:space="preserve"> – </w:t>
      </w:r>
      <w:r>
        <w:rPr>
          <w:rFonts w:cstheme="minorHAnsi"/>
          <w:szCs w:val="24"/>
        </w:rPr>
        <w:t xml:space="preserve">actions to </w:t>
      </w:r>
      <w:r w:rsidR="009B7C91">
        <w:rPr>
          <w:rFonts w:cstheme="minorHAnsi"/>
          <w:szCs w:val="24"/>
        </w:rPr>
        <w:t xml:space="preserve">protect, restore and build value in </w:t>
      </w:r>
      <w:r>
        <w:rPr>
          <w:rFonts w:cstheme="minorHAnsi"/>
          <w:szCs w:val="24"/>
        </w:rPr>
        <w:t>nature</w:t>
      </w:r>
    </w:p>
    <w:p w14:paraId="07165394" w14:textId="77777777" w:rsidR="00862E38" w:rsidRPr="00760EE0" w:rsidRDefault="00862E38" w:rsidP="0097304C">
      <w:pPr>
        <w:pStyle w:val="ListParagraph"/>
        <w:numPr>
          <w:ilvl w:val="0"/>
          <w:numId w:val="19"/>
        </w:numPr>
        <w:spacing w:after="0" w:line="240" w:lineRule="auto"/>
        <w:rPr>
          <w:rFonts w:cstheme="minorHAnsi"/>
          <w:szCs w:val="24"/>
        </w:rPr>
      </w:pPr>
      <w:r w:rsidRPr="00760EE0">
        <w:rPr>
          <w:rFonts w:cstheme="minorHAnsi"/>
          <w:b/>
          <w:szCs w:val="24"/>
        </w:rPr>
        <w:t xml:space="preserve">Compliance </w:t>
      </w:r>
      <w:r w:rsidRPr="00760EE0">
        <w:rPr>
          <w:rFonts w:cstheme="minorHAnsi"/>
          <w:szCs w:val="24"/>
        </w:rPr>
        <w:t>– laws, regulations, governance requirements</w:t>
      </w:r>
    </w:p>
    <w:p w14:paraId="7E911AF8" w14:textId="77777777" w:rsidR="00862E38" w:rsidRPr="00760EE0" w:rsidRDefault="00862E38" w:rsidP="0097304C">
      <w:pPr>
        <w:pStyle w:val="ListParagraph"/>
        <w:numPr>
          <w:ilvl w:val="0"/>
          <w:numId w:val="19"/>
        </w:numPr>
        <w:spacing w:after="0" w:line="240" w:lineRule="auto"/>
        <w:rPr>
          <w:rFonts w:cstheme="minorHAnsi"/>
          <w:szCs w:val="24"/>
        </w:rPr>
      </w:pPr>
      <w:r w:rsidRPr="00760EE0">
        <w:rPr>
          <w:rFonts w:cstheme="minorHAnsi"/>
          <w:b/>
          <w:szCs w:val="24"/>
        </w:rPr>
        <w:t xml:space="preserve">Operational </w:t>
      </w:r>
      <w:r w:rsidRPr="00760EE0">
        <w:rPr>
          <w:rFonts w:cstheme="minorHAnsi"/>
          <w:szCs w:val="24"/>
        </w:rPr>
        <w:t xml:space="preserve"> - operating structure, processes, delivery model</w:t>
      </w:r>
    </w:p>
    <w:p w14:paraId="1FC4A3DE" w14:textId="77777777" w:rsidR="00862E38" w:rsidRPr="00760EE0" w:rsidRDefault="00862E38" w:rsidP="0097304C">
      <w:pPr>
        <w:pStyle w:val="ListParagraph"/>
        <w:numPr>
          <w:ilvl w:val="0"/>
          <w:numId w:val="19"/>
        </w:numPr>
        <w:spacing w:after="0" w:line="240" w:lineRule="auto"/>
        <w:rPr>
          <w:rFonts w:cstheme="minorHAnsi"/>
          <w:szCs w:val="24"/>
        </w:rPr>
      </w:pPr>
      <w:r w:rsidRPr="00760EE0">
        <w:rPr>
          <w:rFonts w:cstheme="minorHAnsi"/>
          <w:b/>
          <w:szCs w:val="24"/>
        </w:rPr>
        <w:t>Reputation</w:t>
      </w:r>
      <w:r w:rsidRPr="00760EE0">
        <w:rPr>
          <w:rFonts w:cstheme="minorHAnsi"/>
          <w:szCs w:val="24"/>
        </w:rPr>
        <w:t xml:space="preserve"> – as a result of our policies, decisions or actions</w:t>
      </w:r>
    </w:p>
    <w:p w14:paraId="55CF3438" w14:textId="77777777" w:rsidR="00862E38" w:rsidRPr="00760EE0" w:rsidRDefault="00862E38" w:rsidP="0097304C">
      <w:pPr>
        <w:pStyle w:val="ListParagraph"/>
        <w:numPr>
          <w:ilvl w:val="0"/>
          <w:numId w:val="19"/>
        </w:numPr>
        <w:spacing w:after="0" w:line="240" w:lineRule="auto"/>
        <w:rPr>
          <w:rFonts w:cstheme="minorHAnsi"/>
          <w:szCs w:val="24"/>
        </w:rPr>
      </w:pPr>
      <w:r w:rsidRPr="00760EE0">
        <w:rPr>
          <w:rFonts w:cstheme="minorHAnsi"/>
          <w:b/>
          <w:szCs w:val="24"/>
        </w:rPr>
        <w:t>Resources</w:t>
      </w:r>
      <w:r w:rsidRPr="00760EE0">
        <w:rPr>
          <w:rFonts w:cstheme="minorHAnsi"/>
          <w:szCs w:val="24"/>
        </w:rPr>
        <w:t xml:space="preserve"> - how we utilise our financial &amp; staff resources</w:t>
      </w:r>
    </w:p>
    <w:p w14:paraId="09132782" w14:textId="77777777" w:rsidR="00862E38" w:rsidRPr="005B6738" w:rsidRDefault="00862E38" w:rsidP="0097304C">
      <w:pPr>
        <w:pStyle w:val="ListParagraph"/>
        <w:spacing w:after="0" w:line="240" w:lineRule="auto"/>
        <w:ind w:left="360"/>
        <w:rPr>
          <w:rFonts w:cstheme="minorHAnsi"/>
          <w:szCs w:val="24"/>
        </w:rPr>
      </w:pPr>
    </w:p>
    <w:p w14:paraId="3EDF4D90" w14:textId="77777777" w:rsidR="00862E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 xml:space="preserve">Risk statements are then applied to these categories </w:t>
      </w:r>
      <w:r>
        <w:rPr>
          <w:rFonts w:cstheme="minorHAnsi"/>
          <w:szCs w:val="24"/>
        </w:rPr>
        <w:t xml:space="preserve">and reflect </w:t>
      </w:r>
      <w:r w:rsidRPr="005B6738">
        <w:rPr>
          <w:rFonts w:cstheme="minorHAnsi"/>
          <w:szCs w:val="24"/>
        </w:rPr>
        <w:t>our current risk appetite.  The risk statements in Annex A were agreed during our last Corporate Plan period.  In order to determine whether these statements are still fit for purpose and whether to change our risk appetite in these areas we must as ourselves the following questions:</w:t>
      </w:r>
    </w:p>
    <w:p w14:paraId="17AF7504" w14:textId="77777777" w:rsidR="007E362C" w:rsidRDefault="007E362C" w:rsidP="0097304C">
      <w:pPr>
        <w:pStyle w:val="ListParagraph"/>
        <w:spacing w:after="0" w:line="240" w:lineRule="auto"/>
        <w:ind w:left="360"/>
        <w:rPr>
          <w:rFonts w:cstheme="minorHAnsi"/>
          <w:szCs w:val="24"/>
        </w:rPr>
      </w:pPr>
    </w:p>
    <w:p w14:paraId="4128DCEA" w14:textId="77777777" w:rsidR="007E362C" w:rsidRPr="005B6738" w:rsidRDefault="007E362C" w:rsidP="0097304C">
      <w:pPr>
        <w:pStyle w:val="ListParagraph"/>
        <w:numPr>
          <w:ilvl w:val="0"/>
          <w:numId w:val="20"/>
        </w:numPr>
        <w:spacing w:after="0" w:line="240" w:lineRule="auto"/>
        <w:rPr>
          <w:rFonts w:cstheme="minorHAnsi"/>
          <w:szCs w:val="24"/>
        </w:rPr>
      </w:pPr>
      <w:r w:rsidRPr="005B6738">
        <w:rPr>
          <w:rFonts w:cstheme="minorHAnsi"/>
          <w:szCs w:val="24"/>
        </w:rPr>
        <w:t>What barriers are there to us taking more risks?</w:t>
      </w:r>
    </w:p>
    <w:p w14:paraId="57AFDB44" w14:textId="77777777" w:rsidR="007E362C" w:rsidRPr="005B6738" w:rsidRDefault="007E362C" w:rsidP="0097304C">
      <w:pPr>
        <w:pStyle w:val="ListParagraph"/>
        <w:numPr>
          <w:ilvl w:val="0"/>
          <w:numId w:val="20"/>
        </w:numPr>
        <w:spacing w:after="0" w:line="240" w:lineRule="auto"/>
        <w:rPr>
          <w:rFonts w:cstheme="minorHAnsi"/>
          <w:szCs w:val="24"/>
        </w:rPr>
      </w:pPr>
      <w:r w:rsidRPr="005B6738">
        <w:rPr>
          <w:rFonts w:cstheme="minorHAnsi"/>
          <w:szCs w:val="24"/>
        </w:rPr>
        <w:t>Does the environment in which we operate allow us to take more risks?</w:t>
      </w:r>
    </w:p>
    <w:p w14:paraId="107BACE0" w14:textId="77777777" w:rsidR="007E362C" w:rsidRPr="005B6738" w:rsidRDefault="007E362C" w:rsidP="0097304C">
      <w:pPr>
        <w:pStyle w:val="ListParagraph"/>
        <w:numPr>
          <w:ilvl w:val="0"/>
          <w:numId w:val="20"/>
        </w:numPr>
        <w:spacing w:after="0" w:line="240" w:lineRule="auto"/>
        <w:rPr>
          <w:rFonts w:cstheme="minorHAnsi"/>
          <w:szCs w:val="24"/>
        </w:rPr>
      </w:pPr>
      <w:r w:rsidRPr="005B6738">
        <w:rPr>
          <w:rFonts w:cstheme="minorHAnsi"/>
          <w:szCs w:val="24"/>
        </w:rPr>
        <w:t>What are our strengths to allow us to take more risks?</w:t>
      </w:r>
    </w:p>
    <w:p w14:paraId="73A3D9CD" w14:textId="77777777" w:rsidR="007E362C" w:rsidRDefault="007E362C" w:rsidP="0097304C">
      <w:pPr>
        <w:pStyle w:val="ListParagraph"/>
        <w:spacing w:after="0" w:line="240" w:lineRule="auto"/>
        <w:ind w:left="360"/>
        <w:rPr>
          <w:rFonts w:cstheme="minorHAnsi"/>
          <w:szCs w:val="24"/>
        </w:rPr>
      </w:pPr>
    </w:p>
    <w:p w14:paraId="6FE771CD" w14:textId="4AF5F09E" w:rsidR="00ED2F97" w:rsidRPr="007E362C" w:rsidRDefault="00ED2F97" w:rsidP="0097304C">
      <w:pPr>
        <w:pStyle w:val="ListParagraph"/>
        <w:numPr>
          <w:ilvl w:val="0"/>
          <w:numId w:val="7"/>
        </w:numPr>
        <w:spacing w:after="0" w:line="240" w:lineRule="auto"/>
        <w:ind w:left="360"/>
        <w:rPr>
          <w:rFonts w:cstheme="minorHAnsi"/>
          <w:szCs w:val="24"/>
        </w:rPr>
      </w:pPr>
      <w:r w:rsidRPr="007E362C">
        <w:rPr>
          <w:rFonts w:cstheme="minorHAnsi"/>
          <w:szCs w:val="24"/>
        </w:rPr>
        <w:t>In advance of Board review, SLT provided some feedback on the risk categories specifically Nature which has been edited to include the restoration as well as protection.  We may however need to split Nature into Protection and Restoration</w:t>
      </w:r>
      <w:r w:rsidR="009B7C91">
        <w:rPr>
          <w:rFonts w:cstheme="minorHAnsi"/>
          <w:szCs w:val="24"/>
        </w:rPr>
        <w:t xml:space="preserve">. This reflects recent dialogue with the Minister around a hungry risk appetite for ambitious nature restoration and a cautious risk appetite towards any interventions that may further deteriorate the already perilous state of nature. </w:t>
      </w:r>
      <w:r w:rsidRPr="007E362C">
        <w:rPr>
          <w:rFonts w:cstheme="minorHAnsi"/>
          <w:szCs w:val="24"/>
        </w:rPr>
        <w:t xml:space="preserve"> </w:t>
      </w:r>
      <w:r w:rsidR="007E362C" w:rsidRPr="007E362C">
        <w:rPr>
          <w:rFonts w:ascii="Calibri" w:hAnsi="Calibri" w:cs="Calibri"/>
        </w:rPr>
        <w:t xml:space="preserve">In the event of changes to the risk appetite for a category, the risk </w:t>
      </w:r>
      <w:r w:rsidR="007E362C" w:rsidRPr="007E362C">
        <w:rPr>
          <w:szCs w:val="24"/>
        </w:rPr>
        <w:t>statement narrative will be updated.</w:t>
      </w:r>
    </w:p>
    <w:p w14:paraId="1D05A7B5" w14:textId="77777777" w:rsidR="00ED2F97" w:rsidRDefault="00ED2F97" w:rsidP="0097304C">
      <w:pPr>
        <w:pStyle w:val="ListParagraph"/>
        <w:spacing w:after="0" w:line="240" w:lineRule="auto"/>
        <w:ind w:left="360"/>
        <w:rPr>
          <w:rFonts w:cstheme="minorHAnsi"/>
          <w:szCs w:val="24"/>
        </w:rPr>
      </w:pPr>
    </w:p>
    <w:p w14:paraId="7CFF8352" w14:textId="77777777" w:rsidR="00862E38" w:rsidRPr="005B67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 xml:space="preserve">Annex B is the </w:t>
      </w:r>
      <w:hyperlink w:anchor="_Annex_B_–" w:history="1">
        <w:r w:rsidRPr="00F02861">
          <w:rPr>
            <w:rStyle w:val="Hyperlink"/>
            <w:rFonts w:cstheme="minorHAnsi"/>
            <w:szCs w:val="24"/>
          </w:rPr>
          <w:t>NatureScot Risk Appetite Table and the description of each level of Risk Appetite</w:t>
        </w:r>
      </w:hyperlink>
      <w:r w:rsidRPr="005B6738">
        <w:rPr>
          <w:rFonts w:cstheme="minorHAnsi"/>
          <w:szCs w:val="24"/>
        </w:rPr>
        <w:t>.  When setting risk appetite levels we need to consider the impact of the risk.  The ranges cover:</w:t>
      </w:r>
    </w:p>
    <w:p w14:paraId="715DE64F" w14:textId="77777777" w:rsidR="00862E38" w:rsidRPr="005B6738" w:rsidRDefault="00862E38" w:rsidP="0097304C">
      <w:pPr>
        <w:pStyle w:val="ListParagraph"/>
        <w:spacing w:after="0" w:line="240" w:lineRule="auto"/>
        <w:ind w:left="360"/>
        <w:rPr>
          <w:rFonts w:cstheme="minorHAnsi"/>
          <w:szCs w:val="24"/>
        </w:rPr>
      </w:pPr>
    </w:p>
    <w:p w14:paraId="3A5958EA" w14:textId="77777777" w:rsidR="00862E38" w:rsidRPr="005B6738" w:rsidRDefault="00862E38" w:rsidP="0097304C">
      <w:pPr>
        <w:pStyle w:val="ListParagraph"/>
        <w:numPr>
          <w:ilvl w:val="0"/>
          <w:numId w:val="21"/>
        </w:numPr>
        <w:spacing w:after="0" w:line="240" w:lineRule="auto"/>
        <w:rPr>
          <w:rFonts w:cstheme="minorHAnsi"/>
          <w:szCs w:val="24"/>
        </w:rPr>
      </w:pPr>
      <w:r w:rsidRPr="005B6738">
        <w:rPr>
          <w:rFonts w:cstheme="minorHAnsi"/>
          <w:b/>
          <w:szCs w:val="24"/>
        </w:rPr>
        <w:t>‘Comfortable’</w:t>
      </w:r>
      <w:r w:rsidRPr="005B6738">
        <w:rPr>
          <w:rFonts w:cstheme="minorHAnsi"/>
          <w:szCs w:val="24"/>
        </w:rPr>
        <w:t xml:space="preserve"> - where the level of risk does not pose a major threat as long as it is managed sensible.</w:t>
      </w:r>
    </w:p>
    <w:p w14:paraId="10B4D85C" w14:textId="77777777" w:rsidR="00862E38" w:rsidRPr="005B6738" w:rsidRDefault="00862E38" w:rsidP="0097304C">
      <w:pPr>
        <w:pStyle w:val="ListParagraph"/>
        <w:numPr>
          <w:ilvl w:val="0"/>
          <w:numId w:val="21"/>
        </w:numPr>
        <w:spacing w:after="0" w:line="240" w:lineRule="auto"/>
        <w:rPr>
          <w:rFonts w:cstheme="minorHAnsi"/>
          <w:szCs w:val="24"/>
        </w:rPr>
      </w:pPr>
      <w:r w:rsidRPr="005B6738">
        <w:rPr>
          <w:rFonts w:cstheme="minorHAnsi"/>
          <w:b/>
          <w:szCs w:val="24"/>
        </w:rPr>
        <w:t>‘Manageable’</w:t>
      </w:r>
      <w:r w:rsidRPr="005B6738">
        <w:rPr>
          <w:rFonts w:cstheme="minorHAnsi"/>
          <w:szCs w:val="24"/>
        </w:rPr>
        <w:t xml:space="preserve"> – where the level of risk will need careful management but considered worth taking</w:t>
      </w:r>
    </w:p>
    <w:p w14:paraId="04DD029D" w14:textId="77777777" w:rsidR="00862E38" w:rsidRPr="005B6738" w:rsidRDefault="00862E38" w:rsidP="0097304C">
      <w:pPr>
        <w:pStyle w:val="ListParagraph"/>
        <w:numPr>
          <w:ilvl w:val="0"/>
          <w:numId w:val="21"/>
        </w:numPr>
        <w:spacing w:after="0" w:line="240" w:lineRule="auto"/>
        <w:rPr>
          <w:rFonts w:cstheme="minorHAnsi"/>
          <w:szCs w:val="24"/>
        </w:rPr>
      </w:pPr>
      <w:r w:rsidRPr="005B6738">
        <w:rPr>
          <w:rFonts w:cstheme="minorHAnsi"/>
          <w:b/>
          <w:szCs w:val="24"/>
        </w:rPr>
        <w:t>‘Dangerous’</w:t>
      </w:r>
      <w:r w:rsidRPr="005B6738">
        <w:rPr>
          <w:rFonts w:cstheme="minorHAnsi"/>
          <w:szCs w:val="24"/>
        </w:rPr>
        <w:t xml:space="preserve"> – where it is highly unlikely that we would be willing to take such a level of risk</w:t>
      </w:r>
    </w:p>
    <w:p w14:paraId="2DB9F590" w14:textId="77777777" w:rsidR="00862E38" w:rsidRPr="005B6738" w:rsidRDefault="00862E38" w:rsidP="0097304C">
      <w:pPr>
        <w:pStyle w:val="ListParagraph"/>
        <w:spacing w:after="0" w:line="240" w:lineRule="auto"/>
        <w:ind w:left="360"/>
        <w:rPr>
          <w:rFonts w:cstheme="minorHAnsi"/>
          <w:szCs w:val="24"/>
        </w:rPr>
      </w:pPr>
    </w:p>
    <w:p w14:paraId="520E5573" w14:textId="77777777" w:rsidR="00862E38" w:rsidRPr="005B67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lastRenderedPageBreak/>
        <w:t xml:space="preserve">The ‘manageable’ zone will be dependent on the views of the Board.  If there is a collective agreement then this might only cover one level of risk appetite but if the views encompass a range then there may be agreement for the ‘manageable’ zone to straddle two levels.  </w:t>
      </w:r>
    </w:p>
    <w:p w14:paraId="0AF10934" w14:textId="77777777" w:rsidR="00862E38" w:rsidRDefault="00862E38" w:rsidP="0097304C">
      <w:pPr>
        <w:pStyle w:val="ListParagraph"/>
        <w:numPr>
          <w:ilvl w:val="0"/>
          <w:numId w:val="7"/>
        </w:numPr>
        <w:spacing w:after="0" w:line="240" w:lineRule="auto"/>
        <w:ind w:left="360"/>
        <w:rPr>
          <w:rFonts w:cstheme="minorHAnsi"/>
          <w:szCs w:val="24"/>
        </w:rPr>
      </w:pPr>
      <w:r w:rsidRPr="005B6738">
        <w:rPr>
          <w:rFonts w:cstheme="minorHAnsi"/>
          <w:szCs w:val="24"/>
        </w:rPr>
        <w:t>Although the manageable zone can straddle two levels, it is recommended than agreement should be reached on one level of risk appetite per category.  This provides a stronger steer for colleagues on the approach when taking risks in their day to day work.</w:t>
      </w:r>
    </w:p>
    <w:p w14:paraId="5BFABCFF" w14:textId="77777777" w:rsidR="00862E38" w:rsidRDefault="00862E38" w:rsidP="0097304C">
      <w:pPr>
        <w:spacing w:after="0" w:line="240" w:lineRule="auto"/>
        <w:rPr>
          <w:rFonts w:cstheme="minorHAnsi"/>
          <w:szCs w:val="24"/>
        </w:rPr>
      </w:pPr>
    </w:p>
    <w:p w14:paraId="3D3169D0" w14:textId="77777777" w:rsidR="00862E38" w:rsidRPr="005B6738" w:rsidRDefault="00862E38" w:rsidP="0097304C">
      <w:pPr>
        <w:pStyle w:val="Heading2"/>
        <w:rPr>
          <w:i/>
        </w:rPr>
      </w:pPr>
      <w:r>
        <w:t>Recommendations</w:t>
      </w:r>
    </w:p>
    <w:p w14:paraId="2BB52EF9" w14:textId="77777777" w:rsidR="00862E38" w:rsidRPr="005B6738" w:rsidRDefault="007E362C" w:rsidP="0097304C">
      <w:pPr>
        <w:pStyle w:val="ListParagraph"/>
        <w:numPr>
          <w:ilvl w:val="0"/>
          <w:numId w:val="7"/>
        </w:numPr>
        <w:spacing w:after="0" w:line="240" w:lineRule="auto"/>
        <w:ind w:left="360"/>
        <w:rPr>
          <w:rFonts w:cstheme="minorHAnsi"/>
          <w:szCs w:val="24"/>
        </w:rPr>
      </w:pPr>
      <w:r>
        <w:rPr>
          <w:rFonts w:cstheme="minorHAnsi"/>
          <w:szCs w:val="24"/>
        </w:rPr>
        <w:t>Board</w:t>
      </w:r>
      <w:r w:rsidR="00862E38" w:rsidRPr="005B6738">
        <w:rPr>
          <w:rFonts w:cstheme="minorHAnsi"/>
          <w:szCs w:val="24"/>
        </w:rPr>
        <w:t xml:space="preserve"> are asked to:</w:t>
      </w:r>
    </w:p>
    <w:p w14:paraId="60D7DB33" w14:textId="77777777" w:rsidR="007E362C" w:rsidRPr="00663EAC" w:rsidRDefault="00ED2F97" w:rsidP="0097304C">
      <w:pPr>
        <w:pStyle w:val="ListParagraph"/>
        <w:numPr>
          <w:ilvl w:val="0"/>
          <w:numId w:val="23"/>
        </w:numPr>
        <w:rPr>
          <w:b/>
          <w:szCs w:val="24"/>
        </w:rPr>
      </w:pPr>
      <w:r w:rsidRPr="00663EAC">
        <w:rPr>
          <w:b/>
          <w:szCs w:val="24"/>
        </w:rPr>
        <w:t xml:space="preserve">Discuss and agree a new risk appetite for the 2022-2026 Corporate Plan </w:t>
      </w:r>
    </w:p>
    <w:p w14:paraId="54011E13" w14:textId="77777777" w:rsidR="00862E38" w:rsidRPr="00663EAC" w:rsidRDefault="00ED2F97" w:rsidP="0097304C">
      <w:pPr>
        <w:pStyle w:val="ListParagraph"/>
        <w:numPr>
          <w:ilvl w:val="0"/>
          <w:numId w:val="23"/>
        </w:numPr>
        <w:rPr>
          <w:b/>
          <w:szCs w:val="24"/>
        </w:rPr>
      </w:pPr>
      <w:r w:rsidRPr="00663EAC">
        <w:rPr>
          <w:b/>
          <w:szCs w:val="24"/>
        </w:rPr>
        <w:t>Confirm whether</w:t>
      </w:r>
      <w:r w:rsidR="00862E38" w:rsidRPr="00663EAC">
        <w:rPr>
          <w:b/>
          <w:szCs w:val="24"/>
        </w:rPr>
        <w:t xml:space="preserve"> one risk appetite level should be set for each category  </w:t>
      </w:r>
      <w:r w:rsidR="00862E38" w:rsidRPr="00663EAC">
        <w:rPr>
          <w:rFonts w:cstheme="minorHAnsi"/>
          <w:szCs w:val="24"/>
        </w:rPr>
        <w:br w:type="page"/>
      </w:r>
    </w:p>
    <w:p w14:paraId="6FFEAF4B" w14:textId="273FBE79" w:rsidR="00862E38" w:rsidRPr="00AC4163" w:rsidRDefault="00862E38" w:rsidP="00AC4163">
      <w:pPr>
        <w:pStyle w:val="Heading3"/>
        <w:spacing w:after="240"/>
        <w:rPr>
          <w:rFonts w:asciiTheme="minorHAnsi" w:hAnsiTheme="minorHAnsi" w:cstheme="minorHAnsi"/>
          <w:b/>
          <w:color w:val="auto"/>
        </w:rPr>
      </w:pPr>
      <w:bookmarkStart w:id="0" w:name="_Annex_A_-"/>
      <w:bookmarkEnd w:id="0"/>
      <w:r>
        <w:rPr>
          <w:rFonts w:asciiTheme="minorHAnsi" w:hAnsiTheme="minorHAnsi" w:cstheme="minorHAnsi"/>
          <w:b/>
          <w:color w:val="auto"/>
        </w:rPr>
        <w:lastRenderedPageBreak/>
        <w:t>Annex A - Categories of Risk and Risk Statements</w:t>
      </w:r>
      <w:bookmarkStart w:id="1" w:name="_GoBack"/>
      <w:bookmarkEnd w:id="1"/>
    </w:p>
    <w:p w14:paraId="1897CBA8" w14:textId="77777777" w:rsidR="00862E38" w:rsidRPr="008715F8" w:rsidRDefault="00862E38" w:rsidP="00862E38">
      <w:pPr>
        <w:spacing w:after="0" w:line="240" w:lineRule="auto"/>
        <w:ind w:left="567"/>
        <w:rPr>
          <w:rFonts w:ascii="Calibri" w:hAnsi="Calibri" w:cs="Calibri"/>
          <w:b/>
          <w:szCs w:val="24"/>
        </w:rPr>
      </w:pPr>
      <w:r>
        <w:rPr>
          <w:rFonts w:ascii="Calibri" w:hAnsi="Calibri" w:cs="Calibri"/>
          <w:b/>
          <w:szCs w:val="24"/>
        </w:rPr>
        <w:t>Nature</w:t>
      </w:r>
    </w:p>
    <w:p w14:paraId="126CA5CE" w14:textId="5F799CE5" w:rsidR="00862E38" w:rsidRPr="008715F8" w:rsidRDefault="00862E38" w:rsidP="00862E38">
      <w:pPr>
        <w:spacing w:after="0"/>
        <w:ind w:left="567"/>
        <w:rPr>
          <w:rFonts w:ascii="Calibri" w:hAnsi="Calibri" w:cs="Calibri"/>
          <w:i/>
          <w:szCs w:val="24"/>
        </w:rPr>
      </w:pPr>
      <w:r w:rsidRPr="008715F8">
        <w:rPr>
          <w:rFonts w:ascii="Calibri" w:hAnsi="Calibri" w:cs="Calibri"/>
          <w:i/>
          <w:szCs w:val="24"/>
        </w:rPr>
        <w:t>As the body responsible for the protection</w:t>
      </w:r>
      <w:r w:rsidR="00ED2F97">
        <w:rPr>
          <w:rFonts w:ascii="Calibri" w:hAnsi="Calibri" w:cs="Calibri"/>
          <w:i/>
          <w:szCs w:val="24"/>
        </w:rPr>
        <w:t xml:space="preserve"> </w:t>
      </w:r>
      <w:r w:rsidRPr="008715F8">
        <w:rPr>
          <w:rFonts w:ascii="Calibri" w:hAnsi="Calibri" w:cs="Calibri"/>
          <w:i/>
          <w:szCs w:val="24"/>
        </w:rPr>
        <w:t xml:space="preserve">of the natural heritage and to promote its understanding and sustainable use we shall continue to pursue policies, take decisions and </w:t>
      </w:r>
      <w:r w:rsidR="00ED2F97">
        <w:rPr>
          <w:rFonts w:ascii="Calibri" w:hAnsi="Calibri" w:cs="Calibri"/>
          <w:i/>
          <w:szCs w:val="24"/>
        </w:rPr>
        <w:t>undertake actions that protect, restore</w:t>
      </w:r>
      <w:r w:rsidRPr="008715F8">
        <w:rPr>
          <w:rFonts w:ascii="Calibri" w:hAnsi="Calibri" w:cs="Calibri"/>
          <w:i/>
          <w:szCs w:val="24"/>
        </w:rPr>
        <w:t xml:space="preserve"> and value nature.  However, we shall also take account of our ‘balancing duties’ and acknowledge the range of </w:t>
      </w:r>
      <w:r w:rsidR="009B7C91">
        <w:rPr>
          <w:rFonts w:ascii="Calibri" w:hAnsi="Calibri" w:cs="Calibri"/>
          <w:i/>
          <w:szCs w:val="24"/>
        </w:rPr>
        <w:t>stakeholder interests</w:t>
      </w:r>
      <w:r w:rsidRPr="008715F8">
        <w:rPr>
          <w:rFonts w:ascii="Calibri" w:hAnsi="Calibri" w:cs="Calibri"/>
          <w:i/>
          <w:szCs w:val="24"/>
        </w:rPr>
        <w:t xml:space="preserve">.  </w:t>
      </w:r>
      <w:r w:rsidR="00ED2F97">
        <w:rPr>
          <w:rFonts w:ascii="Calibri" w:hAnsi="Calibri" w:cs="Calibri"/>
          <w:i/>
          <w:szCs w:val="24"/>
        </w:rPr>
        <w:t xml:space="preserve">With the uncertainty in the natural world, especially in the face of climate change, </w:t>
      </w:r>
      <w:r w:rsidRPr="008715F8">
        <w:rPr>
          <w:rFonts w:ascii="Calibri" w:hAnsi="Calibri" w:cs="Calibri"/>
          <w:i/>
          <w:szCs w:val="24"/>
        </w:rPr>
        <w:t>there may be risks from proposed activities that may negatively impact on nature</w:t>
      </w:r>
      <w:r w:rsidR="00ED2F97">
        <w:rPr>
          <w:rFonts w:ascii="Calibri" w:hAnsi="Calibri" w:cs="Calibri"/>
          <w:i/>
          <w:szCs w:val="24"/>
        </w:rPr>
        <w:t>. W</w:t>
      </w:r>
      <w:r w:rsidRPr="008715F8">
        <w:rPr>
          <w:rFonts w:ascii="Calibri" w:hAnsi="Calibri" w:cs="Calibri"/>
          <w:i/>
          <w:szCs w:val="24"/>
        </w:rPr>
        <w:t>e shall take a precautionary approach and take decisions and advise accordingly to ensure sufficient safeguards are in place.</w:t>
      </w:r>
    </w:p>
    <w:p w14:paraId="6D218508" w14:textId="77777777" w:rsidR="00862E38" w:rsidRDefault="00862E38" w:rsidP="00862E38">
      <w:pPr>
        <w:spacing w:after="0"/>
        <w:rPr>
          <w:rFonts w:ascii="Calibri" w:hAnsi="Calibri" w:cs="Calibri"/>
          <w:b/>
          <w:szCs w:val="24"/>
        </w:rPr>
      </w:pPr>
    </w:p>
    <w:p w14:paraId="39F982C3" w14:textId="77777777" w:rsidR="00862E38" w:rsidRPr="008715F8" w:rsidRDefault="00862E38" w:rsidP="00862E38">
      <w:pPr>
        <w:spacing w:after="0"/>
        <w:ind w:left="567"/>
        <w:rPr>
          <w:rFonts w:ascii="Calibri" w:hAnsi="Calibri" w:cs="Calibri"/>
          <w:b/>
          <w:szCs w:val="24"/>
        </w:rPr>
      </w:pPr>
      <w:r w:rsidRPr="008715F8">
        <w:rPr>
          <w:rFonts w:ascii="Calibri" w:hAnsi="Calibri" w:cs="Calibri"/>
          <w:b/>
          <w:szCs w:val="24"/>
        </w:rPr>
        <w:t>Compliance</w:t>
      </w:r>
    </w:p>
    <w:p w14:paraId="341A3A3F" w14:textId="77777777" w:rsidR="00862E38" w:rsidRPr="008715F8" w:rsidRDefault="00862E38" w:rsidP="00862E38">
      <w:pPr>
        <w:ind w:left="567"/>
        <w:rPr>
          <w:rFonts w:ascii="Calibri" w:hAnsi="Calibri" w:cs="Calibri"/>
          <w:szCs w:val="24"/>
        </w:rPr>
      </w:pPr>
      <w:r w:rsidRPr="008715F8">
        <w:rPr>
          <w:rFonts w:ascii="Calibri" w:hAnsi="Calibri" w:cs="Calibri"/>
          <w:i/>
          <w:szCs w:val="24"/>
        </w:rPr>
        <w:t>We will comply with the high standards of corporate governance expected of a public body and ensure that all our activities are carried out in accordance within the regulatory parameters set</w:t>
      </w:r>
      <w:r w:rsidRPr="008715F8">
        <w:rPr>
          <w:rFonts w:ascii="Calibri" w:hAnsi="Calibri" w:cs="Calibri"/>
          <w:b/>
          <w:i/>
          <w:szCs w:val="24"/>
        </w:rPr>
        <w:t xml:space="preserve">.  </w:t>
      </w:r>
      <w:r w:rsidRPr="008715F8">
        <w:rPr>
          <w:rFonts w:ascii="Calibri" w:hAnsi="Calibri" w:cs="Calibri"/>
          <w:i/>
          <w:szCs w:val="24"/>
        </w:rPr>
        <w:t>We shall also ensure that we follow all related legislation associated with our activities.   Only a very limited tolerance will be taken towards any discretion over the interpretation of our compliance requirements.  These would only be taken with prior consultation and approval at the relevant level of authority.</w:t>
      </w:r>
    </w:p>
    <w:p w14:paraId="6D3960B2" w14:textId="77777777" w:rsidR="00862E38" w:rsidRPr="008715F8" w:rsidRDefault="00862E38" w:rsidP="00862E38">
      <w:pPr>
        <w:spacing w:after="0"/>
        <w:ind w:left="567"/>
        <w:rPr>
          <w:rFonts w:ascii="Calibri" w:hAnsi="Calibri" w:cs="Calibri"/>
          <w:b/>
          <w:szCs w:val="24"/>
        </w:rPr>
      </w:pPr>
      <w:r w:rsidRPr="008715F8">
        <w:rPr>
          <w:rFonts w:ascii="Calibri" w:hAnsi="Calibri" w:cs="Calibri"/>
          <w:b/>
          <w:szCs w:val="24"/>
        </w:rPr>
        <w:t>Operational</w:t>
      </w:r>
    </w:p>
    <w:p w14:paraId="4D3F7663" w14:textId="77777777" w:rsidR="00862E38" w:rsidRPr="008715F8" w:rsidRDefault="00862E38" w:rsidP="00862E38">
      <w:pPr>
        <w:ind w:left="567"/>
        <w:rPr>
          <w:rFonts w:ascii="Calibri" w:hAnsi="Calibri" w:cs="Calibri"/>
          <w:i/>
          <w:szCs w:val="24"/>
        </w:rPr>
      </w:pPr>
      <w:r w:rsidRPr="008715F8">
        <w:rPr>
          <w:rFonts w:ascii="Calibri" w:hAnsi="Calibri" w:cs="Calibri"/>
          <w:i/>
          <w:szCs w:val="24"/>
        </w:rPr>
        <w:t xml:space="preserve">We encourage innovation and creativity in order to maximise our impact from investing in Scotland’s nature, and providing more benefits for more people, including through preventative spend.  We shall also actively look for opportunities where these exist to take on new roles that help deliver our outcomes and improve our services.  </w:t>
      </w:r>
      <w:r w:rsidR="007E362C">
        <w:rPr>
          <w:rFonts w:ascii="Calibri" w:hAnsi="Calibri" w:cs="Calibri"/>
          <w:i/>
          <w:szCs w:val="24"/>
        </w:rPr>
        <w:t>When delivering funds with or on behalf of others we will</w:t>
      </w:r>
      <w:r w:rsidR="007E362C" w:rsidRPr="007E362C">
        <w:t xml:space="preserve"> </w:t>
      </w:r>
      <w:r w:rsidR="007E362C" w:rsidRPr="007E362C">
        <w:rPr>
          <w:rFonts w:ascii="Calibri" w:hAnsi="Calibri" w:cs="Calibri"/>
          <w:i/>
          <w:szCs w:val="24"/>
        </w:rPr>
        <w:t xml:space="preserve">acknowledge the risk of some de-commitment losses provided </w:t>
      </w:r>
      <w:r w:rsidR="007E362C">
        <w:rPr>
          <w:rFonts w:ascii="Calibri" w:hAnsi="Calibri" w:cs="Calibri"/>
          <w:i/>
          <w:szCs w:val="24"/>
        </w:rPr>
        <w:t>they</w:t>
      </w:r>
      <w:r w:rsidR="007E362C" w:rsidRPr="007E362C">
        <w:rPr>
          <w:rFonts w:ascii="Calibri" w:hAnsi="Calibri" w:cs="Calibri"/>
          <w:i/>
          <w:szCs w:val="24"/>
        </w:rPr>
        <w:t xml:space="preserve"> are proportionate to the scale of funds being managed</w:t>
      </w:r>
      <w:r w:rsidR="007E362C">
        <w:rPr>
          <w:rFonts w:ascii="Calibri" w:hAnsi="Calibri" w:cs="Calibri"/>
          <w:i/>
          <w:szCs w:val="24"/>
        </w:rPr>
        <w:t>.</w:t>
      </w:r>
    </w:p>
    <w:p w14:paraId="16AD9932" w14:textId="77777777" w:rsidR="00862E38" w:rsidRPr="008715F8" w:rsidRDefault="00862E38" w:rsidP="00862E38">
      <w:pPr>
        <w:spacing w:after="0"/>
        <w:ind w:left="567"/>
        <w:rPr>
          <w:rFonts w:ascii="Calibri" w:hAnsi="Calibri" w:cs="Calibri"/>
          <w:b/>
          <w:szCs w:val="24"/>
        </w:rPr>
      </w:pPr>
      <w:r w:rsidRPr="008715F8">
        <w:rPr>
          <w:rFonts w:ascii="Calibri" w:hAnsi="Calibri" w:cs="Calibri"/>
          <w:b/>
          <w:szCs w:val="24"/>
        </w:rPr>
        <w:t>Resources</w:t>
      </w:r>
    </w:p>
    <w:p w14:paraId="1CDAD5DA" w14:textId="77777777" w:rsidR="00862E38" w:rsidRPr="00D91A0A" w:rsidRDefault="00862E38" w:rsidP="00862E38">
      <w:pPr>
        <w:ind w:left="567"/>
        <w:rPr>
          <w:rFonts w:ascii="Calibri" w:hAnsi="Calibri" w:cs="Calibri"/>
          <w:i/>
          <w:szCs w:val="24"/>
        </w:rPr>
      </w:pPr>
      <w:r w:rsidRPr="008715F8">
        <w:rPr>
          <w:rFonts w:ascii="Calibri" w:hAnsi="Calibri" w:cs="Calibri"/>
          <w:i/>
          <w:szCs w:val="24"/>
        </w:rPr>
        <w:t xml:space="preserve">We recognise that public finances will continue to remain under significant pressure.  We will therefore ensure that we are proficient in the decisions we take on the use and deployment of our resources to maximise the public benefit they provide.  We shall also pursue opportunities to diverse our funding and take a leadership role in the development of shared services to minimise our costs and maximise our investment in the natural heritage.  </w:t>
      </w:r>
    </w:p>
    <w:p w14:paraId="124AD900" w14:textId="77777777" w:rsidR="00862E38" w:rsidRPr="008715F8" w:rsidRDefault="00862E38" w:rsidP="00862E38">
      <w:pPr>
        <w:spacing w:after="0" w:line="240" w:lineRule="auto"/>
        <w:ind w:left="567"/>
        <w:rPr>
          <w:rFonts w:ascii="Calibri" w:hAnsi="Calibri" w:cs="Calibri"/>
          <w:b/>
          <w:szCs w:val="24"/>
        </w:rPr>
      </w:pPr>
      <w:r w:rsidRPr="008715F8">
        <w:rPr>
          <w:rFonts w:ascii="Calibri" w:hAnsi="Calibri" w:cs="Calibri"/>
          <w:b/>
          <w:szCs w:val="24"/>
        </w:rPr>
        <w:t xml:space="preserve">Reputational </w:t>
      </w:r>
    </w:p>
    <w:p w14:paraId="5C738F71" w14:textId="77777777" w:rsidR="00862E38" w:rsidRDefault="00862E38" w:rsidP="00862E38">
      <w:pPr>
        <w:spacing w:after="0"/>
        <w:ind w:left="567"/>
      </w:pPr>
      <w:r w:rsidRPr="008715F8">
        <w:rPr>
          <w:rFonts w:ascii="Calibri" w:hAnsi="Calibri" w:cs="Calibri"/>
          <w:i/>
          <w:szCs w:val="24"/>
        </w:rPr>
        <w:t xml:space="preserve">Our work attracts a high level of interest in the policy and operational decisions we take to deliver our outcomes from a wide range of external stakeholders.  We must take account of their views as part of our balancing duties.  However, as an evidence-based organisation we must also be rigorous in ensuring that the decisions we take are based on solid evidence.  </w:t>
      </w:r>
      <w:r w:rsidR="007E362C">
        <w:rPr>
          <w:rFonts w:ascii="Calibri" w:hAnsi="Calibri" w:cs="Calibri"/>
          <w:i/>
          <w:szCs w:val="24"/>
        </w:rPr>
        <w:t>This can be difficult due to the uncertainty addressing the twin crises of biodiversity loss and climate change and a</w:t>
      </w:r>
      <w:r w:rsidRPr="008715F8">
        <w:rPr>
          <w:rFonts w:ascii="Calibri" w:hAnsi="Calibri" w:cs="Calibri"/>
          <w:i/>
          <w:szCs w:val="24"/>
        </w:rPr>
        <w:t xml:space="preserve">s such, we shall be prepared to take decisions where there may be no consensus across all stakeholders and where it is judged that this is in the best interest for the natural heritage </w:t>
      </w:r>
      <w:r>
        <w:rPr>
          <w:rFonts w:ascii="Calibri" w:hAnsi="Calibri" w:cs="Calibri"/>
          <w:i/>
          <w:szCs w:val="24"/>
        </w:rPr>
        <w:t>and wider socio-economic needs</w:t>
      </w:r>
      <w:r w:rsidR="009B7C91">
        <w:rPr>
          <w:rFonts w:ascii="Calibri" w:hAnsi="Calibri" w:cs="Calibri"/>
          <w:i/>
          <w:szCs w:val="24"/>
        </w:rPr>
        <w:t>.</w:t>
      </w:r>
      <w:r>
        <w:br w:type="page"/>
      </w:r>
    </w:p>
    <w:p w14:paraId="5852D5F7" w14:textId="77777777" w:rsidR="00862E38" w:rsidRDefault="00862E38" w:rsidP="00862E38">
      <w:pPr>
        <w:spacing w:after="0"/>
        <w:rPr>
          <w:rFonts w:ascii="Calibri" w:hAnsi="Calibri" w:cs="Calibri"/>
          <w:b/>
          <w:szCs w:val="24"/>
        </w:rPr>
        <w:sectPr w:rsidR="00862E38" w:rsidSect="00663EAC">
          <w:headerReference w:type="default" r:id="rId10"/>
          <w:footerReference w:type="default" r:id="rId11"/>
          <w:pgSz w:w="11906" w:h="16838"/>
          <w:pgMar w:top="709" w:right="1440" w:bottom="1440" w:left="709" w:header="709" w:footer="709" w:gutter="0"/>
          <w:cols w:space="708"/>
          <w:docGrid w:linePitch="360"/>
        </w:sectPr>
      </w:pPr>
    </w:p>
    <w:p w14:paraId="7CE73E7E" w14:textId="77777777" w:rsidR="00862E38" w:rsidRPr="005B6738" w:rsidRDefault="00862E38" w:rsidP="00862E38">
      <w:pPr>
        <w:pStyle w:val="Heading2"/>
        <w:rPr>
          <w:rFonts w:ascii="Calibri" w:hAnsi="Calibri" w:cs="Calibri"/>
        </w:rPr>
      </w:pPr>
      <w:bookmarkStart w:id="2" w:name="_Annex_B_–"/>
      <w:bookmarkEnd w:id="2"/>
      <w:r w:rsidRPr="005B6738">
        <w:rPr>
          <w:rFonts w:ascii="Calibri" w:hAnsi="Calibri" w:cs="Calibri"/>
        </w:rPr>
        <w:lastRenderedPageBreak/>
        <w:t>Annex B – NatureScot Risk Appetite Table and description of each level of Risk Appetite</w:t>
      </w:r>
    </w:p>
    <w:p w14:paraId="4E5558D7" w14:textId="77777777" w:rsidR="00862E38" w:rsidRDefault="00862E38" w:rsidP="00862E38">
      <w:pPr>
        <w:spacing w:after="0"/>
        <w:rPr>
          <w:rFonts w:ascii="Calibri" w:hAnsi="Calibri" w:cs="Calibri"/>
          <w:b/>
          <w:szCs w:val="24"/>
        </w:rPr>
      </w:pPr>
    </w:p>
    <w:tbl>
      <w:tblPr>
        <w:tblStyle w:val="TableGrid2"/>
        <w:tblW w:w="14735" w:type="dxa"/>
        <w:tblLayout w:type="fixed"/>
        <w:tblLook w:val="04A0" w:firstRow="1" w:lastRow="0" w:firstColumn="1" w:lastColumn="0" w:noHBand="0" w:noVBand="1"/>
        <w:tblCaption w:val="Risk Appetite Table"/>
        <w:tblDescription w:val="Covers the catergories, Compliance, Operational, Reputational and Resources.  Then considers the risk appetite, minimal, cautious, open and hungry and identifies a managable range for each"/>
      </w:tblPr>
      <w:tblGrid>
        <w:gridCol w:w="1985"/>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862E38" w:rsidRPr="001268FD" w14:paraId="1D8DF35E" w14:textId="77777777" w:rsidTr="0097304C">
        <w:trPr>
          <w:tblHeader/>
        </w:trPr>
        <w:tc>
          <w:tcPr>
            <w:tcW w:w="1985" w:type="dxa"/>
          </w:tcPr>
          <w:p w14:paraId="3B3E0DB1" w14:textId="77777777" w:rsidR="00862E38" w:rsidRPr="001268FD" w:rsidRDefault="00862E38" w:rsidP="003D53B0">
            <w:pPr>
              <w:rPr>
                <w:rFonts w:cs="Arial"/>
                <w:b/>
                <w:sz w:val="22"/>
                <w:szCs w:val="24"/>
              </w:rPr>
            </w:pPr>
          </w:p>
        </w:tc>
        <w:tc>
          <w:tcPr>
            <w:tcW w:w="2040" w:type="dxa"/>
            <w:gridSpan w:val="4"/>
            <w:tcBorders>
              <w:bottom w:val="single" w:sz="4" w:space="0" w:color="auto"/>
            </w:tcBorders>
            <w:shd w:val="clear" w:color="auto" w:fill="00B050"/>
          </w:tcPr>
          <w:p w14:paraId="56A0141E" w14:textId="77777777" w:rsidR="00862E38" w:rsidRPr="001268FD" w:rsidRDefault="00862E38" w:rsidP="003D53B0">
            <w:pPr>
              <w:jc w:val="center"/>
              <w:rPr>
                <w:rFonts w:cs="Arial"/>
                <w:b/>
                <w:sz w:val="22"/>
                <w:szCs w:val="24"/>
              </w:rPr>
            </w:pPr>
            <w:r w:rsidRPr="001268FD">
              <w:rPr>
                <w:rFonts w:cs="Arial"/>
                <w:b/>
                <w:sz w:val="22"/>
                <w:szCs w:val="24"/>
              </w:rPr>
              <w:t>Minimal</w:t>
            </w:r>
          </w:p>
        </w:tc>
        <w:tc>
          <w:tcPr>
            <w:tcW w:w="4590" w:type="dxa"/>
            <w:gridSpan w:val="9"/>
            <w:shd w:val="clear" w:color="auto" w:fill="FFFF00"/>
          </w:tcPr>
          <w:p w14:paraId="5630B46A" w14:textId="77777777" w:rsidR="00862E38" w:rsidRPr="001268FD" w:rsidRDefault="00862E38" w:rsidP="003D53B0">
            <w:pPr>
              <w:jc w:val="center"/>
              <w:rPr>
                <w:rFonts w:cs="Arial"/>
                <w:b/>
                <w:sz w:val="22"/>
                <w:szCs w:val="24"/>
              </w:rPr>
            </w:pPr>
            <w:r w:rsidRPr="001268FD">
              <w:rPr>
                <w:rFonts w:cs="Arial"/>
                <w:b/>
                <w:sz w:val="22"/>
                <w:szCs w:val="24"/>
              </w:rPr>
              <w:t>Cautious</w:t>
            </w:r>
          </w:p>
        </w:tc>
        <w:tc>
          <w:tcPr>
            <w:tcW w:w="4080" w:type="dxa"/>
            <w:gridSpan w:val="8"/>
            <w:shd w:val="clear" w:color="auto" w:fill="FFC000"/>
          </w:tcPr>
          <w:p w14:paraId="25862778" w14:textId="77777777" w:rsidR="00862E38" w:rsidRPr="001268FD" w:rsidRDefault="00862E38" w:rsidP="003D53B0">
            <w:pPr>
              <w:jc w:val="center"/>
              <w:rPr>
                <w:rFonts w:cs="Arial"/>
                <w:b/>
                <w:sz w:val="22"/>
                <w:szCs w:val="24"/>
              </w:rPr>
            </w:pPr>
            <w:r w:rsidRPr="001268FD">
              <w:rPr>
                <w:rFonts w:cs="Arial"/>
                <w:b/>
                <w:sz w:val="22"/>
                <w:szCs w:val="24"/>
              </w:rPr>
              <w:t>Open</w:t>
            </w:r>
          </w:p>
        </w:tc>
        <w:tc>
          <w:tcPr>
            <w:tcW w:w="2040" w:type="dxa"/>
            <w:gridSpan w:val="4"/>
            <w:shd w:val="clear" w:color="auto" w:fill="FF0000"/>
          </w:tcPr>
          <w:p w14:paraId="26A4DBB8" w14:textId="77777777" w:rsidR="00862E38" w:rsidRPr="001268FD" w:rsidRDefault="00862E38" w:rsidP="003D53B0">
            <w:pPr>
              <w:jc w:val="center"/>
              <w:rPr>
                <w:rFonts w:cs="Arial"/>
                <w:b/>
                <w:sz w:val="22"/>
                <w:szCs w:val="24"/>
              </w:rPr>
            </w:pPr>
            <w:r w:rsidRPr="001268FD">
              <w:rPr>
                <w:rFonts w:cs="Arial"/>
                <w:b/>
                <w:sz w:val="22"/>
                <w:szCs w:val="24"/>
              </w:rPr>
              <w:t>Hungry</w:t>
            </w:r>
          </w:p>
        </w:tc>
      </w:tr>
      <w:tr w:rsidR="00862E38" w:rsidRPr="001268FD" w14:paraId="6873BD04" w14:textId="77777777" w:rsidTr="003D53B0">
        <w:trPr>
          <w:trHeight w:hRule="exact" w:val="454"/>
        </w:trPr>
        <w:tc>
          <w:tcPr>
            <w:tcW w:w="1985" w:type="dxa"/>
          </w:tcPr>
          <w:p w14:paraId="69BE2899" w14:textId="77777777" w:rsidR="00862E38" w:rsidRPr="001268FD" w:rsidRDefault="00862E38" w:rsidP="003D53B0">
            <w:pPr>
              <w:rPr>
                <w:rFonts w:cs="Arial"/>
                <w:b/>
              </w:rPr>
            </w:pPr>
          </w:p>
        </w:tc>
        <w:tc>
          <w:tcPr>
            <w:tcW w:w="510" w:type="dxa"/>
            <w:shd w:val="clear" w:color="auto" w:fill="00B050"/>
            <w:vAlign w:val="center"/>
          </w:tcPr>
          <w:p w14:paraId="3F28726A" w14:textId="77777777" w:rsidR="00862E38" w:rsidRPr="001268FD" w:rsidRDefault="00862E38" w:rsidP="003D53B0">
            <w:pPr>
              <w:jc w:val="center"/>
              <w:rPr>
                <w:rFonts w:cs="Arial"/>
                <w:b/>
                <w:sz w:val="22"/>
              </w:rPr>
            </w:pPr>
            <w:r w:rsidRPr="001268FD">
              <w:rPr>
                <w:rFonts w:cs="Arial"/>
                <w:b/>
                <w:sz w:val="22"/>
              </w:rPr>
              <w:t>1</w:t>
            </w:r>
          </w:p>
        </w:tc>
        <w:tc>
          <w:tcPr>
            <w:tcW w:w="510" w:type="dxa"/>
            <w:shd w:val="clear" w:color="auto" w:fill="00B050"/>
            <w:vAlign w:val="center"/>
          </w:tcPr>
          <w:p w14:paraId="0DBA1784" w14:textId="77777777" w:rsidR="00862E38" w:rsidRPr="001268FD" w:rsidRDefault="00862E38" w:rsidP="003D53B0">
            <w:pPr>
              <w:jc w:val="center"/>
              <w:rPr>
                <w:rFonts w:cs="Arial"/>
                <w:b/>
                <w:sz w:val="22"/>
              </w:rPr>
            </w:pPr>
            <w:r w:rsidRPr="001268FD">
              <w:rPr>
                <w:rFonts w:cs="Arial"/>
                <w:b/>
                <w:sz w:val="22"/>
              </w:rPr>
              <w:t>2</w:t>
            </w:r>
          </w:p>
        </w:tc>
        <w:tc>
          <w:tcPr>
            <w:tcW w:w="510" w:type="dxa"/>
            <w:shd w:val="clear" w:color="auto" w:fill="00B050"/>
            <w:vAlign w:val="center"/>
          </w:tcPr>
          <w:p w14:paraId="3724CF9C" w14:textId="77777777" w:rsidR="00862E38" w:rsidRPr="001268FD" w:rsidRDefault="00862E38" w:rsidP="003D53B0">
            <w:pPr>
              <w:jc w:val="center"/>
              <w:rPr>
                <w:rFonts w:cs="Arial"/>
                <w:b/>
                <w:sz w:val="22"/>
              </w:rPr>
            </w:pPr>
            <w:r w:rsidRPr="001268FD">
              <w:rPr>
                <w:rFonts w:cs="Arial"/>
                <w:b/>
                <w:sz w:val="22"/>
              </w:rPr>
              <w:t>3</w:t>
            </w:r>
          </w:p>
        </w:tc>
        <w:tc>
          <w:tcPr>
            <w:tcW w:w="510" w:type="dxa"/>
            <w:shd w:val="clear" w:color="auto" w:fill="00B050"/>
            <w:vAlign w:val="center"/>
          </w:tcPr>
          <w:p w14:paraId="1A3D7767" w14:textId="77777777" w:rsidR="00862E38" w:rsidRPr="001268FD" w:rsidRDefault="00862E38" w:rsidP="003D53B0">
            <w:pPr>
              <w:jc w:val="center"/>
              <w:rPr>
                <w:rFonts w:cs="Arial"/>
                <w:b/>
                <w:sz w:val="22"/>
              </w:rPr>
            </w:pPr>
            <w:r w:rsidRPr="001268FD">
              <w:rPr>
                <w:rFonts w:cs="Arial"/>
                <w:b/>
                <w:sz w:val="22"/>
              </w:rPr>
              <w:t>4</w:t>
            </w:r>
          </w:p>
        </w:tc>
        <w:tc>
          <w:tcPr>
            <w:tcW w:w="510" w:type="dxa"/>
            <w:shd w:val="clear" w:color="auto" w:fill="FFFF00"/>
            <w:vAlign w:val="center"/>
          </w:tcPr>
          <w:p w14:paraId="431A7B31" w14:textId="77777777" w:rsidR="00862E38" w:rsidRPr="001268FD" w:rsidRDefault="00862E38" w:rsidP="003D53B0">
            <w:pPr>
              <w:jc w:val="center"/>
              <w:rPr>
                <w:rFonts w:cs="Arial"/>
                <w:b/>
                <w:sz w:val="22"/>
              </w:rPr>
            </w:pPr>
            <w:r w:rsidRPr="001268FD">
              <w:rPr>
                <w:rFonts w:cs="Arial"/>
                <w:b/>
                <w:sz w:val="22"/>
              </w:rPr>
              <w:t>5</w:t>
            </w:r>
          </w:p>
        </w:tc>
        <w:tc>
          <w:tcPr>
            <w:tcW w:w="510" w:type="dxa"/>
            <w:shd w:val="clear" w:color="auto" w:fill="FFFF00"/>
            <w:vAlign w:val="center"/>
          </w:tcPr>
          <w:p w14:paraId="69F4D94B" w14:textId="77777777" w:rsidR="00862E38" w:rsidRPr="001268FD" w:rsidRDefault="00862E38" w:rsidP="003D53B0">
            <w:pPr>
              <w:jc w:val="center"/>
              <w:rPr>
                <w:rFonts w:cs="Arial"/>
                <w:b/>
                <w:sz w:val="22"/>
              </w:rPr>
            </w:pPr>
            <w:r w:rsidRPr="001268FD">
              <w:rPr>
                <w:rFonts w:cs="Arial"/>
                <w:b/>
                <w:sz w:val="22"/>
              </w:rPr>
              <w:t>6</w:t>
            </w:r>
          </w:p>
        </w:tc>
        <w:tc>
          <w:tcPr>
            <w:tcW w:w="510" w:type="dxa"/>
            <w:shd w:val="clear" w:color="auto" w:fill="FFFF00"/>
            <w:vAlign w:val="center"/>
          </w:tcPr>
          <w:p w14:paraId="714111EC" w14:textId="77777777" w:rsidR="00862E38" w:rsidRPr="001268FD" w:rsidRDefault="00862E38" w:rsidP="003D53B0">
            <w:pPr>
              <w:jc w:val="center"/>
              <w:rPr>
                <w:rFonts w:cs="Arial"/>
                <w:b/>
                <w:sz w:val="22"/>
              </w:rPr>
            </w:pPr>
            <w:r w:rsidRPr="001268FD">
              <w:rPr>
                <w:rFonts w:cs="Arial"/>
                <w:b/>
                <w:sz w:val="22"/>
              </w:rPr>
              <w:t>7</w:t>
            </w:r>
          </w:p>
        </w:tc>
        <w:tc>
          <w:tcPr>
            <w:tcW w:w="510" w:type="dxa"/>
            <w:shd w:val="clear" w:color="auto" w:fill="FFFF00"/>
            <w:vAlign w:val="center"/>
          </w:tcPr>
          <w:p w14:paraId="6859785A" w14:textId="77777777" w:rsidR="00862E38" w:rsidRPr="001268FD" w:rsidRDefault="00862E38" w:rsidP="003D53B0">
            <w:pPr>
              <w:jc w:val="center"/>
              <w:rPr>
                <w:rFonts w:cs="Arial"/>
                <w:b/>
                <w:sz w:val="22"/>
              </w:rPr>
            </w:pPr>
            <w:r w:rsidRPr="001268FD">
              <w:rPr>
                <w:rFonts w:cs="Arial"/>
                <w:b/>
                <w:sz w:val="22"/>
              </w:rPr>
              <w:t>8</w:t>
            </w:r>
          </w:p>
        </w:tc>
        <w:tc>
          <w:tcPr>
            <w:tcW w:w="510" w:type="dxa"/>
            <w:shd w:val="clear" w:color="auto" w:fill="FFFF00"/>
            <w:vAlign w:val="center"/>
          </w:tcPr>
          <w:p w14:paraId="4B6B0B02" w14:textId="77777777" w:rsidR="00862E38" w:rsidRPr="001268FD" w:rsidRDefault="00862E38" w:rsidP="003D53B0">
            <w:pPr>
              <w:jc w:val="center"/>
              <w:rPr>
                <w:rFonts w:cs="Arial"/>
                <w:b/>
                <w:sz w:val="22"/>
              </w:rPr>
            </w:pPr>
            <w:r w:rsidRPr="001268FD">
              <w:rPr>
                <w:rFonts w:cs="Arial"/>
                <w:b/>
                <w:sz w:val="22"/>
              </w:rPr>
              <w:t>9</w:t>
            </w:r>
          </w:p>
        </w:tc>
        <w:tc>
          <w:tcPr>
            <w:tcW w:w="510" w:type="dxa"/>
            <w:shd w:val="clear" w:color="auto" w:fill="FFFF00"/>
            <w:vAlign w:val="center"/>
          </w:tcPr>
          <w:p w14:paraId="64921E4C" w14:textId="77777777" w:rsidR="00862E38" w:rsidRPr="001268FD" w:rsidRDefault="00862E38" w:rsidP="003D53B0">
            <w:pPr>
              <w:jc w:val="center"/>
              <w:rPr>
                <w:rFonts w:cs="Arial"/>
                <w:b/>
                <w:sz w:val="22"/>
              </w:rPr>
            </w:pPr>
            <w:r w:rsidRPr="001268FD">
              <w:rPr>
                <w:rFonts w:cs="Arial"/>
                <w:b/>
                <w:sz w:val="22"/>
              </w:rPr>
              <w:t>10</w:t>
            </w:r>
          </w:p>
        </w:tc>
        <w:tc>
          <w:tcPr>
            <w:tcW w:w="510" w:type="dxa"/>
            <w:shd w:val="clear" w:color="auto" w:fill="FFFF00"/>
            <w:vAlign w:val="center"/>
          </w:tcPr>
          <w:p w14:paraId="54A129E4" w14:textId="77777777" w:rsidR="00862E38" w:rsidRPr="001268FD" w:rsidRDefault="00862E38" w:rsidP="003D53B0">
            <w:pPr>
              <w:jc w:val="center"/>
              <w:rPr>
                <w:rFonts w:cs="Arial"/>
                <w:b/>
                <w:sz w:val="22"/>
              </w:rPr>
            </w:pPr>
            <w:r w:rsidRPr="001268FD">
              <w:rPr>
                <w:rFonts w:cs="Arial"/>
                <w:b/>
                <w:sz w:val="22"/>
              </w:rPr>
              <w:t>11</w:t>
            </w:r>
          </w:p>
        </w:tc>
        <w:tc>
          <w:tcPr>
            <w:tcW w:w="510" w:type="dxa"/>
            <w:shd w:val="clear" w:color="auto" w:fill="FFFF00"/>
            <w:vAlign w:val="center"/>
          </w:tcPr>
          <w:p w14:paraId="45D0F954" w14:textId="77777777" w:rsidR="00862E38" w:rsidRPr="001268FD" w:rsidRDefault="00862E38" w:rsidP="003D53B0">
            <w:pPr>
              <w:jc w:val="center"/>
              <w:rPr>
                <w:rFonts w:cs="Arial"/>
                <w:b/>
                <w:sz w:val="22"/>
              </w:rPr>
            </w:pPr>
            <w:r w:rsidRPr="001268FD">
              <w:rPr>
                <w:rFonts w:cs="Arial"/>
                <w:b/>
                <w:sz w:val="22"/>
              </w:rPr>
              <w:t>12</w:t>
            </w:r>
          </w:p>
        </w:tc>
        <w:tc>
          <w:tcPr>
            <w:tcW w:w="510" w:type="dxa"/>
            <w:shd w:val="clear" w:color="auto" w:fill="FFFF00"/>
            <w:vAlign w:val="center"/>
          </w:tcPr>
          <w:p w14:paraId="7CF9DBC3" w14:textId="77777777" w:rsidR="00862E38" w:rsidRPr="001268FD" w:rsidRDefault="00862E38" w:rsidP="003D53B0">
            <w:pPr>
              <w:jc w:val="center"/>
              <w:rPr>
                <w:rFonts w:cs="Arial"/>
                <w:b/>
                <w:sz w:val="22"/>
              </w:rPr>
            </w:pPr>
            <w:r w:rsidRPr="001268FD">
              <w:rPr>
                <w:rFonts w:cs="Arial"/>
                <w:b/>
                <w:sz w:val="22"/>
              </w:rPr>
              <w:t>13</w:t>
            </w:r>
          </w:p>
        </w:tc>
        <w:tc>
          <w:tcPr>
            <w:tcW w:w="510" w:type="dxa"/>
            <w:shd w:val="clear" w:color="auto" w:fill="FFC000"/>
            <w:vAlign w:val="center"/>
          </w:tcPr>
          <w:p w14:paraId="1870B649" w14:textId="77777777" w:rsidR="00862E38" w:rsidRPr="001268FD" w:rsidRDefault="00862E38" w:rsidP="003D53B0">
            <w:pPr>
              <w:jc w:val="center"/>
              <w:rPr>
                <w:rFonts w:cs="Arial"/>
                <w:b/>
                <w:sz w:val="22"/>
              </w:rPr>
            </w:pPr>
            <w:r w:rsidRPr="001268FD">
              <w:rPr>
                <w:rFonts w:cs="Arial"/>
                <w:b/>
                <w:sz w:val="22"/>
              </w:rPr>
              <w:t>14</w:t>
            </w:r>
          </w:p>
        </w:tc>
        <w:tc>
          <w:tcPr>
            <w:tcW w:w="510" w:type="dxa"/>
            <w:shd w:val="clear" w:color="auto" w:fill="FFC000"/>
            <w:vAlign w:val="center"/>
          </w:tcPr>
          <w:p w14:paraId="370DDE78" w14:textId="77777777" w:rsidR="00862E38" w:rsidRPr="001268FD" w:rsidRDefault="00862E38" w:rsidP="003D53B0">
            <w:pPr>
              <w:jc w:val="center"/>
              <w:rPr>
                <w:rFonts w:cs="Arial"/>
                <w:b/>
                <w:sz w:val="22"/>
              </w:rPr>
            </w:pPr>
            <w:r w:rsidRPr="001268FD">
              <w:rPr>
                <w:rFonts w:cs="Arial"/>
                <w:b/>
                <w:sz w:val="22"/>
              </w:rPr>
              <w:t>15</w:t>
            </w:r>
          </w:p>
        </w:tc>
        <w:tc>
          <w:tcPr>
            <w:tcW w:w="510" w:type="dxa"/>
            <w:shd w:val="clear" w:color="auto" w:fill="FFC000"/>
            <w:vAlign w:val="center"/>
          </w:tcPr>
          <w:p w14:paraId="2A1C742B" w14:textId="77777777" w:rsidR="00862E38" w:rsidRPr="001268FD" w:rsidRDefault="00862E38" w:rsidP="003D53B0">
            <w:pPr>
              <w:jc w:val="center"/>
              <w:rPr>
                <w:rFonts w:cs="Arial"/>
                <w:b/>
                <w:sz w:val="22"/>
              </w:rPr>
            </w:pPr>
            <w:r w:rsidRPr="001268FD">
              <w:rPr>
                <w:rFonts w:cs="Arial"/>
                <w:b/>
                <w:sz w:val="22"/>
              </w:rPr>
              <w:t>16</w:t>
            </w:r>
          </w:p>
        </w:tc>
        <w:tc>
          <w:tcPr>
            <w:tcW w:w="510" w:type="dxa"/>
            <w:shd w:val="clear" w:color="auto" w:fill="FFC000"/>
            <w:vAlign w:val="center"/>
          </w:tcPr>
          <w:p w14:paraId="20A14F8B" w14:textId="77777777" w:rsidR="00862E38" w:rsidRPr="001268FD" w:rsidRDefault="00862E38" w:rsidP="003D53B0">
            <w:pPr>
              <w:jc w:val="center"/>
              <w:rPr>
                <w:rFonts w:cs="Arial"/>
                <w:b/>
                <w:sz w:val="22"/>
              </w:rPr>
            </w:pPr>
            <w:r w:rsidRPr="001268FD">
              <w:rPr>
                <w:rFonts w:cs="Arial"/>
                <w:b/>
                <w:sz w:val="22"/>
              </w:rPr>
              <w:t>17</w:t>
            </w:r>
          </w:p>
        </w:tc>
        <w:tc>
          <w:tcPr>
            <w:tcW w:w="510" w:type="dxa"/>
            <w:shd w:val="clear" w:color="auto" w:fill="FFC000"/>
            <w:vAlign w:val="center"/>
          </w:tcPr>
          <w:p w14:paraId="67754AA1" w14:textId="77777777" w:rsidR="00862E38" w:rsidRPr="001268FD" w:rsidRDefault="00862E38" w:rsidP="003D53B0">
            <w:pPr>
              <w:jc w:val="center"/>
              <w:rPr>
                <w:rFonts w:cs="Arial"/>
                <w:b/>
                <w:sz w:val="22"/>
              </w:rPr>
            </w:pPr>
            <w:r w:rsidRPr="001268FD">
              <w:rPr>
                <w:rFonts w:cs="Arial"/>
                <w:b/>
                <w:sz w:val="22"/>
              </w:rPr>
              <w:t>18</w:t>
            </w:r>
          </w:p>
        </w:tc>
        <w:tc>
          <w:tcPr>
            <w:tcW w:w="510" w:type="dxa"/>
            <w:shd w:val="clear" w:color="auto" w:fill="FFC000"/>
            <w:vAlign w:val="center"/>
          </w:tcPr>
          <w:p w14:paraId="19BCF91A" w14:textId="77777777" w:rsidR="00862E38" w:rsidRPr="001268FD" w:rsidRDefault="00862E38" w:rsidP="003D53B0">
            <w:pPr>
              <w:jc w:val="center"/>
              <w:rPr>
                <w:rFonts w:cs="Arial"/>
                <w:b/>
                <w:sz w:val="22"/>
              </w:rPr>
            </w:pPr>
            <w:r w:rsidRPr="001268FD">
              <w:rPr>
                <w:rFonts w:cs="Arial"/>
                <w:b/>
                <w:sz w:val="22"/>
              </w:rPr>
              <w:t>19</w:t>
            </w:r>
          </w:p>
        </w:tc>
        <w:tc>
          <w:tcPr>
            <w:tcW w:w="510" w:type="dxa"/>
            <w:shd w:val="clear" w:color="auto" w:fill="FFC000"/>
            <w:vAlign w:val="center"/>
          </w:tcPr>
          <w:p w14:paraId="01AD2288" w14:textId="77777777" w:rsidR="00862E38" w:rsidRPr="001268FD" w:rsidRDefault="00862E38" w:rsidP="003D53B0">
            <w:pPr>
              <w:jc w:val="center"/>
              <w:rPr>
                <w:rFonts w:cs="Arial"/>
                <w:b/>
                <w:sz w:val="22"/>
              </w:rPr>
            </w:pPr>
            <w:r w:rsidRPr="001268FD">
              <w:rPr>
                <w:rFonts w:cs="Arial"/>
                <w:b/>
                <w:sz w:val="22"/>
              </w:rPr>
              <w:t>20</w:t>
            </w:r>
          </w:p>
        </w:tc>
        <w:tc>
          <w:tcPr>
            <w:tcW w:w="510" w:type="dxa"/>
            <w:shd w:val="clear" w:color="auto" w:fill="FFC000"/>
            <w:vAlign w:val="center"/>
          </w:tcPr>
          <w:p w14:paraId="6A1264D7" w14:textId="77777777" w:rsidR="00862E38" w:rsidRPr="001268FD" w:rsidRDefault="00862E38" w:rsidP="003D53B0">
            <w:pPr>
              <w:jc w:val="center"/>
              <w:rPr>
                <w:rFonts w:cs="Arial"/>
                <w:b/>
                <w:sz w:val="22"/>
              </w:rPr>
            </w:pPr>
            <w:r w:rsidRPr="001268FD">
              <w:rPr>
                <w:rFonts w:cs="Arial"/>
                <w:b/>
                <w:sz w:val="22"/>
              </w:rPr>
              <w:t>21</w:t>
            </w:r>
          </w:p>
        </w:tc>
        <w:tc>
          <w:tcPr>
            <w:tcW w:w="510" w:type="dxa"/>
            <w:shd w:val="clear" w:color="auto" w:fill="FF0000"/>
            <w:vAlign w:val="center"/>
          </w:tcPr>
          <w:p w14:paraId="5EB3771B" w14:textId="77777777" w:rsidR="00862E38" w:rsidRPr="001268FD" w:rsidRDefault="00862E38" w:rsidP="003D53B0">
            <w:pPr>
              <w:jc w:val="center"/>
              <w:rPr>
                <w:rFonts w:cs="Arial"/>
                <w:b/>
                <w:sz w:val="22"/>
              </w:rPr>
            </w:pPr>
            <w:r w:rsidRPr="001268FD">
              <w:rPr>
                <w:rFonts w:cs="Arial"/>
                <w:b/>
                <w:sz w:val="22"/>
              </w:rPr>
              <w:t>22</w:t>
            </w:r>
          </w:p>
        </w:tc>
        <w:tc>
          <w:tcPr>
            <w:tcW w:w="510" w:type="dxa"/>
            <w:shd w:val="clear" w:color="auto" w:fill="FF0000"/>
            <w:vAlign w:val="center"/>
          </w:tcPr>
          <w:p w14:paraId="25ED1FFA" w14:textId="77777777" w:rsidR="00862E38" w:rsidRPr="001268FD" w:rsidRDefault="00862E38" w:rsidP="003D53B0">
            <w:pPr>
              <w:jc w:val="center"/>
              <w:rPr>
                <w:rFonts w:cs="Arial"/>
                <w:b/>
                <w:sz w:val="22"/>
              </w:rPr>
            </w:pPr>
            <w:r w:rsidRPr="001268FD">
              <w:rPr>
                <w:rFonts w:cs="Arial"/>
                <w:b/>
                <w:sz w:val="22"/>
              </w:rPr>
              <w:t>23</w:t>
            </w:r>
          </w:p>
        </w:tc>
        <w:tc>
          <w:tcPr>
            <w:tcW w:w="510" w:type="dxa"/>
            <w:shd w:val="clear" w:color="auto" w:fill="FF0000"/>
            <w:vAlign w:val="center"/>
          </w:tcPr>
          <w:p w14:paraId="14F07325" w14:textId="77777777" w:rsidR="00862E38" w:rsidRPr="001268FD" w:rsidRDefault="00862E38" w:rsidP="003D53B0">
            <w:pPr>
              <w:jc w:val="center"/>
              <w:rPr>
                <w:rFonts w:cs="Arial"/>
                <w:b/>
                <w:sz w:val="22"/>
              </w:rPr>
            </w:pPr>
            <w:r w:rsidRPr="001268FD">
              <w:rPr>
                <w:rFonts w:cs="Arial"/>
                <w:b/>
                <w:sz w:val="22"/>
              </w:rPr>
              <w:t>24</w:t>
            </w:r>
          </w:p>
        </w:tc>
        <w:tc>
          <w:tcPr>
            <w:tcW w:w="510" w:type="dxa"/>
            <w:shd w:val="clear" w:color="auto" w:fill="FF0000"/>
            <w:vAlign w:val="center"/>
          </w:tcPr>
          <w:p w14:paraId="677E0431" w14:textId="77777777" w:rsidR="00862E38" w:rsidRPr="001268FD" w:rsidRDefault="00862E38" w:rsidP="003D53B0">
            <w:pPr>
              <w:jc w:val="center"/>
              <w:rPr>
                <w:rFonts w:cs="Arial"/>
                <w:b/>
                <w:sz w:val="22"/>
              </w:rPr>
            </w:pPr>
            <w:r w:rsidRPr="001268FD">
              <w:rPr>
                <w:rFonts w:cs="Arial"/>
                <w:b/>
                <w:sz w:val="22"/>
              </w:rPr>
              <w:t>25</w:t>
            </w:r>
          </w:p>
        </w:tc>
      </w:tr>
      <w:tr w:rsidR="00862E38" w:rsidRPr="001268FD" w14:paraId="242CAAF1" w14:textId="77777777" w:rsidTr="003D53B0">
        <w:trPr>
          <w:trHeight w:val="510"/>
        </w:trPr>
        <w:tc>
          <w:tcPr>
            <w:tcW w:w="1985" w:type="dxa"/>
            <w:vAlign w:val="center"/>
          </w:tcPr>
          <w:p w14:paraId="3B272DE7" w14:textId="77777777" w:rsidR="00862E38" w:rsidRPr="00760EE0" w:rsidRDefault="00862E38" w:rsidP="003D53B0">
            <w:pPr>
              <w:rPr>
                <w:rFonts w:cs="Arial"/>
                <w:b/>
                <w:sz w:val="22"/>
                <w:szCs w:val="22"/>
              </w:rPr>
            </w:pPr>
            <w:r w:rsidRPr="00760EE0">
              <w:rPr>
                <w:rFonts w:cs="Arial"/>
                <w:b/>
                <w:sz w:val="22"/>
                <w:szCs w:val="22"/>
              </w:rPr>
              <w:t>Nature</w:t>
            </w:r>
          </w:p>
        </w:tc>
        <w:tc>
          <w:tcPr>
            <w:tcW w:w="510" w:type="dxa"/>
          </w:tcPr>
          <w:p w14:paraId="6918BC86" w14:textId="77777777" w:rsidR="00862E38" w:rsidRPr="001268FD" w:rsidRDefault="00862E38" w:rsidP="003D53B0">
            <w:pPr>
              <w:jc w:val="center"/>
              <w:rPr>
                <w:rFonts w:cs="Arial"/>
                <w:b/>
              </w:rPr>
            </w:pPr>
          </w:p>
        </w:tc>
        <w:tc>
          <w:tcPr>
            <w:tcW w:w="510" w:type="dxa"/>
          </w:tcPr>
          <w:p w14:paraId="75055710" w14:textId="77777777" w:rsidR="00862E38" w:rsidRPr="001268FD" w:rsidRDefault="00862E38" w:rsidP="003D53B0">
            <w:pPr>
              <w:rPr>
                <w:rFonts w:cs="Arial"/>
                <w:b/>
              </w:rPr>
            </w:pPr>
          </w:p>
        </w:tc>
        <w:tc>
          <w:tcPr>
            <w:tcW w:w="510" w:type="dxa"/>
          </w:tcPr>
          <w:p w14:paraId="68EA00B7" w14:textId="77777777" w:rsidR="00862E38" w:rsidRPr="001268FD" w:rsidRDefault="00862E38" w:rsidP="003D53B0">
            <w:pPr>
              <w:rPr>
                <w:rFonts w:cs="Arial"/>
                <w:b/>
              </w:rPr>
            </w:pPr>
          </w:p>
        </w:tc>
        <w:tc>
          <w:tcPr>
            <w:tcW w:w="510" w:type="dxa"/>
          </w:tcPr>
          <w:p w14:paraId="742A48B7" w14:textId="77777777" w:rsidR="00862E38" w:rsidRPr="001268FD" w:rsidRDefault="00862E38" w:rsidP="003D53B0">
            <w:pPr>
              <w:rPr>
                <w:rFonts w:cs="Arial"/>
                <w:b/>
              </w:rPr>
            </w:pPr>
          </w:p>
        </w:tc>
        <w:tc>
          <w:tcPr>
            <w:tcW w:w="510" w:type="dxa"/>
          </w:tcPr>
          <w:p w14:paraId="15348553" w14:textId="77777777" w:rsidR="00862E38" w:rsidRPr="001268FD" w:rsidRDefault="00862E38" w:rsidP="003D53B0">
            <w:pPr>
              <w:rPr>
                <w:rFonts w:cs="Arial"/>
                <w:b/>
              </w:rPr>
            </w:pPr>
          </w:p>
        </w:tc>
        <w:tc>
          <w:tcPr>
            <w:tcW w:w="510" w:type="dxa"/>
          </w:tcPr>
          <w:p w14:paraId="1AEB89E9" w14:textId="77777777" w:rsidR="00862E38" w:rsidRPr="001268FD" w:rsidRDefault="00862E38" w:rsidP="003D53B0">
            <w:pPr>
              <w:rPr>
                <w:rFonts w:cs="Arial"/>
                <w:b/>
              </w:rPr>
            </w:pPr>
          </w:p>
        </w:tc>
        <w:tc>
          <w:tcPr>
            <w:tcW w:w="510" w:type="dxa"/>
          </w:tcPr>
          <w:p w14:paraId="5916716E" w14:textId="77777777" w:rsidR="00862E38" w:rsidRPr="001268FD" w:rsidRDefault="00862E38" w:rsidP="003D53B0">
            <w:pPr>
              <w:rPr>
                <w:rFonts w:cs="Arial"/>
                <w:b/>
              </w:rPr>
            </w:pPr>
          </w:p>
        </w:tc>
        <w:tc>
          <w:tcPr>
            <w:tcW w:w="510" w:type="dxa"/>
          </w:tcPr>
          <w:p w14:paraId="4D0A753B" w14:textId="77777777" w:rsidR="00862E38" w:rsidRPr="001268FD" w:rsidRDefault="00862E38" w:rsidP="003D53B0">
            <w:pPr>
              <w:rPr>
                <w:rFonts w:cs="Arial"/>
                <w:b/>
              </w:rPr>
            </w:pPr>
          </w:p>
        </w:tc>
        <w:tc>
          <w:tcPr>
            <w:tcW w:w="510" w:type="dxa"/>
          </w:tcPr>
          <w:p w14:paraId="25404455" w14:textId="77777777" w:rsidR="00862E38" w:rsidRPr="001268FD" w:rsidRDefault="00862E38" w:rsidP="003D53B0">
            <w:pPr>
              <w:rPr>
                <w:rFonts w:cs="Arial"/>
                <w:b/>
              </w:rPr>
            </w:pPr>
          </w:p>
        </w:tc>
        <w:tc>
          <w:tcPr>
            <w:tcW w:w="510" w:type="dxa"/>
          </w:tcPr>
          <w:p w14:paraId="2D8A39EF" w14:textId="77777777" w:rsidR="00862E38" w:rsidRPr="001268FD" w:rsidRDefault="00862E38" w:rsidP="003D53B0">
            <w:pPr>
              <w:rPr>
                <w:rFonts w:cs="Arial"/>
                <w:b/>
              </w:rPr>
            </w:pPr>
          </w:p>
        </w:tc>
        <w:tc>
          <w:tcPr>
            <w:tcW w:w="510" w:type="dxa"/>
          </w:tcPr>
          <w:p w14:paraId="2ADD637C" w14:textId="77777777" w:rsidR="00862E38" w:rsidRPr="001268FD" w:rsidRDefault="00862E38" w:rsidP="003D53B0">
            <w:pPr>
              <w:rPr>
                <w:rFonts w:cs="Arial"/>
                <w:b/>
              </w:rPr>
            </w:pPr>
          </w:p>
        </w:tc>
        <w:tc>
          <w:tcPr>
            <w:tcW w:w="510" w:type="dxa"/>
          </w:tcPr>
          <w:p w14:paraId="0A3E67D6" w14:textId="77777777" w:rsidR="00862E38" w:rsidRPr="001268FD" w:rsidRDefault="00862E38" w:rsidP="003D53B0">
            <w:pPr>
              <w:rPr>
                <w:noProof/>
                <w:szCs w:val="24"/>
              </w:rPr>
            </w:pPr>
          </w:p>
        </w:tc>
        <w:tc>
          <w:tcPr>
            <w:tcW w:w="510" w:type="dxa"/>
          </w:tcPr>
          <w:p w14:paraId="172243C7" w14:textId="77777777" w:rsidR="00862E38" w:rsidRPr="001268FD" w:rsidRDefault="00862E38" w:rsidP="003D53B0">
            <w:pPr>
              <w:rPr>
                <w:rFonts w:cs="Arial"/>
                <w:b/>
              </w:rPr>
            </w:pPr>
          </w:p>
        </w:tc>
        <w:tc>
          <w:tcPr>
            <w:tcW w:w="510" w:type="dxa"/>
          </w:tcPr>
          <w:p w14:paraId="188EE444" w14:textId="77777777" w:rsidR="00862E38" w:rsidRPr="001268FD" w:rsidRDefault="00862E38" w:rsidP="003D53B0">
            <w:pPr>
              <w:rPr>
                <w:rFonts w:cs="Arial"/>
                <w:b/>
              </w:rPr>
            </w:pPr>
            <w:r w:rsidRPr="00760EE0">
              <w:rPr>
                <w:noProof/>
                <w:szCs w:val="24"/>
              </w:rPr>
              <mc:AlternateContent>
                <mc:Choice Requires="wps">
                  <w:drawing>
                    <wp:anchor distT="0" distB="0" distL="114300" distR="114300" simplePos="0" relativeHeight="251662336" behindDoc="0" locked="0" layoutInCell="1" allowOverlap="1" wp14:anchorId="7CD15E0F" wp14:editId="07126548">
                      <wp:simplePos x="0" y="0"/>
                      <wp:positionH relativeFrom="column">
                        <wp:posOffset>-365125</wp:posOffset>
                      </wp:positionH>
                      <wp:positionV relativeFrom="page">
                        <wp:posOffset>42545</wp:posOffset>
                      </wp:positionV>
                      <wp:extent cx="1781175" cy="247650"/>
                      <wp:effectExtent l="0" t="0" r="9525" b="0"/>
                      <wp:wrapNone/>
                      <wp:docPr id="2" name="Rectangle 2"/>
                      <wp:cNvGraphicFramePr/>
                      <a:graphic xmlns:a="http://schemas.openxmlformats.org/drawingml/2006/main">
                        <a:graphicData uri="http://schemas.microsoft.com/office/word/2010/wordprocessingShape">
                          <wps:wsp>
                            <wps:cNvSpPr/>
                            <wps:spPr>
                              <a:xfrm>
                                <a:off x="0" y="0"/>
                                <a:ext cx="1781175" cy="247650"/>
                              </a:xfrm>
                              <a:prstGeom prst="rect">
                                <a:avLst/>
                              </a:prstGeom>
                              <a:gradFill flip="none" rotWithShape="1">
                                <a:gsLst>
                                  <a:gs pos="0">
                                    <a:srgbClr val="00B050"/>
                                  </a:gs>
                                  <a:gs pos="25000">
                                    <a:srgbClr val="FFFF00"/>
                                  </a:gs>
                                  <a:gs pos="36000">
                                    <a:srgbClr val="FFFF00"/>
                                  </a:gs>
                                  <a:gs pos="68000">
                                    <a:srgbClr val="FFC000"/>
                                  </a:gs>
                                  <a:gs pos="100000">
                                    <a:srgbClr val="FF0000"/>
                                  </a:gs>
                                </a:gsLst>
                                <a:path path="circle">
                                  <a:fillToRect t="100000" r="100000"/>
                                </a:path>
                                <a:tileRect l="-100000" b="-100000"/>
                              </a:gradFill>
                              <a:ln w="25400" cap="flat" cmpd="sng" algn="ctr">
                                <a:noFill/>
                                <a:prstDash val="solid"/>
                              </a:ln>
                              <a:effectLst/>
                            </wps:spPr>
                            <wps:txbx>
                              <w:txbxContent>
                                <w:p w14:paraId="4EF2A3C9" w14:textId="77777777" w:rsidR="00862E38" w:rsidRPr="00EF05E6" w:rsidRDefault="00862E38" w:rsidP="00862E38">
                                  <w:pPr>
                                    <w:jc w:val="center"/>
                                    <w:rPr>
                                      <w:color w:val="000000" w:themeColor="text1"/>
                                      <w:sz w:val="20"/>
                                    </w:rPr>
                                  </w:pPr>
                                  <w:r w:rsidRPr="00EF05E6">
                                    <w:rPr>
                                      <w:color w:val="000000" w:themeColor="text1"/>
                                      <w:sz w:val="20"/>
                                    </w:rPr>
                                    <w:t>Manageable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15E0F" id="Rectangle 2" o:spid="_x0000_s1026" style="position:absolute;margin-left:-28.75pt;margin-top:3.35pt;width:140.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" fillcolor="#00b050" stroked="f" strokeweight="2pt">
                      <v:fill color2="red" rotate="t" focusposition=",1" focussize="" colors="0 #00b050;.25 yellow;23593f yellow;44564f #ffc000;1 red" focus="100%" type="gradientRadial"/>
                      <v:textbox inset="0,0,0,0">
                        <w:txbxContent>
                          <w:p w14:paraId="4EF2A3C9" w14:textId="77777777" w:rsidR="00862E38" w:rsidRPr="00EF05E6" w:rsidRDefault="00862E38" w:rsidP="00862E38">
                            <w:pPr>
                              <w:jc w:val="center"/>
                              <w:rPr>
                                <w:color w:val="000000" w:themeColor="text1"/>
                                <w:sz w:val="20"/>
                              </w:rPr>
                            </w:pPr>
                            <w:r w:rsidRPr="00EF05E6">
                              <w:rPr>
                                <w:color w:val="000000" w:themeColor="text1"/>
                                <w:sz w:val="20"/>
                              </w:rPr>
                              <w:t>Manageable</w:t>
                            </w:r>
                          </w:p>
                        </w:txbxContent>
                      </v:textbox>
                      <w10:wrap anchory="page"/>
                    </v:rect>
                  </w:pict>
                </mc:Fallback>
              </mc:AlternateContent>
            </w:r>
          </w:p>
        </w:tc>
        <w:tc>
          <w:tcPr>
            <w:tcW w:w="510" w:type="dxa"/>
          </w:tcPr>
          <w:p w14:paraId="3CD7B64E" w14:textId="77777777" w:rsidR="00862E38" w:rsidRPr="001268FD" w:rsidRDefault="00862E38" w:rsidP="003D53B0">
            <w:pPr>
              <w:rPr>
                <w:rFonts w:cs="Arial"/>
                <w:b/>
              </w:rPr>
            </w:pPr>
          </w:p>
        </w:tc>
        <w:tc>
          <w:tcPr>
            <w:tcW w:w="510" w:type="dxa"/>
          </w:tcPr>
          <w:p w14:paraId="3A79B19E" w14:textId="77777777" w:rsidR="00862E38" w:rsidRPr="001268FD" w:rsidRDefault="00862E38" w:rsidP="003D53B0">
            <w:pPr>
              <w:rPr>
                <w:rFonts w:cs="Arial"/>
                <w:b/>
              </w:rPr>
            </w:pPr>
          </w:p>
        </w:tc>
        <w:tc>
          <w:tcPr>
            <w:tcW w:w="510" w:type="dxa"/>
          </w:tcPr>
          <w:p w14:paraId="699FC7B9" w14:textId="77777777" w:rsidR="00862E38" w:rsidRPr="001268FD" w:rsidRDefault="00862E38" w:rsidP="003D53B0">
            <w:pPr>
              <w:rPr>
                <w:rFonts w:cs="Arial"/>
                <w:b/>
              </w:rPr>
            </w:pPr>
          </w:p>
        </w:tc>
        <w:tc>
          <w:tcPr>
            <w:tcW w:w="510" w:type="dxa"/>
          </w:tcPr>
          <w:p w14:paraId="31BDEF6E" w14:textId="77777777" w:rsidR="00862E38" w:rsidRPr="001268FD" w:rsidRDefault="00862E38" w:rsidP="003D53B0">
            <w:pPr>
              <w:rPr>
                <w:rFonts w:cs="Arial"/>
                <w:b/>
              </w:rPr>
            </w:pPr>
          </w:p>
        </w:tc>
        <w:tc>
          <w:tcPr>
            <w:tcW w:w="510" w:type="dxa"/>
          </w:tcPr>
          <w:p w14:paraId="5E972607" w14:textId="77777777" w:rsidR="00862E38" w:rsidRPr="001268FD" w:rsidRDefault="00862E38" w:rsidP="003D53B0">
            <w:pPr>
              <w:rPr>
                <w:rFonts w:cs="Arial"/>
                <w:b/>
              </w:rPr>
            </w:pPr>
          </w:p>
        </w:tc>
        <w:tc>
          <w:tcPr>
            <w:tcW w:w="510" w:type="dxa"/>
          </w:tcPr>
          <w:p w14:paraId="679AB6ED" w14:textId="77777777" w:rsidR="00862E38" w:rsidRPr="001268FD" w:rsidRDefault="00862E38" w:rsidP="003D53B0">
            <w:pPr>
              <w:rPr>
                <w:rFonts w:cs="Arial"/>
                <w:b/>
              </w:rPr>
            </w:pPr>
          </w:p>
        </w:tc>
        <w:tc>
          <w:tcPr>
            <w:tcW w:w="510" w:type="dxa"/>
          </w:tcPr>
          <w:p w14:paraId="3568A0E1" w14:textId="77777777" w:rsidR="00862E38" w:rsidRPr="001268FD" w:rsidRDefault="00862E38" w:rsidP="003D53B0">
            <w:pPr>
              <w:rPr>
                <w:rFonts w:cs="Arial"/>
                <w:b/>
              </w:rPr>
            </w:pPr>
          </w:p>
        </w:tc>
        <w:tc>
          <w:tcPr>
            <w:tcW w:w="510" w:type="dxa"/>
          </w:tcPr>
          <w:p w14:paraId="09F0981B" w14:textId="77777777" w:rsidR="00862E38" w:rsidRPr="001268FD" w:rsidRDefault="00862E38" w:rsidP="003D53B0">
            <w:pPr>
              <w:rPr>
                <w:rFonts w:cs="Arial"/>
                <w:b/>
              </w:rPr>
            </w:pPr>
          </w:p>
        </w:tc>
        <w:tc>
          <w:tcPr>
            <w:tcW w:w="510" w:type="dxa"/>
          </w:tcPr>
          <w:p w14:paraId="6E07F868" w14:textId="77777777" w:rsidR="00862E38" w:rsidRPr="001268FD" w:rsidRDefault="00862E38" w:rsidP="003D53B0">
            <w:pPr>
              <w:rPr>
                <w:rFonts w:cs="Arial"/>
                <w:b/>
              </w:rPr>
            </w:pPr>
          </w:p>
        </w:tc>
        <w:tc>
          <w:tcPr>
            <w:tcW w:w="510" w:type="dxa"/>
          </w:tcPr>
          <w:p w14:paraId="42D19B40" w14:textId="77777777" w:rsidR="00862E38" w:rsidRPr="001268FD" w:rsidRDefault="00862E38" w:rsidP="003D53B0">
            <w:pPr>
              <w:rPr>
                <w:rFonts w:cs="Arial"/>
                <w:b/>
              </w:rPr>
            </w:pPr>
          </w:p>
        </w:tc>
        <w:tc>
          <w:tcPr>
            <w:tcW w:w="510" w:type="dxa"/>
          </w:tcPr>
          <w:p w14:paraId="7E3DCE9F" w14:textId="77777777" w:rsidR="00862E38" w:rsidRPr="001268FD" w:rsidRDefault="00862E38" w:rsidP="003D53B0">
            <w:pPr>
              <w:rPr>
                <w:rFonts w:cs="Arial"/>
                <w:b/>
              </w:rPr>
            </w:pPr>
          </w:p>
        </w:tc>
      </w:tr>
      <w:tr w:rsidR="00862E38" w:rsidRPr="001268FD" w14:paraId="0DB02874" w14:textId="77777777" w:rsidTr="003D53B0">
        <w:trPr>
          <w:trHeight w:val="510"/>
        </w:trPr>
        <w:tc>
          <w:tcPr>
            <w:tcW w:w="1985" w:type="dxa"/>
            <w:vAlign w:val="center"/>
          </w:tcPr>
          <w:p w14:paraId="60A698B8" w14:textId="77777777" w:rsidR="00862E38" w:rsidRPr="001268FD" w:rsidRDefault="00862E38" w:rsidP="003D53B0">
            <w:pPr>
              <w:rPr>
                <w:rFonts w:cs="Arial"/>
                <w:b/>
                <w:sz w:val="22"/>
              </w:rPr>
            </w:pPr>
            <w:r w:rsidRPr="001268FD">
              <w:rPr>
                <w:rFonts w:cs="Arial"/>
                <w:b/>
                <w:sz w:val="22"/>
              </w:rPr>
              <w:t>Compliance</w:t>
            </w:r>
          </w:p>
        </w:tc>
        <w:tc>
          <w:tcPr>
            <w:tcW w:w="510" w:type="dxa"/>
          </w:tcPr>
          <w:p w14:paraId="723DBB62" w14:textId="77777777" w:rsidR="00862E38" w:rsidRPr="001268FD" w:rsidRDefault="00862E38" w:rsidP="003D53B0">
            <w:pPr>
              <w:jc w:val="center"/>
              <w:rPr>
                <w:rFonts w:cs="Arial"/>
                <w:b/>
              </w:rPr>
            </w:pPr>
          </w:p>
        </w:tc>
        <w:tc>
          <w:tcPr>
            <w:tcW w:w="510" w:type="dxa"/>
          </w:tcPr>
          <w:p w14:paraId="454A980F" w14:textId="77777777" w:rsidR="00862E38" w:rsidRPr="001268FD" w:rsidRDefault="00862E38" w:rsidP="003D53B0">
            <w:pPr>
              <w:rPr>
                <w:rFonts w:cs="Arial"/>
                <w:b/>
              </w:rPr>
            </w:pPr>
          </w:p>
        </w:tc>
        <w:tc>
          <w:tcPr>
            <w:tcW w:w="510" w:type="dxa"/>
          </w:tcPr>
          <w:p w14:paraId="59B86239" w14:textId="77777777" w:rsidR="00862E38" w:rsidRPr="001268FD" w:rsidRDefault="00862E38" w:rsidP="003D53B0">
            <w:pPr>
              <w:rPr>
                <w:rFonts w:cs="Arial"/>
                <w:b/>
              </w:rPr>
            </w:pPr>
          </w:p>
        </w:tc>
        <w:tc>
          <w:tcPr>
            <w:tcW w:w="510" w:type="dxa"/>
          </w:tcPr>
          <w:p w14:paraId="119CF855" w14:textId="77777777" w:rsidR="00862E38" w:rsidRPr="001268FD" w:rsidRDefault="00862E38" w:rsidP="003D53B0">
            <w:pPr>
              <w:rPr>
                <w:rFonts w:cs="Arial"/>
                <w:b/>
              </w:rPr>
            </w:pPr>
            <w:r w:rsidRPr="001268FD">
              <w:rPr>
                <w:noProof/>
                <w:szCs w:val="24"/>
              </w:rPr>
              <mc:AlternateContent>
                <mc:Choice Requires="wps">
                  <w:drawing>
                    <wp:anchor distT="0" distB="0" distL="114300" distR="114300" simplePos="0" relativeHeight="251659264" behindDoc="0" locked="0" layoutInCell="1" allowOverlap="1" wp14:anchorId="67C42A22" wp14:editId="6B915648">
                      <wp:simplePos x="0" y="0"/>
                      <wp:positionH relativeFrom="column">
                        <wp:posOffset>-66040</wp:posOffset>
                      </wp:positionH>
                      <wp:positionV relativeFrom="page">
                        <wp:posOffset>57785</wp:posOffset>
                      </wp:positionV>
                      <wp:extent cx="1600200" cy="247650"/>
                      <wp:effectExtent l="0" t="0" r="0" b="0"/>
                      <wp:wrapNone/>
                      <wp:docPr id="92" name="Rectangle 92"/>
                      <wp:cNvGraphicFramePr/>
                      <a:graphic xmlns:a="http://schemas.openxmlformats.org/drawingml/2006/main">
                        <a:graphicData uri="http://schemas.microsoft.com/office/word/2010/wordprocessingShape">
                          <wps:wsp>
                            <wps:cNvSpPr/>
                            <wps:spPr>
                              <a:xfrm>
                                <a:off x="0" y="0"/>
                                <a:ext cx="1600200" cy="247650"/>
                              </a:xfrm>
                              <a:prstGeom prst="rect">
                                <a:avLst/>
                              </a:prstGeom>
                              <a:gradFill flip="none" rotWithShape="1">
                                <a:gsLst>
                                  <a:gs pos="0">
                                    <a:srgbClr val="00B050"/>
                                  </a:gs>
                                  <a:gs pos="25000">
                                    <a:srgbClr val="FFFF00"/>
                                  </a:gs>
                                  <a:gs pos="36000">
                                    <a:srgbClr val="FFFF00"/>
                                  </a:gs>
                                  <a:gs pos="68000">
                                    <a:srgbClr val="FFC000"/>
                                  </a:gs>
                                  <a:gs pos="100000">
                                    <a:srgbClr val="FF0000"/>
                                  </a:gs>
                                </a:gsLst>
                                <a:path path="circle">
                                  <a:fillToRect t="100000" r="100000"/>
                                </a:path>
                                <a:tileRect l="-100000" b="-100000"/>
                              </a:gradFill>
                              <a:ln w="25400" cap="flat" cmpd="sng" algn="ctr">
                                <a:noFill/>
                                <a:prstDash val="solid"/>
                              </a:ln>
                              <a:effectLst/>
                            </wps:spPr>
                            <wps:txbx>
                              <w:txbxContent>
                                <w:p w14:paraId="1991F8A5" w14:textId="77777777" w:rsidR="00862E38" w:rsidRPr="00EF05E6" w:rsidRDefault="00862E38" w:rsidP="00862E38">
                                  <w:pPr>
                                    <w:jc w:val="center"/>
                                    <w:rPr>
                                      <w:color w:val="000000" w:themeColor="text1"/>
                                      <w:sz w:val="20"/>
                                    </w:rPr>
                                  </w:pPr>
                                  <w:r w:rsidRPr="00EF05E6">
                                    <w:rPr>
                                      <w:color w:val="000000" w:themeColor="text1"/>
                                      <w:sz w:val="20"/>
                                    </w:rPr>
                                    <w:t>Manageable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42A22" id="Rectangle 92" o:spid="_x0000_s1027" style="position:absolute;margin-left:-5.2pt;margin-top:4.55pt;width:12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" fillcolor="#00b050" stroked="f" strokeweight="2pt">
                      <v:fill color2="red" rotate="t" focusposition=",1" focussize="" colors="0 #00b050;.25 yellow;23593f yellow;44564f #ffc000;1 red" focus="100%" type="gradientRadial"/>
                      <v:textbox inset="0,0,0,0">
                        <w:txbxContent>
                          <w:p w14:paraId="1991F8A5" w14:textId="77777777" w:rsidR="00862E38" w:rsidRPr="00EF05E6" w:rsidRDefault="00862E38" w:rsidP="00862E38">
                            <w:pPr>
                              <w:jc w:val="center"/>
                              <w:rPr>
                                <w:color w:val="000000" w:themeColor="text1"/>
                                <w:sz w:val="20"/>
                              </w:rPr>
                            </w:pPr>
                            <w:r w:rsidRPr="00EF05E6">
                              <w:rPr>
                                <w:color w:val="000000" w:themeColor="text1"/>
                                <w:sz w:val="20"/>
                              </w:rPr>
                              <w:t>Manageable</w:t>
                            </w:r>
                          </w:p>
                        </w:txbxContent>
                      </v:textbox>
                      <w10:wrap anchory="page"/>
                    </v:rect>
                  </w:pict>
                </mc:Fallback>
              </mc:AlternateContent>
            </w:r>
          </w:p>
        </w:tc>
        <w:tc>
          <w:tcPr>
            <w:tcW w:w="510" w:type="dxa"/>
          </w:tcPr>
          <w:p w14:paraId="4DEF7D44" w14:textId="77777777" w:rsidR="00862E38" w:rsidRPr="001268FD" w:rsidRDefault="00862E38" w:rsidP="003D53B0">
            <w:pPr>
              <w:rPr>
                <w:rFonts w:cs="Arial"/>
                <w:b/>
              </w:rPr>
            </w:pPr>
          </w:p>
        </w:tc>
        <w:tc>
          <w:tcPr>
            <w:tcW w:w="510" w:type="dxa"/>
          </w:tcPr>
          <w:p w14:paraId="77A56FDE" w14:textId="77777777" w:rsidR="00862E38" w:rsidRPr="001268FD" w:rsidRDefault="00862E38" w:rsidP="003D53B0">
            <w:pPr>
              <w:rPr>
                <w:rFonts w:cs="Arial"/>
                <w:b/>
              </w:rPr>
            </w:pPr>
          </w:p>
        </w:tc>
        <w:tc>
          <w:tcPr>
            <w:tcW w:w="510" w:type="dxa"/>
          </w:tcPr>
          <w:p w14:paraId="20C19382" w14:textId="77777777" w:rsidR="00862E38" w:rsidRPr="001268FD" w:rsidRDefault="00862E38" w:rsidP="003D53B0">
            <w:pPr>
              <w:rPr>
                <w:rFonts w:cs="Arial"/>
                <w:b/>
              </w:rPr>
            </w:pPr>
          </w:p>
        </w:tc>
        <w:tc>
          <w:tcPr>
            <w:tcW w:w="510" w:type="dxa"/>
          </w:tcPr>
          <w:p w14:paraId="3D449F72" w14:textId="77777777" w:rsidR="00862E38" w:rsidRPr="001268FD" w:rsidRDefault="00862E38" w:rsidP="003D53B0">
            <w:pPr>
              <w:rPr>
                <w:rFonts w:cs="Arial"/>
                <w:b/>
              </w:rPr>
            </w:pPr>
          </w:p>
        </w:tc>
        <w:tc>
          <w:tcPr>
            <w:tcW w:w="510" w:type="dxa"/>
          </w:tcPr>
          <w:p w14:paraId="0CA59B41" w14:textId="77777777" w:rsidR="00862E38" w:rsidRPr="001268FD" w:rsidRDefault="00862E38" w:rsidP="003D53B0">
            <w:pPr>
              <w:rPr>
                <w:rFonts w:cs="Arial"/>
                <w:b/>
              </w:rPr>
            </w:pPr>
          </w:p>
        </w:tc>
        <w:tc>
          <w:tcPr>
            <w:tcW w:w="510" w:type="dxa"/>
          </w:tcPr>
          <w:p w14:paraId="4841C0FD" w14:textId="77777777" w:rsidR="00862E38" w:rsidRPr="001268FD" w:rsidRDefault="00862E38" w:rsidP="003D53B0">
            <w:pPr>
              <w:rPr>
                <w:rFonts w:cs="Arial"/>
                <w:b/>
              </w:rPr>
            </w:pPr>
          </w:p>
        </w:tc>
        <w:tc>
          <w:tcPr>
            <w:tcW w:w="510" w:type="dxa"/>
          </w:tcPr>
          <w:p w14:paraId="1D95827A" w14:textId="77777777" w:rsidR="00862E38" w:rsidRPr="001268FD" w:rsidRDefault="00862E38" w:rsidP="003D53B0">
            <w:pPr>
              <w:rPr>
                <w:rFonts w:cs="Arial"/>
                <w:b/>
              </w:rPr>
            </w:pPr>
          </w:p>
        </w:tc>
        <w:tc>
          <w:tcPr>
            <w:tcW w:w="510" w:type="dxa"/>
          </w:tcPr>
          <w:p w14:paraId="0BBB50A0" w14:textId="77777777" w:rsidR="00862E38" w:rsidRPr="001268FD" w:rsidRDefault="00862E38" w:rsidP="003D53B0">
            <w:pPr>
              <w:rPr>
                <w:rFonts w:cs="Arial"/>
                <w:b/>
              </w:rPr>
            </w:pPr>
          </w:p>
        </w:tc>
        <w:tc>
          <w:tcPr>
            <w:tcW w:w="510" w:type="dxa"/>
          </w:tcPr>
          <w:p w14:paraId="2C10B67C" w14:textId="77777777" w:rsidR="00862E38" w:rsidRPr="001268FD" w:rsidRDefault="00862E38" w:rsidP="003D53B0">
            <w:pPr>
              <w:rPr>
                <w:rFonts w:cs="Arial"/>
                <w:b/>
              </w:rPr>
            </w:pPr>
          </w:p>
        </w:tc>
        <w:tc>
          <w:tcPr>
            <w:tcW w:w="510" w:type="dxa"/>
          </w:tcPr>
          <w:p w14:paraId="18357AE8" w14:textId="77777777" w:rsidR="00862E38" w:rsidRPr="001268FD" w:rsidRDefault="00862E38" w:rsidP="003D53B0">
            <w:pPr>
              <w:rPr>
                <w:rFonts w:cs="Arial"/>
                <w:b/>
              </w:rPr>
            </w:pPr>
          </w:p>
        </w:tc>
        <w:tc>
          <w:tcPr>
            <w:tcW w:w="510" w:type="dxa"/>
          </w:tcPr>
          <w:p w14:paraId="56B8D12D" w14:textId="77777777" w:rsidR="00862E38" w:rsidRPr="001268FD" w:rsidRDefault="00862E38" w:rsidP="003D53B0">
            <w:pPr>
              <w:rPr>
                <w:rFonts w:cs="Arial"/>
                <w:b/>
              </w:rPr>
            </w:pPr>
          </w:p>
        </w:tc>
        <w:tc>
          <w:tcPr>
            <w:tcW w:w="510" w:type="dxa"/>
          </w:tcPr>
          <w:p w14:paraId="0B3D7C59" w14:textId="77777777" w:rsidR="00862E38" w:rsidRPr="001268FD" w:rsidRDefault="00862E38" w:rsidP="003D53B0">
            <w:pPr>
              <w:rPr>
                <w:rFonts w:cs="Arial"/>
                <w:b/>
              </w:rPr>
            </w:pPr>
          </w:p>
        </w:tc>
        <w:tc>
          <w:tcPr>
            <w:tcW w:w="510" w:type="dxa"/>
          </w:tcPr>
          <w:p w14:paraId="50D8235E" w14:textId="77777777" w:rsidR="00862E38" w:rsidRPr="001268FD" w:rsidRDefault="00862E38" w:rsidP="003D53B0">
            <w:pPr>
              <w:rPr>
                <w:rFonts w:cs="Arial"/>
                <w:b/>
              </w:rPr>
            </w:pPr>
          </w:p>
        </w:tc>
        <w:tc>
          <w:tcPr>
            <w:tcW w:w="510" w:type="dxa"/>
          </w:tcPr>
          <w:p w14:paraId="0ED1C077" w14:textId="77777777" w:rsidR="00862E38" w:rsidRPr="001268FD" w:rsidRDefault="00862E38" w:rsidP="003D53B0">
            <w:pPr>
              <w:rPr>
                <w:rFonts w:cs="Arial"/>
                <w:b/>
              </w:rPr>
            </w:pPr>
          </w:p>
        </w:tc>
        <w:tc>
          <w:tcPr>
            <w:tcW w:w="510" w:type="dxa"/>
          </w:tcPr>
          <w:p w14:paraId="1FD15D9D" w14:textId="77777777" w:rsidR="00862E38" w:rsidRPr="001268FD" w:rsidRDefault="00862E38" w:rsidP="003D53B0">
            <w:pPr>
              <w:rPr>
                <w:rFonts w:cs="Arial"/>
                <w:b/>
              </w:rPr>
            </w:pPr>
          </w:p>
        </w:tc>
        <w:tc>
          <w:tcPr>
            <w:tcW w:w="510" w:type="dxa"/>
          </w:tcPr>
          <w:p w14:paraId="3E011558" w14:textId="77777777" w:rsidR="00862E38" w:rsidRPr="001268FD" w:rsidRDefault="00862E38" w:rsidP="003D53B0">
            <w:pPr>
              <w:rPr>
                <w:rFonts w:cs="Arial"/>
                <w:b/>
              </w:rPr>
            </w:pPr>
          </w:p>
        </w:tc>
        <w:tc>
          <w:tcPr>
            <w:tcW w:w="510" w:type="dxa"/>
          </w:tcPr>
          <w:p w14:paraId="4A9CAB7B" w14:textId="77777777" w:rsidR="00862E38" w:rsidRPr="001268FD" w:rsidRDefault="00862E38" w:rsidP="003D53B0">
            <w:pPr>
              <w:rPr>
                <w:rFonts w:cs="Arial"/>
                <w:b/>
              </w:rPr>
            </w:pPr>
          </w:p>
        </w:tc>
        <w:tc>
          <w:tcPr>
            <w:tcW w:w="510" w:type="dxa"/>
          </w:tcPr>
          <w:p w14:paraId="776B77B4" w14:textId="77777777" w:rsidR="00862E38" w:rsidRPr="001268FD" w:rsidRDefault="00862E38" w:rsidP="003D53B0">
            <w:pPr>
              <w:rPr>
                <w:rFonts w:cs="Arial"/>
                <w:b/>
              </w:rPr>
            </w:pPr>
          </w:p>
        </w:tc>
        <w:tc>
          <w:tcPr>
            <w:tcW w:w="510" w:type="dxa"/>
          </w:tcPr>
          <w:p w14:paraId="70DC356A" w14:textId="77777777" w:rsidR="00862E38" w:rsidRPr="001268FD" w:rsidRDefault="00862E38" w:rsidP="003D53B0">
            <w:pPr>
              <w:rPr>
                <w:rFonts w:cs="Arial"/>
                <w:b/>
              </w:rPr>
            </w:pPr>
          </w:p>
        </w:tc>
        <w:tc>
          <w:tcPr>
            <w:tcW w:w="510" w:type="dxa"/>
          </w:tcPr>
          <w:p w14:paraId="4AFA1B9E" w14:textId="77777777" w:rsidR="00862E38" w:rsidRPr="001268FD" w:rsidRDefault="00862E38" w:rsidP="003D53B0">
            <w:pPr>
              <w:rPr>
                <w:rFonts w:cs="Arial"/>
                <w:b/>
              </w:rPr>
            </w:pPr>
          </w:p>
        </w:tc>
        <w:tc>
          <w:tcPr>
            <w:tcW w:w="510" w:type="dxa"/>
          </w:tcPr>
          <w:p w14:paraId="78025CD4" w14:textId="77777777" w:rsidR="00862E38" w:rsidRPr="001268FD" w:rsidRDefault="00862E38" w:rsidP="003D53B0">
            <w:pPr>
              <w:rPr>
                <w:rFonts w:cs="Arial"/>
                <w:b/>
              </w:rPr>
            </w:pPr>
          </w:p>
        </w:tc>
      </w:tr>
      <w:tr w:rsidR="00862E38" w:rsidRPr="001268FD" w14:paraId="27FFDDD0" w14:textId="77777777" w:rsidTr="003D53B0">
        <w:trPr>
          <w:trHeight w:val="510"/>
        </w:trPr>
        <w:tc>
          <w:tcPr>
            <w:tcW w:w="1985" w:type="dxa"/>
            <w:vAlign w:val="center"/>
          </w:tcPr>
          <w:p w14:paraId="3A0CB24C" w14:textId="77777777" w:rsidR="00862E38" w:rsidRPr="001268FD" w:rsidRDefault="00862E38" w:rsidP="003D53B0">
            <w:pPr>
              <w:rPr>
                <w:rFonts w:cs="Arial"/>
                <w:b/>
                <w:sz w:val="22"/>
              </w:rPr>
            </w:pPr>
            <w:r w:rsidRPr="001268FD">
              <w:rPr>
                <w:rFonts w:cs="Arial"/>
                <w:b/>
                <w:sz w:val="22"/>
              </w:rPr>
              <w:t>Operational</w:t>
            </w:r>
          </w:p>
        </w:tc>
        <w:tc>
          <w:tcPr>
            <w:tcW w:w="510" w:type="dxa"/>
          </w:tcPr>
          <w:p w14:paraId="1420E461" w14:textId="77777777" w:rsidR="00862E38" w:rsidRPr="001268FD" w:rsidRDefault="00862E38" w:rsidP="003D53B0">
            <w:pPr>
              <w:jc w:val="center"/>
              <w:rPr>
                <w:rFonts w:cs="Arial"/>
                <w:b/>
              </w:rPr>
            </w:pPr>
          </w:p>
        </w:tc>
        <w:tc>
          <w:tcPr>
            <w:tcW w:w="510" w:type="dxa"/>
          </w:tcPr>
          <w:p w14:paraId="4CE61DC0" w14:textId="77777777" w:rsidR="00862E38" w:rsidRPr="001268FD" w:rsidRDefault="00862E38" w:rsidP="003D53B0">
            <w:pPr>
              <w:rPr>
                <w:rFonts w:cs="Arial"/>
                <w:b/>
              </w:rPr>
            </w:pPr>
          </w:p>
        </w:tc>
        <w:tc>
          <w:tcPr>
            <w:tcW w:w="510" w:type="dxa"/>
          </w:tcPr>
          <w:p w14:paraId="331037A7" w14:textId="77777777" w:rsidR="00862E38" w:rsidRPr="001268FD" w:rsidRDefault="00862E38" w:rsidP="003D53B0">
            <w:pPr>
              <w:rPr>
                <w:rFonts w:cs="Arial"/>
                <w:b/>
              </w:rPr>
            </w:pPr>
          </w:p>
        </w:tc>
        <w:tc>
          <w:tcPr>
            <w:tcW w:w="510" w:type="dxa"/>
          </w:tcPr>
          <w:p w14:paraId="1033C089" w14:textId="77777777" w:rsidR="00862E38" w:rsidRPr="001268FD" w:rsidRDefault="00862E38" w:rsidP="003D53B0">
            <w:pPr>
              <w:rPr>
                <w:rFonts w:cs="Arial"/>
                <w:b/>
              </w:rPr>
            </w:pPr>
          </w:p>
        </w:tc>
        <w:tc>
          <w:tcPr>
            <w:tcW w:w="510" w:type="dxa"/>
          </w:tcPr>
          <w:p w14:paraId="2C6E0A75" w14:textId="77777777" w:rsidR="00862E38" w:rsidRPr="001268FD" w:rsidRDefault="00862E38" w:rsidP="003D53B0">
            <w:pPr>
              <w:rPr>
                <w:rFonts w:cs="Arial"/>
                <w:b/>
              </w:rPr>
            </w:pPr>
          </w:p>
        </w:tc>
        <w:tc>
          <w:tcPr>
            <w:tcW w:w="510" w:type="dxa"/>
          </w:tcPr>
          <w:p w14:paraId="1493F74F" w14:textId="77777777" w:rsidR="00862E38" w:rsidRPr="001268FD" w:rsidRDefault="00862E38" w:rsidP="003D53B0">
            <w:pPr>
              <w:rPr>
                <w:rFonts w:cs="Arial"/>
                <w:b/>
              </w:rPr>
            </w:pPr>
          </w:p>
        </w:tc>
        <w:tc>
          <w:tcPr>
            <w:tcW w:w="510" w:type="dxa"/>
          </w:tcPr>
          <w:p w14:paraId="0B834C26" w14:textId="77777777" w:rsidR="00862E38" w:rsidRPr="001268FD" w:rsidRDefault="00862E38" w:rsidP="003D53B0">
            <w:pPr>
              <w:rPr>
                <w:rFonts w:cs="Arial"/>
                <w:b/>
              </w:rPr>
            </w:pPr>
          </w:p>
        </w:tc>
        <w:tc>
          <w:tcPr>
            <w:tcW w:w="510" w:type="dxa"/>
          </w:tcPr>
          <w:p w14:paraId="470CF4FE" w14:textId="77777777" w:rsidR="00862E38" w:rsidRPr="001268FD" w:rsidRDefault="00862E38" w:rsidP="003D53B0">
            <w:pPr>
              <w:rPr>
                <w:rFonts w:cs="Arial"/>
                <w:b/>
              </w:rPr>
            </w:pPr>
          </w:p>
        </w:tc>
        <w:tc>
          <w:tcPr>
            <w:tcW w:w="510" w:type="dxa"/>
          </w:tcPr>
          <w:p w14:paraId="571F8E09" w14:textId="77777777" w:rsidR="00862E38" w:rsidRPr="001268FD" w:rsidRDefault="00862E38" w:rsidP="003D53B0">
            <w:pPr>
              <w:rPr>
                <w:rFonts w:cs="Arial"/>
                <w:b/>
              </w:rPr>
            </w:pPr>
          </w:p>
        </w:tc>
        <w:tc>
          <w:tcPr>
            <w:tcW w:w="510" w:type="dxa"/>
          </w:tcPr>
          <w:p w14:paraId="7098E055" w14:textId="77777777" w:rsidR="00862E38" w:rsidRPr="001268FD" w:rsidRDefault="00862E38" w:rsidP="003D53B0">
            <w:pPr>
              <w:rPr>
                <w:rFonts w:cs="Arial"/>
                <w:b/>
              </w:rPr>
            </w:pPr>
          </w:p>
        </w:tc>
        <w:tc>
          <w:tcPr>
            <w:tcW w:w="510" w:type="dxa"/>
          </w:tcPr>
          <w:p w14:paraId="33E320C1" w14:textId="77777777" w:rsidR="00862E38" w:rsidRPr="001268FD" w:rsidRDefault="00862E38" w:rsidP="003D53B0">
            <w:pPr>
              <w:rPr>
                <w:rFonts w:cs="Arial"/>
                <w:b/>
              </w:rPr>
            </w:pPr>
          </w:p>
        </w:tc>
        <w:tc>
          <w:tcPr>
            <w:tcW w:w="510" w:type="dxa"/>
          </w:tcPr>
          <w:p w14:paraId="2B6C59F7" w14:textId="77777777" w:rsidR="00862E38" w:rsidRPr="001268FD" w:rsidRDefault="00862E38" w:rsidP="003D53B0">
            <w:pPr>
              <w:rPr>
                <w:rFonts w:cs="Arial"/>
                <w:b/>
              </w:rPr>
            </w:pPr>
          </w:p>
        </w:tc>
        <w:tc>
          <w:tcPr>
            <w:tcW w:w="510" w:type="dxa"/>
          </w:tcPr>
          <w:p w14:paraId="76C42800" w14:textId="77777777" w:rsidR="00862E38" w:rsidRPr="001268FD" w:rsidRDefault="00862E38" w:rsidP="003D53B0">
            <w:pPr>
              <w:rPr>
                <w:rFonts w:cs="Arial"/>
                <w:b/>
              </w:rPr>
            </w:pPr>
            <w:r w:rsidRPr="001268FD">
              <w:rPr>
                <w:noProof/>
                <w:szCs w:val="24"/>
              </w:rPr>
              <mc:AlternateContent>
                <mc:Choice Requires="wps">
                  <w:drawing>
                    <wp:anchor distT="0" distB="0" distL="114300" distR="114300" simplePos="0" relativeHeight="251660288" behindDoc="0" locked="0" layoutInCell="1" allowOverlap="1" wp14:anchorId="41A7F2A1" wp14:editId="6313E8AC">
                      <wp:simplePos x="0" y="0"/>
                      <wp:positionH relativeFrom="column">
                        <wp:posOffset>237490</wp:posOffset>
                      </wp:positionH>
                      <wp:positionV relativeFrom="page">
                        <wp:posOffset>54610</wp:posOffset>
                      </wp:positionV>
                      <wp:extent cx="1314450" cy="247650"/>
                      <wp:effectExtent l="0" t="0" r="0" b="0"/>
                      <wp:wrapNone/>
                      <wp:docPr id="93" name="Rectangle 93"/>
                      <wp:cNvGraphicFramePr/>
                      <a:graphic xmlns:a="http://schemas.openxmlformats.org/drawingml/2006/main">
                        <a:graphicData uri="http://schemas.microsoft.com/office/word/2010/wordprocessingShape">
                          <wps:wsp>
                            <wps:cNvSpPr/>
                            <wps:spPr>
                              <a:xfrm>
                                <a:off x="0" y="0"/>
                                <a:ext cx="1314450" cy="247650"/>
                              </a:xfrm>
                              <a:prstGeom prst="rect">
                                <a:avLst/>
                              </a:prstGeom>
                              <a:gradFill flip="none" rotWithShape="1">
                                <a:gsLst>
                                  <a:gs pos="0">
                                    <a:srgbClr val="00B050"/>
                                  </a:gs>
                                  <a:gs pos="25000">
                                    <a:srgbClr val="FFFF00"/>
                                  </a:gs>
                                  <a:gs pos="36000">
                                    <a:srgbClr val="FFFF00"/>
                                  </a:gs>
                                  <a:gs pos="68000">
                                    <a:srgbClr val="FFC000"/>
                                  </a:gs>
                                  <a:gs pos="100000">
                                    <a:srgbClr val="FF0000"/>
                                  </a:gs>
                                </a:gsLst>
                                <a:path path="circle">
                                  <a:fillToRect t="100000" r="100000"/>
                                </a:path>
                                <a:tileRect l="-100000" b="-100000"/>
                              </a:gradFill>
                              <a:ln w="25400" cap="flat" cmpd="sng" algn="ctr">
                                <a:noFill/>
                                <a:prstDash val="solid"/>
                              </a:ln>
                              <a:effectLst/>
                            </wps:spPr>
                            <wps:txbx>
                              <w:txbxContent>
                                <w:p w14:paraId="664F2344" w14:textId="77777777" w:rsidR="00862E38" w:rsidRPr="00EF05E6" w:rsidRDefault="00862E38" w:rsidP="00862E38">
                                  <w:pPr>
                                    <w:jc w:val="center"/>
                                    <w:rPr>
                                      <w:color w:val="000000" w:themeColor="text1"/>
                                      <w:sz w:val="20"/>
                                    </w:rPr>
                                  </w:pPr>
                                  <w:r w:rsidRPr="00EF05E6">
                                    <w:rPr>
                                      <w:color w:val="000000" w:themeColor="text1"/>
                                      <w:sz w:val="20"/>
                                    </w:rPr>
                                    <w:t>Manageable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7F2A1" id="Rectangle 93" o:spid="_x0000_s1028" style="position:absolute;margin-left:18.7pt;margin-top:4.3pt;width:10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" fillcolor="#00b050" stroked="f" strokeweight="2pt">
                      <v:fill color2="red" rotate="t" focusposition=",1" focussize="" colors="0 #00b050;.25 yellow;23593f yellow;44564f #ffc000;1 red" focus="100%" type="gradientRadial"/>
                      <v:textbox inset="0,0,0,0">
                        <w:txbxContent>
                          <w:p w14:paraId="664F2344" w14:textId="77777777" w:rsidR="00862E38" w:rsidRPr="00EF05E6" w:rsidRDefault="00862E38" w:rsidP="00862E38">
                            <w:pPr>
                              <w:jc w:val="center"/>
                              <w:rPr>
                                <w:color w:val="000000" w:themeColor="text1"/>
                                <w:sz w:val="20"/>
                              </w:rPr>
                            </w:pPr>
                            <w:r w:rsidRPr="00EF05E6">
                              <w:rPr>
                                <w:color w:val="000000" w:themeColor="text1"/>
                                <w:sz w:val="20"/>
                              </w:rPr>
                              <w:t>Manageable</w:t>
                            </w:r>
                          </w:p>
                        </w:txbxContent>
                      </v:textbox>
                      <w10:wrap anchory="page"/>
                    </v:rect>
                  </w:pict>
                </mc:Fallback>
              </mc:AlternateContent>
            </w:r>
          </w:p>
        </w:tc>
        <w:tc>
          <w:tcPr>
            <w:tcW w:w="510" w:type="dxa"/>
          </w:tcPr>
          <w:p w14:paraId="5E3F8EF2" w14:textId="77777777" w:rsidR="00862E38" w:rsidRPr="001268FD" w:rsidRDefault="00862E38" w:rsidP="003D53B0">
            <w:pPr>
              <w:rPr>
                <w:rFonts w:cs="Arial"/>
                <w:b/>
              </w:rPr>
            </w:pPr>
          </w:p>
        </w:tc>
        <w:tc>
          <w:tcPr>
            <w:tcW w:w="510" w:type="dxa"/>
          </w:tcPr>
          <w:p w14:paraId="475BB8FF" w14:textId="77777777" w:rsidR="00862E38" w:rsidRPr="001268FD" w:rsidRDefault="00862E38" w:rsidP="003D53B0">
            <w:pPr>
              <w:rPr>
                <w:rFonts w:cs="Arial"/>
                <w:b/>
              </w:rPr>
            </w:pPr>
          </w:p>
        </w:tc>
        <w:tc>
          <w:tcPr>
            <w:tcW w:w="510" w:type="dxa"/>
          </w:tcPr>
          <w:p w14:paraId="24D4FBBC" w14:textId="77777777" w:rsidR="00862E38" w:rsidRPr="001268FD" w:rsidRDefault="00862E38" w:rsidP="003D53B0">
            <w:pPr>
              <w:rPr>
                <w:rFonts w:cs="Arial"/>
                <w:b/>
              </w:rPr>
            </w:pPr>
          </w:p>
        </w:tc>
        <w:tc>
          <w:tcPr>
            <w:tcW w:w="510" w:type="dxa"/>
          </w:tcPr>
          <w:p w14:paraId="19CA20C2" w14:textId="77777777" w:rsidR="00862E38" w:rsidRPr="001268FD" w:rsidRDefault="00862E38" w:rsidP="003D53B0">
            <w:pPr>
              <w:rPr>
                <w:rFonts w:cs="Arial"/>
                <w:b/>
              </w:rPr>
            </w:pPr>
          </w:p>
        </w:tc>
        <w:tc>
          <w:tcPr>
            <w:tcW w:w="510" w:type="dxa"/>
          </w:tcPr>
          <w:p w14:paraId="7A57748F" w14:textId="77777777" w:rsidR="00862E38" w:rsidRPr="001268FD" w:rsidRDefault="00862E38" w:rsidP="003D53B0">
            <w:pPr>
              <w:rPr>
                <w:rFonts w:cs="Arial"/>
                <w:b/>
              </w:rPr>
            </w:pPr>
          </w:p>
        </w:tc>
        <w:tc>
          <w:tcPr>
            <w:tcW w:w="510" w:type="dxa"/>
          </w:tcPr>
          <w:p w14:paraId="081F9A19" w14:textId="77777777" w:rsidR="00862E38" w:rsidRPr="001268FD" w:rsidRDefault="00862E38" w:rsidP="003D53B0">
            <w:pPr>
              <w:rPr>
                <w:rFonts w:cs="Arial"/>
                <w:b/>
              </w:rPr>
            </w:pPr>
          </w:p>
        </w:tc>
        <w:tc>
          <w:tcPr>
            <w:tcW w:w="510" w:type="dxa"/>
          </w:tcPr>
          <w:p w14:paraId="3F676635" w14:textId="77777777" w:rsidR="00862E38" w:rsidRPr="001268FD" w:rsidRDefault="00862E38" w:rsidP="003D53B0">
            <w:pPr>
              <w:rPr>
                <w:rFonts w:cs="Arial"/>
                <w:b/>
              </w:rPr>
            </w:pPr>
          </w:p>
        </w:tc>
        <w:tc>
          <w:tcPr>
            <w:tcW w:w="510" w:type="dxa"/>
          </w:tcPr>
          <w:p w14:paraId="7CC8D0C6" w14:textId="77777777" w:rsidR="00862E38" w:rsidRPr="001268FD" w:rsidRDefault="00862E38" w:rsidP="003D53B0">
            <w:pPr>
              <w:rPr>
                <w:rFonts w:cs="Arial"/>
                <w:b/>
              </w:rPr>
            </w:pPr>
          </w:p>
        </w:tc>
        <w:tc>
          <w:tcPr>
            <w:tcW w:w="510" w:type="dxa"/>
          </w:tcPr>
          <w:p w14:paraId="3EFE2DBF" w14:textId="77777777" w:rsidR="00862E38" w:rsidRPr="001268FD" w:rsidRDefault="00862E38" w:rsidP="003D53B0">
            <w:pPr>
              <w:rPr>
                <w:rFonts w:cs="Arial"/>
                <w:b/>
              </w:rPr>
            </w:pPr>
          </w:p>
        </w:tc>
        <w:tc>
          <w:tcPr>
            <w:tcW w:w="510" w:type="dxa"/>
          </w:tcPr>
          <w:p w14:paraId="382DCEEE" w14:textId="77777777" w:rsidR="00862E38" w:rsidRPr="001268FD" w:rsidRDefault="00862E38" w:rsidP="003D53B0">
            <w:pPr>
              <w:rPr>
                <w:rFonts w:cs="Arial"/>
                <w:b/>
              </w:rPr>
            </w:pPr>
          </w:p>
        </w:tc>
        <w:tc>
          <w:tcPr>
            <w:tcW w:w="510" w:type="dxa"/>
          </w:tcPr>
          <w:p w14:paraId="5068526F" w14:textId="77777777" w:rsidR="00862E38" w:rsidRPr="001268FD" w:rsidRDefault="00862E38" w:rsidP="003D53B0">
            <w:pPr>
              <w:rPr>
                <w:rFonts w:cs="Arial"/>
                <w:b/>
              </w:rPr>
            </w:pPr>
          </w:p>
        </w:tc>
        <w:tc>
          <w:tcPr>
            <w:tcW w:w="510" w:type="dxa"/>
          </w:tcPr>
          <w:p w14:paraId="4D2F3B39" w14:textId="77777777" w:rsidR="00862E38" w:rsidRPr="001268FD" w:rsidRDefault="00862E38" w:rsidP="003D53B0">
            <w:pPr>
              <w:rPr>
                <w:rFonts w:cs="Arial"/>
                <w:b/>
              </w:rPr>
            </w:pPr>
          </w:p>
        </w:tc>
      </w:tr>
      <w:tr w:rsidR="00862E38" w:rsidRPr="001268FD" w14:paraId="459AB71D" w14:textId="77777777" w:rsidTr="003D53B0">
        <w:trPr>
          <w:trHeight w:val="510"/>
        </w:trPr>
        <w:tc>
          <w:tcPr>
            <w:tcW w:w="1985" w:type="dxa"/>
            <w:vAlign w:val="center"/>
          </w:tcPr>
          <w:p w14:paraId="1DED41D1" w14:textId="77777777" w:rsidR="00862E38" w:rsidRPr="001268FD" w:rsidRDefault="00862E38" w:rsidP="003D53B0">
            <w:pPr>
              <w:rPr>
                <w:rFonts w:cs="Arial"/>
                <w:b/>
                <w:sz w:val="22"/>
              </w:rPr>
            </w:pPr>
            <w:r w:rsidRPr="001268FD">
              <w:rPr>
                <w:rFonts w:cs="Arial"/>
                <w:b/>
                <w:sz w:val="22"/>
              </w:rPr>
              <w:t>Resources</w:t>
            </w:r>
          </w:p>
        </w:tc>
        <w:tc>
          <w:tcPr>
            <w:tcW w:w="510" w:type="dxa"/>
          </w:tcPr>
          <w:p w14:paraId="3202ACD1" w14:textId="77777777" w:rsidR="00862E38" w:rsidRPr="001268FD" w:rsidRDefault="00862E38" w:rsidP="003D53B0">
            <w:pPr>
              <w:jc w:val="center"/>
              <w:rPr>
                <w:rFonts w:cs="Arial"/>
                <w:b/>
              </w:rPr>
            </w:pPr>
          </w:p>
        </w:tc>
        <w:tc>
          <w:tcPr>
            <w:tcW w:w="510" w:type="dxa"/>
          </w:tcPr>
          <w:p w14:paraId="2BACA91D" w14:textId="77777777" w:rsidR="00862E38" w:rsidRPr="001268FD" w:rsidRDefault="00862E38" w:rsidP="003D53B0">
            <w:pPr>
              <w:rPr>
                <w:rFonts w:cs="Arial"/>
                <w:b/>
              </w:rPr>
            </w:pPr>
          </w:p>
        </w:tc>
        <w:tc>
          <w:tcPr>
            <w:tcW w:w="510" w:type="dxa"/>
          </w:tcPr>
          <w:p w14:paraId="19E0998D" w14:textId="77777777" w:rsidR="00862E38" w:rsidRPr="001268FD" w:rsidRDefault="00862E38" w:rsidP="003D53B0">
            <w:pPr>
              <w:rPr>
                <w:rFonts w:cs="Arial"/>
                <w:b/>
              </w:rPr>
            </w:pPr>
          </w:p>
        </w:tc>
        <w:tc>
          <w:tcPr>
            <w:tcW w:w="510" w:type="dxa"/>
          </w:tcPr>
          <w:p w14:paraId="586F6BCC" w14:textId="77777777" w:rsidR="00862E38" w:rsidRPr="001268FD" w:rsidRDefault="00862E38" w:rsidP="003D53B0">
            <w:pPr>
              <w:rPr>
                <w:rFonts w:cs="Arial"/>
                <w:b/>
              </w:rPr>
            </w:pPr>
          </w:p>
        </w:tc>
        <w:tc>
          <w:tcPr>
            <w:tcW w:w="510" w:type="dxa"/>
          </w:tcPr>
          <w:p w14:paraId="45874614" w14:textId="77777777" w:rsidR="00862E38" w:rsidRPr="001268FD" w:rsidRDefault="00862E38" w:rsidP="003D53B0">
            <w:pPr>
              <w:rPr>
                <w:rFonts w:cs="Arial"/>
                <w:b/>
              </w:rPr>
            </w:pPr>
          </w:p>
        </w:tc>
        <w:tc>
          <w:tcPr>
            <w:tcW w:w="510" w:type="dxa"/>
          </w:tcPr>
          <w:p w14:paraId="7198465A" w14:textId="77777777" w:rsidR="00862E38" w:rsidRPr="001268FD" w:rsidRDefault="00862E38" w:rsidP="003D53B0">
            <w:pPr>
              <w:rPr>
                <w:rFonts w:cs="Arial"/>
                <w:b/>
              </w:rPr>
            </w:pPr>
          </w:p>
        </w:tc>
        <w:tc>
          <w:tcPr>
            <w:tcW w:w="510" w:type="dxa"/>
          </w:tcPr>
          <w:p w14:paraId="79CFE9C5" w14:textId="77777777" w:rsidR="00862E38" w:rsidRPr="001268FD" w:rsidRDefault="00862E38" w:rsidP="003D53B0">
            <w:pPr>
              <w:rPr>
                <w:rFonts w:cs="Arial"/>
                <w:b/>
              </w:rPr>
            </w:pPr>
          </w:p>
        </w:tc>
        <w:tc>
          <w:tcPr>
            <w:tcW w:w="510" w:type="dxa"/>
          </w:tcPr>
          <w:p w14:paraId="38482D2B" w14:textId="77777777" w:rsidR="00862E38" w:rsidRPr="001268FD" w:rsidRDefault="00862E38" w:rsidP="003D53B0">
            <w:pPr>
              <w:rPr>
                <w:rFonts w:cs="Arial"/>
                <w:b/>
              </w:rPr>
            </w:pPr>
          </w:p>
        </w:tc>
        <w:tc>
          <w:tcPr>
            <w:tcW w:w="510" w:type="dxa"/>
          </w:tcPr>
          <w:p w14:paraId="43F9952D" w14:textId="77777777" w:rsidR="00862E38" w:rsidRPr="001268FD" w:rsidRDefault="00862E38" w:rsidP="003D53B0">
            <w:pPr>
              <w:rPr>
                <w:rFonts w:cs="Arial"/>
                <w:b/>
              </w:rPr>
            </w:pPr>
          </w:p>
        </w:tc>
        <w:tc>
          <w:tcPr>
            <w:tcW w:w="510" w:type="dxa"/>
          </w:tcPr>
          <w:p w14:paraId="58DCAEEC" w14:textId="77777777" w:rsidR="00862E38" w:rsidRPr="001268FD" w:rsidRDefault="00862E38" w:rsidP="003D53B0">
            <w:pPr>
              <w:rPr>
                <w:rFonts w:cs="Arial"/>
                <w:b/>
              </w:rPr>
            </w:pPr>
          </w:p>
        </w:tc>
        <w:tc>
          <w:tcPr>
            <w:tcW w:w="510" w:type="dxa"/>
          </w:tcPr>
          <w:p w14:paraId="252F69D4" w14:textId="77777777" w:rsidR="00862E38" w:rsidRPr="001268FD" w:rsidRDefault="00862E38" w:rsidP="003D53B0">
            <w:pPr>
              <w:rPr>
                <w:rFonts w:cs="Arial"/>
                <w:b/>
              </w:rPr>
            </w:pPr>
          </w:p>
        </w:tc>
        <w:tc>
          <w:tcPr>
            <w:tcW w:w="510" w:type="dxa"/>
          </w:tcPr>
          <w:p w14:paraId="26FBB88B" w14:textId="77777777" w:rsidR="00862E38" w:rsidRPr="001268FD" w:rsidRDefault="00862E38" w:rsidP="003D53B0">
            <w:pPr>
              <w:rPr>
                <w:rFonts w:cs="Arial"/>
                <w:b/>
              </w:rPr>
            </w:pPr>
            <w:r w:rsidRPr="001268FD">
              <w:rPr>
                <w:noProof/>
                <w:szCs w:val="24"/>
              </w:rPr>
              <mc:AlternateContent>
                <mc:Choice Requires="wps">
                  <w:drawing>
                    <wp:anchor distT="0" distB="0" distL="114300" distR="114300" simplePos="0" relativeHeight="251663360" behindDoc="0" locked="0" layoutInCell="1" allowOverlap="1" wp14:anchorId="0DD1F4B1" wp14:editId="4AA4D47C">
                      <wp:simplePos x="0" y="0"/>
                      <wp:positionH relativeFrom="column">
                        <wp:posOffset>-66040</wp:posOffset>
                      </wp:positionH>
                      <wp:positionV relativeFrom="page">
                        <wp:posOffset>63500</wp:posOffset>
                      </wp:positionV>
                      <wp:extent cx="1600200" cy="247650"/>
                      <wp:effectExtent l="0" t="0" r="0" b="0"/>
                      <wp:wrapNone/>
                      <wp:docPr id="95" name="Rectangle 95"/>
                      <wp:cNvGraphicFramePr/>
                      <a:graphic xmlns:a="http://schemas.openxmlformats.org/drawingml/2006/main">
                        <a:graphicData uri="http://schemas.microsoft.com/office/word/2010/wordprocessingShape">
                          <wps:wsp>
                            <wps:cNvSpPr/>
                            <wps:spPr>
                              <a:xfrm>
                                <a:off x="0" y="0"/>
                                <a:ext cx="1600200" cy="247650"/>
                              </a:xfrm>
                              <a:prstGeom prst="rect">
                                <a:avLst/>
                              </a:prstGeom>
                              <a:gradFill flip="none" rotWithShape="1">
                                <a:gsLst>
                                  <a:gs pos="0">
                                    <a:srgbClr val="00B050"/>
                                  </a:gs>
                                  <a:gs pos="25000">
                                    <a:srgbClr val="FFFF00"/>
                                  </a:gs>
                                  <a:gs pos="36000">
                                    <a:srgbClr val="FFFF00"/>
                                  </a:gs>
                                  <a:gs pos="68000">
                                    <a:srgbClr val="FFC000"/>
                                  </a:gs>
                                  <a:gs pos="100000">
                                    <a:srgbClr val="FF0000"/>
                                  </a:gs>
                                </a:gsLst>
                                <a:path path="circle">
                                  <a:fillToRect t="100000" r="100000"/>
                                </a:path>
                                <a:tileRect l="-100000" b="-100000"/>
                              </a:gradFill>
                              <a:ln w="25400" cap="flat" cmpd="sng" algn="ctr">
                                <a:noFill/>
                                <a:prstDash val="solid"/>
                              </a:ln>
                              <a:effectLst/>
                            </wps:spPr>
                            <wps:txbx>
                              <w:txbxContent>
                                <w:p w14:paraId="3C9C7BAB" w14:textId="77777777" w:rsidR="00862E38" w:rsidRPr="00EF05E6" w:rsidRDefault="00862E38" w:rsidP="00862E38">
                                  <w:pPr>
                                    <w:jc w:val="center"/>
                                    <w:rPr>
                                      <w:color w:val="000000" w:themeColor="text1"/>
                                      <w:sz w:val="20"/>
                                    </w:rPr>
                                  </w:pPr>
                                  <w:r w:rsidRPr="00EF05E6">
                                    <w:rPr>
                                      <w:color w:val="000000" w:themeColor="text1"/>
                                      <w:sz w:val="20"/>
                                    </w:rPr>
                                    <w:t>Manageable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1F4B1" id="Rectangle 95" o:spid="_x0000_s1029" style="position:absolute;margin-left:-5.2pt;margin-top:5pt;width:126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" fillcolor="#00b050" stroked="f" strokeweight="2pt">
                      <v:fill color2="red" rotate="t" focusposition=",1" focussize="" colors="0 #00b050;.25 yellow;23593f yellow;44564f #ffc000;1 red" focus="100%" type="gradientRadial"/>
                      <v:textbox inset="0,0,0,0">
                        <w:txbxContent>
                          <w:p w14:paraId="3C9C7BAB" w14:textId="77777777" w:rsidR="00862E38" w:rsidRPr="00EF05E6" w:rsidRDefault="00862E38" w:rsidP="00862E38">
                            <w:pPr>
                              <w:jc w:val="center"/>
                              <w:rPr>
                                <w:color w:val="000000" w:themeColor="text1"/>
                                <w:sz w:val="20"/>
                              </w:rPr>
                            </w:pPr>
                            <w:r w:rsidRPr="00EF05E6">
                              <w:rPr>
                                <w:color w:val="000000" w:themeColor="text1"/>
                                <w:sz w:val="20"/>
                              </w:rPr>
                              <w:t>Manageable</w:t>
                            </w:r>
                          </w:p>
                        </w:txbxContent>
                      </v:textbox>
                      <w10:wrap anchory="page"/>
                    </v:rect>
                  </w:pict>
                </mc:Fallback>
              </mc:AlternateContent>
            </w:r>
          </w:p>
        </w:tc>
        <w:tc>
          <w:tcPr>
            <w:tcW w:w="510" w:type="dxa"/>
          </w:tcPr>
          <w:p w14:paraId="21E36DC3" w14:textId="77777777" w:rsidR="00862E38" w:rsidRPr="001268FD" w:rsidRDefault="00862E38" w:rsidP="003D53B0">
            <w:pPr>
              <w:rPr>
                <w:rFonts w:cs="Arial"/>
                <w:b/>
              </w:rPr>
            </w:pPr>
          </w:p>
        </w:tc>
        <w:tc>
          <w:tcPr>
            <w:tcW w:w="510" w:type="dxa"/>
          </w:tcPr>
          <w:p w14:paraId="2CF68D56" w14:textId="77777777" w:rsidR="00862E38" w:rsidRPr="001268FD" w:rsidRDefault="00862E38" w:rsidP="003D53B0">
            <w:pPr>
              <w:rPr>
                <w:rFonts w:cs="Arial"/>
                <w:b/>
              </w:rPr>
            </w:pPr>
          </w:p>
        </w:tc>
        <w:tc>
          <w:tcPr>
            <w:tcW w:w="510" w:type="dxa"/>
          </w:tcPr>
          <w:p w14:paraId="0998D843" w14:textId="77777777" w:rsidR="00862E38" w:rsidRPr="001268FD" w:rsidRDefault="00862E38" w:rsidP="003D53B0">
            <w:pPr>
              <w:rPr>
                <w:rFonts w:cs="Arial"/>
                <w:b/>
              </w:rPr>
            </w:pPr>
          </w:p>
        </w:tc>
        <w:tc>
          <w:tcPr>
            <w:tcW w:w="510" w:type="dxa"/>
          </w:tcPr>
          <w:p w14:paraId="47AD48C6" w14:textId="77777777" w:rsidR="00862E38" w:rsidRPr="001268FD" w:rsidRDefault="00862E38" w:rsidP="003D53B0">
            <w:pPr>
              <w:rPr>
                <w:rFonts w:cs="Arial"/>
                <w:b/>
              </w:rPr>
            </w:pPr>
          </w:p>
        </w:tc>
        <w:tc>
          <w:tcPr>
            <w:tcW w:w="510" w:type="dxa"/>
          </w:tcPr>
          <w:p w14:paraId="5DCDA3E0" w14:textId="77777777" w:rsidR="00862E38" w:rsidRPr="001268FD" w:rsidRDefault="00862E38" w:rsidP="003D53B0">
            <w:pPr>
              <w:rPr>
                <w:rFonts w:cs="Arial"/>
                <w:b/>
              </w:rPr>
            </w:pPr>
          </w:p>
        </w:tc>
        <w:tc>
          <w:tcPr>
            <w:tcW w:w="510" w:type="dxa"/>
          </w:tcPr>
          <w:p w14:paraId="3514C14F" w14:textId="77777777" w:rsidR="00862E38" w:rsidRPr="001268FD" w:rsidRDefault="00862E38" w:rsidP="003D53B0">
            <w:pPr>
              <w:rPr>
                <w:rFonts w:cs="Arial"/>
                <w:b/>
              </w:rPr>
            </w:pPr>
          </w:p>
        </w:tc>
        <w:tc>
          <w:tcPr>
            <w:tcW w:w="510" w:type="dxa"/>
          </w:tcPr>
          <w:p w14:paraId="7848D3FB" w14:textId="77777777" w:rsidR="00862E38" w:rsidRPr="001268FD" w:rsidRDefault="00862E38" w:rsidP="003D53B0">
            <w:pPr>
              <w:rPr>
                <w:rFonts w:cs="Arial"/>
                <w:b/>
              </w:rPr>
            </w:pPr>
          </w:p>
        </w:tc>
        <w:tc>
          <w:tcPr>
            <w:tcW w:w="510" w:type="dxa"/>
          </w:tcPr>
          <w:p w14:paraId="1CF92DAF" w14:textId="77777777" w:rsidR="00862E38" w:rsidRPr="001268FD" w:rsidRDefault="00862E38" w:rsidP="003D53B0">
            <w:pPr>
              <w:rPr>
                <w:rFonts w:cs="Arial"/>
                <w:b/>
              </w:rPr>
            </w:pPr>
          </w:p>
        </w:tc>
        <w:tc>
          <w:tcPr>
            <w:tcW w:w="510" w:type="dxa"/>
          </w:tcPr>
          <w:p w14:paraId="1E5A62D3" w14:textId="77777777" w:rsidR="00862E38" w:rsidRPr="001268FD" w:rsidRDefault="00862E38" w:rsidP="003D53B0">
            <w:pPr>
              <w:rPr>
                <w:rFonts w:cs="Arial"/>
                <w:b/>
              </w:rPr>
            </w:pPr>
          </w:p>
        </w:tc>
        <w:tc>
          <w:tcPr>
            <w:tcW w:w="510" w:type="dxa"/>
          </w:tcPr>
          <w:p w14:paraId="0C8E00BD" w14:textId="77777777" w:rsidR="00862E38" w:rsidRPr="001268FD" w:rsidRDefault="00862E38" w:rsidP="003D53B0">
            <w:pPr>
              <w:rPr>
                <w:rFonts w:cs="Arial"/>
                <w:b/>
              </w:rPr>
            </w:pPr>
          </w:p>
        </w:tc>
        <w:tc>
          <w:tcPr>
            <w:tcW w:w="510" w:type="dxa"/>
          </w:tcPr>
          <w:p w14:paraId="3EBEFC19" w14:textId="77777777" w:rsidR="00862E38" w:rsidRPr="001268FD" w:rsidRDefault="00862E38" w:rsidP="003D53B0">
            <w:pPr>
              <w:rPr>
                <w:rFonts w:cs="Arial"/>
                <w:b/>
              </w:rPr>
            </w:pPr>
          </w:p>
        </w:tc>
        <w:tc>
          <w:tcPr>
            <w:tcW w:w="510" w:type="dxa"/>
          </w:tcPr>
          <w:p w14:paraId="3FDA0FB7" w14:textId="77777777" w:rsidR="00862E38" w:rsidRPr="001268FD" w:rsidRDefault="00862E38" w:rsidP="003D53B0">
            <w:pPr>
              <w:rPr>
                <w:rFonts w:cs="Arial"/>
                <w:b/>
              </w:rPr>
            </w:pPr>
          </w:p>
        </w:tc>
        <w:tc>
          <w:tcPr>
            <w:tcW w:w="510" w:type="dxa"/>
          </w:tcPr>
          <w:p w14:paraId="2B99C802" w14:textId="77777777" w:rsidR="00862E38" w:rsidRPr="001268FD" w:rsidRDefault="00862E38" w:rsidP="003D53B0">
            <w:pPr>
              <w:rPr>
                <w:rFonts w:cs="Arial"/>
                <w:b/>
              </w:rPr>
            </w:pPr>
          </w:p>
        </w:tc>
      </w:tr>
      <w:tr w:rsidR="00862E38" w:rsidRPr="001268FD" w14:paraId="72C322BA" w14:textId="77777777" w:rsidTr="003D53B0">
        <w:trPr>
          <w:trHeight w:val="510"/>
        </w:trPr>
        <w:tc>
          <w:tcPr>
            <w:tcW w:w="1985" w:type="dxa"/>
            <w:vAlign w:val="center"/>
          </w:tcPr>
          <w:p w14:paraId="5B6FAAD3" w14:textId="77777777" w:rsidR="00862E38" w:rsidRPr="001268FD" w:rsidRDefault="00862E38" w:rsidP="003D53B0">
            <w:pPr>
              <w:rPr>
                <w:rFonts w:cs="Arial"/>
                <w:b/>
                <w:sz w:val="22"/>
              </w:rPr>
            </w:pPr>
            <w:r w:rsidRPr="001268FD">
              <w:rPr>
                <w:rFonts w:cs="Arial"/>
                <w:b/>
                <w:sz w:val="22"/>
              </w:rPr>
              <w:t>Reputational</w:t>
            </w:r>
          </w:p>
        </w:tc>
        <w:tc>
          <w:tcPr>
            <w:tcW w:w="510" w:type="dxa"/>
          </w:tcPr>
          <w:p w14:paraId="65F951F1" w14:textId="77777777" w:rsidR="00862E38" w:rsidRPr="001268FD" w:rsidRDefault="00862E38" w:rsidP="003D53B0">
            <w:pPr>
              <w:jc w:val="center"/>
              <w:rPr>
                <w:rFonts w:cs="Arial"/>
                <w:b/>
              </w:rPr>
            </w:pPr>
          </w:p>
        </w:tc>
        <w:tc>
          <w:tcPr>
            <w:tcW w:w="510" w:type="dxa"/>
          </w:tcPr>
          <w:p w14:paraId="28C97CF8" w14:textId="77777777" w:rsidR="00862E38" w:rsidRPr="001268FD" w:rsidRDefault="00862E38" w:rsidP="003D53B0">
            <w:pPr>
              <w:rPr>
                <w:rFonts w:cs="Arial"/>
                <w:b/>
              </w:rPr>
            </w:pPr>
          </w:p>
        </w:tc>
        <w:tc>
          <w:tcPr>
            <w:tcW w:w="510" w:type="dxa"/>
          </w:tcPr>
          <w:p w14:paraId="54CBF795" w14:textId="77777777" w:rsidR="00862E38" w:rsidRPr="001268FD" w:rsidRDefault="00862E38" w:rsidP="003D53B0">
            <w:pPr>
              <w:rPr>
                <w:rFonts w:cs="Arial"/>
                <w:b/>
              </w:rPr>
            </w:pPr>
          </w:p>
        </w:tc>
        <w:tc>
          <w:tcPr>
            <w:tcW w:w="510" w:type="dxa"/>
          </w:tcPr>
          <w:p w14:paraId="2FE5DF87" w14:textId="77777777" w:rsidR="00862E38" w:rsidRPr="001268FD" w:rsidRDefault="00862E38" w:rsidP="003D53B0">
            <w:pPr>
              <w:rPr>
                <w:rFonts w:cs="Arial"/>
                <w:b/>
              </w:rPr>
            </w:pPr>
          </w:p>
        </w:tc>
        <w:tc>
          <w:tcPr>
            <w:tcW w:w="510" w:type="dxa"/>
          </w:tcPr>
          <w:p w14:paraId="20BD1410" w14:textId="77777777" w:rsidR="00862E38" w:rsidRPr="001268FD" w:rsidRDefault="00862E38" w:rsidP="003D53B0">
            <w:pPr>
              <w:rPr>
                <w:rFonts w:cs="Arial"/>
                <w:b/>
              </w:rPr>
            </w:pPr>
          </w:p>
        </w:tc>
        <w:tc>
          <w:tcPr>
            <w:tcW w:w="510" w:type="dxa"/>
          </w:tcPr>
          <w:p w14:paraId="10B7715F" w14:textId="77777777" w:rsidR="00862E38" w:rsidRPr="001268FD" w:rsidRDefault="00862E38" w:rsidP="003D53B0">
            <w:pPr>
              <w:rPr>
                <w:rFonts w:cs="Arial"/>
                <w:b/>
              </w:rPr>
            </w:pPr>
          </w:p>
        </w:tc>
        <w:tc>
          <w:tcPr>
            <w:tcW w:w="510" w:type="dxa"/>
          </w:tcPr>
          <w:p w14:paraId="68850EE5" w14:textId="77777777" w:rsidR="00862E38" w:rsidRPr="001268FD" w:rsidRDefault="00862E38" w:rsidP="003D53B0">
            <w:pPr>
              <w:rPr>
                <w:rFonts w:cs="Arial"/>
                <w:b/>
              </w:rPr>
            </w:pPr>
          </w:p>
        </w:tc>
        <w:tc>
          <w:tcPr>
            <w:tcW w:w="510" w:type="dxa"/>
          </w:tcPr>
          <w:p w14:paraId="539948AC" w14:textId="77777777" w:rsidR="00862E38" w:rsidRPr="001268FD" w:rsidRDefault="00862E38" w:rsidP="003D53B0">
            <w:pPr>
              <w:rPr>
                <w:rFonts w:cs="Arial"/>
                <w:b/>
              </w:rPr>
            </w:pPr>
          </w:p>
        </w:tc>
        <w:tc>
          <w:tcPr>
            <w:tcW w:w="510" w:type="dxa"/>
          </w:tcPr>
          <w:p w14:paraId="3A85D463" w14:textId="77777777" w:rsidR="00862E38" w:rsidRPr="001268FD" w:rsidRDefault="00862E38" w:rsidP="003D53B0">
            <w:pPr>
              <w:rPr>
                <w:rFonts w:cs="Arial"/>
                <w:b/>
              </w:rPr>
            </w:pPr>
          </w:p>
        </w:tc>
        <w:tc>
          <w:tcPr>
            <w:tcW w:w="510" w:type="dxa"/>
          </w:tcPr>
          <w:p w14:paraId="3B31B501" w14:textId="77777777" w:rsidR="00862E38" w:rsidRPr="001268FD" w:rsidRDefault="00862E38" w:rsidP="003D53B0">
            <w:pPr>
              <w:rPr>
                <w:rFonts w:cs="Arial"/>
                <w:b/>
              </w:rPr>
            </w:pPr>
          </w:p>
        </w:tc>
        <w:tc>
          <w:tcPr>
            <w:tcW w:w="510" w:type="dxa"/>
          </w:tcPr>
          <w:p w14:paraId="7CF9B56F" w14:textId="77777777" w:rsidR="00862E38" w:rsidRPr="001268FD" w:rsidRDefault="00862E38" w:rsidP="003D53B0">
            <w:pPr>
              <w:rPr>
                <w:rFonts w:cs="Arial"/>
                <w:b/>
              </w:rPr>
            </w:pPr>
          </w:p>
        </w:tc>
        <w:tc>
          <w:tcPr>
            <w:tcW w:w="510" w:type="dxa"/>
          </w:tcPr>
          <w:p w14:paraId="12B26DDF" w14:textId="77777777" w:rsidR="00862E38" w:rsidRPr="001268FD" w:rsidRDefault="00862E38" w:rsidP="003D53B0">
            <w:pPr>
              <w:rPr>
                <w:rFonts w:cs="Arial"/>
                <w:b/>
              </w:rPr>
            </w:pPr>
            <w:r w:rsidRPr="001268FD">
              <w:rPr>
                <w:noProof/>
                <w:szCs w:val="24"/>
              </w:rPr>
              <mc:AlternateContent>
                <mc:Choice Requires="wps">
                  <w:drawing>
                    <wp:anchor distT="0" distB="0" distL="114300" distR="114300" simplePos="0" relativeHeight="251661312" behindDoc="0" locked="0" layoutInCell="1" allowOverlap="1" wp14:anchorId="30787D01" wp14:editId="19604EAE">
                      <wp:simplePos x="0" y="0"/>
                      <wp:positionH relativeFrom="column">
                        <wp:posOffset>238760</wp:posOffset>
                      </wp:positionH>
                      <wp:positionV relativeFrom="page">
                        <wp:posOffset>48895</wp:posOffset>
                      </wp:positionV>
                      <wp:extent cx="1009650" cy="247650"/>
                      <wp:effectExtent l="0" t="0" r="0" b="0"/>
                      <wp:wrapNone/>
                      <wp:docPr id="94" name="Rectangle 94"/>
                      <wp:cNvGraphicFramePr/>
                      <a:graphic xmlns:a="http://schemas.openxmlformats.org/drawingml/2006/main">
                        <a:graphicData uri="http://schemas.microsoft.com/office/word/2010/wordprocessingShape">
                          <wps:wsp>
                            <wps:cNvSpPr/>
                            <wps:spPr>
                              <a:xfrm>
                                <a:off x="0" y="0"/>
                                <a:ext cx="1009650" cy="247650"/>
                              </a:xfrm>
                              <a:prstGeom prst="rect">
                                <a:avLst/>
                              </a:prstGeom>
                              <a:gradFill flip="none" rotWithShape="1">
                                <a:gsLst>
                                  <a:gs pos="0">
                                    <a:srgbClr val="00B050"/>
                                  </a:gs>
                                  <a:gs pos="25000">
                                    <a:srgbClr val="FFFF00"/>
                                  </a:gs>
                                  <a:gs pos="36000">
                                    <a:srgbClr val="FFFF00"/>
                                  </a:gs>
                                  <a:gs pos="68000">
                                    <a:srgbClr val="FFC000"/>
                                  </a:gs>
                                  <a:gs pos="100000">
                                    <a:srgbClr val="FF0000"/>
                                  </a:gs>
                                </a:gsLst>
                                <a:path path="circle">
                                  <a:fillToRect t="100000" r="100000"/>
                                </a:path>
                                <a:tileRect l="-100000" b="-100000"/>
                              </a:gradFill>
                              <a:ln w="25400" cap="flat" cmpd="sng" algn="ctr">
                                <a:noFill/>
                                <a:prstDash val="solid"/>
                              </a:ln>
                              <a:effectLst/>
                            </wps:spPr>
                            <wps:txbx>
                              <w:txbxContent>
                                <w:p w14:paraId="0F68C714" w14:textId="77777777" w:rsidR="00862E38" w:rsidRPr="00EF05E6" w:rsidRDefault="00862E38" w:rsidP="00862E38">
                                  <w:pPr>
                                    <w:jc w:val="center"/>
                                    <w:rPr>
                                      <w:color w:val="000000" w:themeColor="text1"/>
                                      <w:sz w:val="20"/>
                                    </w:rPr>
                                  </w:pPr>
                                  <w:r w:rsidRPr="00EF05E6">
                                    <w:rPr>
                                      <w:color w:val="000000" w:themeColor="text1"/>
                                      <w:sz w:val="20"/>
                                    </w:rPr>
                                    <w:t>Manageable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87D01" id="Rectangle 94" o:spid="_x0000_s1030" style="position:absolute;margin-left:18.8pt;margin-top:3.85pt;width:7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" fillcolor="#00b050" stroked="f" strokeweight="2pt">
                      <v:fill color2="red" rotate="t" focusposition=",1" focussize="" colors="0 #00b050;.25 yellow;23593f yellow;44564f #ffc000;1 red" focus="100%" type="gradientRadial"/>
                      <v:textbox inset="0,0,0,0">
                        <w:txbxContent>
                          <w:p w14:paraId="0F68C714" w14:textId="77777777" w:rsidR="00862E38" w:rsidRPr="00EF05E6" w:rsidRDefault="00862E38" w:rsidP="00862E38">
                            <w:pPr>
                              <w:jc w:val="center"/>
                              <w:rPr>
                                <w:color w:val="000000" w:themeColor="text1"/>
                                <w:sz w:val="20"/>
                              </w:rPr>
                            </w:pPr>
                            <w:r w:rsidRPr="00EF05E6">
                              <w:rPr>
                                <w:color w:val="000000" w:themeColor="text1"/>
                                <w:sz w:val="20"/>
                              </w:rPr>
                              <w:t>Manageable</w:t>
                            </w:r>
                          </w:p>
                        </w:txbxContent>
                      </v:textbox>
                      <w10:wrap anchory="page"/>
                    </v:rect>
                  </w:pict>
                </mc:Fallback>
              </mc:AlternateContent>
            </w:r>
          </w:p>
        </w:tc>
        <w:tc>
          <w:tcPr>
            <w:tcW w:w="510" w:type="dxa"/>
          </w:tcPr>
          <w:p w14:paraId="622DB1F1" w14:textId="77777777" w:rsidR="00862E38" w:rsidRPr="001268FD" w:rsidRDefault="00862E38" w:rsidP="003D53B0">
            <w:pPr>
              <w:rPr>
                <w:rFonts w:cs="Arial"/>
                <w:b/>
              </w:rPr>
            </w:pPr>
          </w:p>
        </w:tc>
        <w:tc>
          <w:tcPr>
            <w:tcW w:w="510" w:type="dxa"/>
          </w:tcPr>
          <w:p w14:paraId="0E1051A8" w14:textId="77777777" w:rsidR="00862E38" w:rsidRPr="001268FD" w:rsidRDefault="00862E38" w:rsidP="003D53B0">
            <w:pPr>
              <w:rPr>
                <w:rFonts w:cs="Arial"/>
                <w:b/>
              </w:rPr>
            </w:pPr>
          </w:p>
        </w:tc>
        <w:tc>
          <w:tcPr>
            <w:tcW w:w="510" w:type="dxa"/>
          </w:tcPr>
          <w:p w14:paraId="23194B1D" w14:textId="77777777" w:rsidR="00862E38" w:rsidRPr="001268FD" w:rsidRDefault="00862E38" w:rsidP="003D53B0">
            <w:pPr>
              <w:rPr>
                <w:rFonts w:cs="Arial"/>
                <w:b/>
              </w:rPr>
            </w:pPr>
          </w:p>
        </w:tc>
        <w:tc>
          <w:tcPr>
            <w:tcW w:w="510" w:type="dxa"/>
          </w:tcPr>
          <w:p w14:paraId="1C634A0A" w14:textId="77777777" w:rsidR="00862E38" w:rsidRPr="001268FD" w:rsidRDefault="00862E38" w:rsidP="003D53B0">
            <w:pPr>
              <w:rPr>
                <w:rFonts w:cs="Arial"/>
                <w:b/>
              </w:rPr>
            </w:pPr>
          </w:p>
        </w:tc>
        <w:tc>
          <w:tcPr>
            <w:tcW w:w="510" w:type="dxa"/>
          </w:tcPr>
          <w:p w14:paraId="281C2572" w14:textId="77777777" w:rsidR="00862E38" w:rsidRPr="001268FD" w:rsidRDefault="00862E38" w:rsidP="003D53B0">
            <w:pPr>
              <w:rPr>
                <w:rFonts w:cs="Arial"/>
                <w:b/>
              </w:rPr>
            </w:pPr>
          </w:p>
        </w:tc>
        <w:tc>
          <w:tcPr>
            <w:tcW w:w="510" w:type="dxa"/>
          </w:tcPr>
          <w:p w14:paraId="5AD548A6" w14:textId="77777777" w:rsidR="00862E38" w:rsidRPr="001268FD" w:rsidRDefault="00862E38" w:rsidP="003D53B0">
            <w:pPr>
              <w:rPr>
                <w:rFonts w:cs="Arial"/>
                <w:b/>
              </w:rPr>
            </w:pPr>
          </w:p>
        </w:tc>
        <w:tc>
          <w:tcPr>
            <w:tcW w:w="510" w:type="dxa"/>
          </w:tcPr>
          <w:p w14:paraId="4350F806" w14:textId="77777777" w:rsidR="00862E38" w:rsidRPr="001268FD" w:rsidRDefault="00862E38" w:rsidP="003D53B0">
            <w:pPr>
              <w:rPr>
                <w:rFonts w:cs="Arial"/>
                <w:b/>
              </w:rPr>
            </w:pPr>
          </w:p>
        </w:tc>
        <w:tc>
          <w:tcPr>
            <w:tcW w:w="510" w:type="dxa"/>
          </w:tcPr>
          <w:p w14:paraId="1447D15A" w14:textId="77777777" w:rsidR="00862E38" w:rsidRPr="001268FD" w:rsidRDefault="00862E38" w:rsidP="003D53B0">
            <w:pPr>
              <w:rPr>
                <w:rFonts w:cs="Arial"/>
                <w:b/>
              </w:rPr>
            </w:pPr>
          </w:p>
        </w:tc>
        <w:tc>
          <w:tcPr>
            <w:tcW w:w="510" w:type="dxa"/>
          </w:tcPr>
          <w:p w14:paraId="22373500" w14:textId="77777777" w:rsidR="00862E38" w:rsidRPr="001268FD" w:rsidRDefault="00862E38" w:rsidP="003D53B0">
            <w:pPr>
              <w:rPr>
                <w:rFonts w:cs="Arial"/>
                <w:b/>
              </w:rPr>
            </w:pPr>
          </w:p>
        </w:tc>
        <w:tc>
          <w:tcPr>
            <w:tcW w:w="510" w:type="dxa"/>
          </w:tcPr>
          <w:p w14:paraId="3AF90988" w14:textId="77777777" w:rsidR="00862E38" w:rsidRPr="001268FD" w:rsidRDefault="00862E38" w:rsidP="003D53B0">
            <w:pPr>
              <w:rPr>
                <w:rFonts w:cs="Arial"/>
                <w:b/>
              </w:rPr>
            </w:pPr>
          </w:p>
        </w:tc>
        <w:tc>
          <w:tcPr>
            <w:tcW w:w="510" w:type="dxa"/>
          </w:tcPr>
          <w:p w14:paraId="7EEF79A6" w14:textId="77777777" w:rsidR="00862E38" w:rsidRPr="001268FD" w:rsidRDefault="00862E38" w:rsidP="003D53B0">
            <w:pPr>
              <w:rPr>
                <w:rFonts w:cs="Arial"/>
                <w:b/>
              </w:rPr>
            </w:pPr>
          </w:p>
        </w:tc>
        <w:tc>
          <w:tcPr>
            <w:tcW w:w="510" w:type="dxa"/>
          </w:tcPr>
          <w:p w14:paraId="441ACDF0" w14:textId="77777777" w:rsidR="00862E38" w:rsidRPr="001268FD" w:rsidRDefault="00862E38" w:rsidP="003D53B0">
            <w:pPr>
              <w:rPr>
                <w:rFonts w:cs="Arial"/>
                <w:b/>
              </w:rPr>
            </w:pPr>
          </w:p>
        </w:tc>
        <w:tc>
          <w:tcPr>
            <w:tcW w:w="510" w:type="dxa"/>
          </w:tcPr>
          <w:p w14:paraId="535B5B1C" w14:textId="77777777" w:rsidR="00862E38" w:rsidRPr="001268FD" w:rsidRDefault="00862E38" w:rsidP="003D53B0">
            <w:pPr>
              <w:rPr>
                <w:rFonts w:cs="Arial"/>
                <w:b/>
              </w:rPr>
            </w:pPr>
          </w:p>
        </w:tc>
      </w:tr>
    </w:tbl>
    <w:p w14:paraId="43182671" w14:textId="77777777" w:rsidR="00862E38" w:rsidRDefault="00862E38" w:rsidP="00862E38">
      <w:pPr>
        <w:spacing w:after="0"/>
        <w:rPr>
          <w:rFonts w:ascii="Calibri" w:hAnsi="Calibri" w:cs="Calibri"/>
          <w:b/>
          <w:szCs w:val="24"/>
        </w:rPr>
        <w:sectPr w:rsidR="00862E38" w:rsidSect="005B6738">
          <w:headerReference w:type="default" r:id="rId12"/>
          <w:footerReference w:type="default" r:id="rId13"/>
          <w:headerReference w:type="first" r:id="rId14"/>
          <w:footerReference w:type="first" r:id="rId15"/>
          <w:pgSz w:w="16838" w:h="11906" w:orient="landscape"/>
          <w:pgMar w:top="1440" w:right="992" w:bottom="1440" w:left="1440" w:header="425" w:footer="709" w:gutter="0"/>
          <w:cols w:space="708"/>
          <w:docGrid w:linePitch="360"/>
        </w:sectPr>
      </w:pPr>
    </w:p>
    <w:p w14:paraId="1087940C" w14:textId="77777777" w:rsidR="00862E38" w:rsidRPr="00C41CEC" w:rsidRDefault="00862E38" w:rsidP="00862E38">
      <w:pPr>
        <w:spacing w:after="0"/>
        <w:rPr>
          <w:rFonts w:ascii="Calibri" w:hAnsi="Calibri" w:cs="Calibri"/>
          <w:b/>
          <w:szCs w:val="24"/>
        </w:rPr>
      </w:pPr>
      <w:r>
        <w:rPr>
          <w:rFonts w:ascii="Calibri" w:hAnsi="Calibri" w:cs="Calibri"/>
          <w:b/>
          <w:szCs w:val="24"/>
        </w:rPr>
        <w:lastRenderedPageBreak/>
        <w:t>Annex B (</w:t>
      </w:r>
      <w:proofErr w:type="spellStart"/>
      <w:r>
        <w:rPr>
          <w:rFonts w:ascii="Calibri" w:hAnsi="Calibri" w:cs="Calibri"/>
          <w:b/>
          <w:szCs w:val="24"/>
        </w:rPr>
        <w:t>c’tnd</w:t>
      </w:r>
      <w:proofErr w:type="spellEnd"/>
      <w:r>
        <w:rPr>
          <w:rFonts w:ascii="Calibri" w:hAnsi="Calibri" w:cs="Calibri"/>
          <w:b/>
          <w:szCs w:val="24"/>
        </w:rPr>
        <w:t>)</w:t>
      </w:r>
    </w:p>
    <w:p w14:paraId="3C473F6A" w14:textId="77777777" w:rsidR="00862E38" w:rsidRPr="003F195D" w:rsidRDefault="00862E38" w:rsidP="00862E38">
      <w:pPr>
        <w:spacing w:after="0"/>
        <w:rPr>
          <w:rFonts w:ascii="Calibri" w:hAnsi="Calibri" w:cs="Calibri"/>
          <w:b/>
          <w:sz w:val="16"/>
          <w:szCs w:val="16"/>
        </w:rPr>
      </w:pPr>
    </w:p>
    <w:tbl>
      <w:tblPr>
        <w:tblStyle w:val="TableGrid1"/>
        <w:tblW w:w="14709" w:type="dxa"/>
        <w:tblLayout w:type="fixed"/>
        <w:tblLook w:val="04A0" w:firstRow="1" w:lastRow="0" w:firstColumn="1" w:lastColumn="0" w:noHBand="0" w:noVBand="1"/>
        <w:tblCaption w:val="Risk Appetite level description"/>
        <w:tblDescription w:val="Lists the catgories and the levels associated with them and examples of where risks would be considered against each level."/>
      </w:tblPr>
      <w:tblGrid>
        <w:gridCol w:w="2122"/>
        <w:gridCol w:w="2835"/>
        <w:gridCol w:w="3118"/>
        <w:gridCol w:w="3119"/>
        <w:gridCol w:w="3515"/>
      </w:tblGrid>
      <w:tr w:rsidR="00862E38" w:rsidRPr="00C41CEC" w14:paraId="5E4C3F1B" w14:textId="77777777" w:rsidTr="0097304C">
        <w:trPr>
          <w:tblHeader/>
        </w:trPr>
        <w:tc>
          <w:tcPr>
            <w:tcW w:w="2122" w:type="dxa"/>
            <w:shd w:val="clear" w:color="auto" w:fill="C6D9F1" w:themeFill="text2" w:themeFillTint="33"/>
            <w:vAlign w:val="center"/>
          </w:tcPr>
          <w:p w14:paraId="1458A20C" w14:textId="77777777" w:rsidR="00862E38" w:rsidRPr="00760EE0" w:rsidRDefault="00862E38" w:rsidP="003D53B0">
            <w:pPr>
              <w:pStyle w:val="Heading2"/>
              <w:outlineLvl w:val="1"/>
              <w:rPr>
                <w:rFonts w:ascii="Calibri" w:hAnsi="Calibri" w:cs="Calibri"/>
              </w:rPr>
            </w:pPr>
            <w:r w:rsidRPr="00760EE0">
              <w:rPr>
                <w:rFonts w:ascii="Calibri" w:hAnsi="Calibri" w:cs="Calibri"/>
              </w:rPr>
              <w:t xml:space="preserve">Risk Appetite Level </w:t>
            </w:r>
          </w:p>
        </w:tc>
        <w:tc>
          <w:tcPr>
            <w:tcW w:w="2835" w:type="dxa"/>
            <w:shd w:val="clear" w:color="auto" w:fill="00B050"/>
          </w:tcPr>
          <w:p w14:paraId="274D665A" w14:textId="77777777" w:rsidR="00862E38" w:rsidRPr="00760EE0" w:rsidRDefault="00862E38" w:rsidP="003D53B0">
            <w:pPr>
              <w:pStyle w:val="Heading2"/>
              <w:outlineLvl w:val="1"/>
              <w:rPr>
                <w:rFonts w:ascii="Calibri" w:hAnsi="Calibri" w:cs="Calibri"/>
              </w:rPr>
            </w:pPr>
            <w:r w:rsidRPr="00760EE0">
              <w:rPr>
                <w:rFonts w:ascii="Calibri" w:hAnsi="Calibri" w:cs="Calibri"/>
              </w:rPr>
              <w:t>Minimal</w:t>
            </w:r>
          </w:p>
        </w:tc>
        <w:tc>
          <w:tcPr>
            <w:tcW w:w="3118" w:type="dxa"/>
            <w:shd w:val="clear" w:color="auto" w:fill="FFFF00"/>
          </w:tcPr>
          <w:p w14:paraId="5F5C42D1" w14:textId="77777777" w:rsidR="00862E38" w:rsidRPr="00760EE0" w:rsidRDefault="00862E38" w:rsidP="003D53B0">
            <w:pPr>
              <w:pStyle w:val="Heading2"/>
              <w:outlineLvl w:val="1"/>
              <w:rPr>
                <w:rFonts w:ascii="Calibri" w:hAnsi="Calibri" w:cs="Calibri"/>
              </w:rPr>
            </w:pPr>
            <w:r w:rsidRPr="00760EE0">
              <w:rPr>
                <w:rFonts w:ascii="Calibri" w:hAnsi="Calibri" w:cs="Calibri"/>
              </w:rPr>
              <w:t>Cautious</w:t>
            </w:r>
          </w:p>
        </w:tc>
        <w:tc>
          <w:tcPr>
            <w:tcW w:w="3119" w:type="dxa"/>
            <w:shd w:val="clear" w:color="auto" w:fill="FFC000"/>
          </w:tcPr>
          <w:p w14:paraId="717C27A3" w14:textId="77777777" w:rsidR="00862E38" w:rsidRPr="00760EE0" w:rsidRDefault="00862E38" w:rsidP="003D53B0">
            <w:pPr>
              <w:pStyle w:val="Heading2"/>
              <w:outlineLvl w:val="1"/>
              <w:rPr>
                <w:rFonts w:ascii="Calibri" w:hAnsi="Calibri" w:cs="Calibri"/>
              </w:rPr>
            </w:pPr>
            <w:r w:rsidRPr="00760EE0">
              <w:rPr>
                <w:rFonts w:ascii="Calibri" w:hAnsi="Calibri" w:cs="Calibri"/>
              </w:rPr>
              <w:t>Open</w:t>
            </w:r>
          </w:p>
        </w:tc>
        <w:tc>
          <w:tcPr>
            <w:tcW w:w="3515" w:type="dxa"/>
            <w:shd w:val="clear" w:color="auto" w:fill="FF0000"/>
          </w:tcPr>
          <w:p w14:paraId="43097EA4" w14:textId="77777777" w:rsidR="00862E38" w:rsidRPr="00760EE0" w:rsidRDefault="00862E38" w:rsidP="003D53B0">
            <w:pPr>
              <w:pStyle w:val="Heading2"/>
              <w:outlineLvl w:val="1"/>
              <w:rPr>
                <w:rFonts w:ascii="Calibri" w:hAnsi="Calibri" w:cs="Calibri"/>
              </w:rPr>
            </w:pPr>
            <w:r w:rsidRPr="00760EE0">
              <w:rPr>
                <w:rFonts w:ascii="Calibri" w:hAnsi="Calibri" w:cs="Calibri"/>
              </w:rPr>
              <w:t>Hungry</w:t>
            </w:r>
          </w:p>
        </w:tc>
      </w:tr>
      <w:tr w:rsidR="00862E38" w:rsidRPr="00C41CEC" w14:paraId="464715F1" w14:textId="77777777" w:rsidTr="003D53B0">
        <w:tc>
          <w:tcPr>
            <w:tcW w:w="2122" w:type="dxa"/>
            <w:shd w:val="clear" w:color="auto" w:fill="FBD4B4" w:themeFill="accent6" w:themeFillTint="66"/>
            <w:vAlign w:val="center"/>
          </w:tcPr>
          <w:p w14:paraId="2E1DCD5F" w14:textId="77777777" w:rsidR="00862E38" w:rsidRPr="00760EE0" w:rsidRDefault="00862E38" w:rsidP="003D53B0">
            <w:pPr>
              <w:spacing w:after="100" w:afterAutospacing="1"/>
              <w:rPr>
                <w:rFonts w:ascii="Calibri" w:hAnsi="Calibri" w:cs="Calibri"/>
                <w:szCs w:val="24"/>
              </w:rPr>
            </w:pPr>
            <w:r w:rsidRPr="00760EE0">
              <w:rPr>
                <w:rFonts w:ascii="Calibri" w:hAnsi="Calibri" w:cs="Calibri"/>
                <w:szCs w:val="24"/>
              </w:rPr>
              <w:t>Risk Categories</w:t>
            </w:r>
          </w:p>
        </w:tc>
        <w:tc>
          <w:tcPr>
            <w:tcW w:w="2835" w:type="dxa"/>
          </w:tcPr>
          <w:p w14:paraId="485C71D4" w14:textId="77777777" w:rsidR="00862E38" w:rsidRPr="00C41CEC" w:rsidRDefault="00862E38" w:rsidP="003D53B0">
            <w:pPr>
              <w:spacing w:after="-1"/>
              <w:rPr>
                <w:rFonts w:ascii="Calibri" w:hAnsi="Calibri" w:cs="Calibri"/>
                <w:color w:val="00B0F0"/>
                <w:szCs w:val="24"/>
              </w:rPr>
            </w:pPr>
            <w:r w:rsidRPr="00C41CEC">
              <w:rPr>
                <w:rFonts w:ascii="Calibri" w:hAnsi="Calibri" w:cs="Calibri"/>
                <w:color w:val="00B0F0"/>
                <w:szCs w:val="24"/>
              </w:rPr>
              <w:t xml:space="preserve">The main focus is to play it very safe.  A low level of risk taking will always be the overriding concern, accepting this may reduce the potential reward.  </w:t>
            </w:r>
          </w:p>
        </w:tc>
        <w:tc>
          <w:tcPr>
            <w:tcW w:w="3118" w:type="dxa"/>
          </w:tcPr>
          <w:p w14:paraId="1D87B453" w14:textId="77777777" w:rsidR="00862E38" w:rsidRPr="00C41CEC" w:rsidRDefault="00862E38" w:rsidP="003D53B0">
            <w:pPr>
              <w:spacing w:after="-1"/>
              <w:rPr>
                <w:rFonts w:ascii="Calibri" w:hAnsi="Calibri" w:cs="Calibri"/>
                <w:color w:val="00B0F0"/>
                <w:szCs w:val="24"/>
              </w:rPr>
            </w:pPr>
            <w:r w:rsidRPr="00C41CEC">
              <w:rPr>
                <w:rFonts w:ascii="Calibri" w:hAnsi="Calibri" w:cs="Calibri"/>
                <w:color w:val="00B0F0"/>
                <w:szCs w:val="24"/>
              </w:rPr>
              <w:t xml:space="preserve">Preference for safe delivery options but prepared to look at the options and accept a medium level of risk taking that should provide a satisfactory degree of reward.  </w:t>
            </w:r>
          </w:p>
        </w:tc>
        <w:tc>
          <w:tcPr>
            <w:tcW w:w="3119" w:type="dxa"/>
          </w:tcPr>
          <w:p w14:paraId="7A1D939D" w14:textId="77777777" w:rsidR="00862E38" w:rsidRPr="00C41CEC" w:rsidRDefault="00862E38" w:rsidP="003D53B0">
            <w:pPr>
              <w:spacing w:after="-1"/>
              <w:rPr>
                <w:rFonts w:ascii="Calibri" w:hAnsi="Calibri" w:cs="Calibri"/>
                <w:color w:val="00B0F0"/>
                <w:szCs w:val="24"/>
              </w:rPr>
            </w:pPr>
            <w:r w:rsidRPr="00C41CEC">
              <w:rPr>
                <w:rFonts w:ascii="Calibri" w:hAnsi="Calibri" w:cs="Calibri"/>
                <w:color w:val="00B0F0"/>
                <w:szCs w:val="24"/>
              </w:rPr>
              <w:t xml:space="preserve">Willingness to consider all delivery options,  accepting the higher level of risk taking which this could involve but which potentially increases the reward </w:t>
            </w:r>
          </w:p>
        </w:tc>
        <w:tc>
          <w:tcPr>
            <w:tcW w:w="3515" w:type="dxa"/>
          </w:tcPr>
          <w:p w14:paraId="5BB4E877" w14:textId="77777777" w:rsidR="00862E38" w:rsidRPr="00C41CEC" w:rsidRDefault="00862E38" w:rsidP="003D53B0">
            <w:pPr>
              <w:spacing w:after="-1"/>
              <w:rPr>
                <w:rFonts w:ascii="Calibri" w:hAnsi="Calibri" w:cs="Calibri"/>
                <w:color w:val="00B0F0"/>
                <w:szCs w:val="24"/>
              </w:rPr>
            </w:pPr>
            <w:r w:rsidRPr="00C41CEC">
              <w:rPr>
                <w:rFonts w:ascii="Calibri" w:hAnsi="Calibri" w:cs="Calibri"/>
                <w:color w:val="00B0F0"/>
                <w:szCs w:val="24"/>
              </w:rPr>
              <w:t>Eager to pursue all potential delivery options which despite the very high level of risk which this would involve has the potential to maximise the reward.</w:t>
            </w:r>
          </w:p>
        </w:tc>
      </w:tr>
      <w:tr w:rsidR="00862E38" w:rsidRPr="00C41CEC" w14:paraId="2A81B618" w14:textId="77777777" w:rsidTr="003D53B0">
        <w:tc>
          <w:tcPr>
            <w:tcW w:w="2122" w:type="dxa"/>
            <w:shd w:val="clear" w:color="auto" w:fill="FBD4B4" w:themeFill="accent6" w:themeFillTint="66"/>
          </w:tcPr>
          <w:p w14:paraId="302189EE" w14:textId="77777777" w:rsidR="00862E38" w:rsidRDefault="00862E38" w:rsidP="003D53B0">
            <w:pPr>
              <w:spacing w:after="-1"/>
              <w:rPr>
                <w:rFonts w:ascii="Calibri" w:hAnsi="Calibri" w:cs="Calibri"/>
                <w:szCs w:val="24"/>
              </w:rPr>
            </w:pPr>
            <w:r w:rsidRPr="00C41CEC">
              <w:rPr>
                <w:rFonts w:ascii="Calibri" w:hAnsi="Calibri" w:cs="Calibri"/>
                <w:szCs w:val="24"/>
              </w:rPr>
              <w:t>Compliance/</w:t>
            </w:r>
          </w:p>
          <w:p w14:paraId="11B53EF7" w14:textId="77777777" w:rsidR="00862E38" w:rsidRPr="00C41CEC" w:rsidRDefault="00862E38" w:rsidP="003D53B0">
            <w:pPr>
              <w:spacing w:after="-1"/>
              <w:rPr>
                <w:rFonts w:ascii="Calibri" w:hAnsi="Calibri" w:cs="Calibri"/>
                <w:szCs w:val="24"/>
              </w:rPr>
            </w:pPr>
            <w:r w:rsidRPr="00C41CEC">
              <w:rPr>
                <w:rFonts w:ascii="Calibri" w:hAnsi="Calibri" w:cs="Calibri"/>
                <w:szCs w:val="24"/>
              </w:rPr>
              <w:t>Regulatory</w:t>
            </w:r>
          </w:p>
        </w:tc>
        <w:tc>
          <w:tcPr>
            <w:tcW w:w="2835" w:type="dxa"/>
          </w:tcPr>
          <w:p w14:paraId="713D327D" w14:textId="77777777" w:rsidR="00862E38" w:rsidRPr="00C41CEC" w:rsidRDefault="00862E38" w:rsidP="003D53B0">
            <w:pPr>
              <w:spacing w:after="-1"/>
              <w:rPr>
                <w:rFonts w:ascii="Calibri" w:hAnsi="Calibri" w:cs="Calibri"/>
                <w:szCs w:val="24"/>
              </w:rPr>
            </w:pPr>
            <w:r w:rsidRPr="00C41CEC">
              <w:rPr>
                <w:rFonts w:ascii="Calibri" w:hAnsi="Calibri" w:cs="Calibri"/>
                <w:szCs w:val="24"/>
              </w:rPr>
              <w:t>Play it very safe, avoid anything which we could be challenged on, however minor this might be</w:t>
            </w:r>
          </w:p>
        </w:tc>
        <w:tc>
          <w:tcPr>
            <w:tcW w:w="3118" w:type="dxa"/>
          </w:tcPr>
          <w:p w14:paraId="53C6DE6B" w14:textId="77777777" w:rsidR="00862E38" w:rsidRPr="00C41CEC" w:rsidRDefault="00862E38" w:rsidP="003D53B0">
            <w:pPr>
              <w:spacing w:after="-1"/>
              <w:rPr>
                <w:rFonts w:ascii="Calibri" w:hAnsi="Calibri" w:cs="Calibri"/>
                <w:szCs w:val="24"/>
              </w:rPr>
            </w:pPr>
            <w:r w:rsidRPr="00C41CEC">
              <w:rPr>
                <w:rFonts w:ascii="Calibri" w:hAnsi="Calibri" w:cs="Calibri"/>
                <w:szCs w:val="24"/>
              </w:rPr>
              <w:t>Some limited tolerance for how we interpret the required compliance.  Want to be reasonable sure though that we could win any challenge if this arises.</w:t>
            </w:r>
          </w:p>
        </w:tc>
        <w:tc>
          <w:tcPr>
            <w:tcW w:w="3119" w:type="dxa"/>
          </w:tcPr>
          <w:p w14:paraId="0F4F9633" w14:textId="77777777" w:rsidR="00862E38" w:rsidRPr="00C41CEC" w:rsidRDefault="00862E38" w:rsidP="003D53B0">
            <w:pPr>
              <w:spacing w:after="-1"/>
              <w:rPr>
                <w:rFonts w:ascii="Calibri" w:hAnsi="Calibri" w:cs="Calibri"/>
                <w:szCs w:val="24"/>
              </w:rPr>
            </w:pPr>
            <w:r w:rsidRPr="00C41CEC">
              <w:rPr>
                <w:rFonts w:ascii="Calibri" w:hAnsi="Calibri" w:cs="Calibri"/>
                <w:szCs w:val="24"/>
              </w:rPr>
              <w:t xml:space="preserve">Willing to take decisions that have the potential to stretch the interpretation of the required compliance.  Any challenge could be problematic with no absolute certainty that we win  </w:t>
            </w:r>
          </w:p>
        </w:tc>
        <w:tc>
          <w:tcPr>
            <w:tcW w:w="3515" w:type="dxa"/>
          </w:tcPr>
          <w:p w14:paraId="7B41E882" w14:textId="77777777" w:rsidR="00862E38" w:rsidRPr="00C41CEC" w:rsidRDefault="00862E38" w:rsidP="003D53B0">
            <w:pPr>
              <w:spacing w:after="-1"/>
              <w:rPr>
                <w:rFonts w:ascii="Calibri" w:hAnsi="Calibri" w:cs="Calibri"/>
                <w:szCs w:val="24"/>
              </w:rPr>
            </w:pPr>
            <w:r w:rsidRPr="00C41CEC">
              <w:rPr>
                <w:rFonts w:ascii="Calibri" w:hAnsi="Calibri" w:cs="Calibri"/>
                <w:szCs w:val="24"/>
              </w:rPr>
              <w:t>Willing to push the limits over compliance, acknowledging the very high level of risk involved with this and the potential danger which this could create</w:t>
            </w:r>
          </w:p>
        </w:tc>
      </w:tr>
      <w:tr w:rsidR="00862E38" w:rsidRPr="00C41CEC" w14:paraId="25672567" w14:textId="77777777" w:rsidTr="003D53B0">
        <w:tc>
          <w:tcPr>
            <w:tcW w:w="2122" w:type="dxa"/>
            <w:shd w:val="clear" w:color="auto" w:fill="FBD4B4" w:themeFill="accent6" w:themeFillTint="66"/>
          </w:tcPr>
          <w:p w14:paraId="4D337BBA" w14:textId="77777777" w:rsidR="00862E38" w:rsidRPr="00C41CEC" w:rsidRDefault="00862E38" w:rsidP="003D53B0">
            <w:pPr>
              <w:spacing w:after="-1"/>
              <w:rPr>
                <w:rFonts w:ascii="Calibri" w:hAnsi="Calibri" w:cs="Calibri"/>
                <w:szCs w:val="24"/>
              </w:rPr>
            </w:pPr>
            <w:r w:rsidRPr="00C41CEC">
              <w:rPr>
                <w:rFonts w:ascii="Calibri" w:hAnsi="Calibri" w:cs="Calibri"/>
                <w:szCs w:val="24"/>
              </w:rPr>
              <w:t>Operational</w:t>
            </w:r>
          </w:p>
        </w:tc>
        <w:tc>
          <w:tcPr>
            <w:tcW w:w="2835" w:type="dxa"/>
          </w:tcPr>
          <w:p w14:paraId="4B1E7393" w14:textId="77777777" w:rsidR="00862E38" w:rsidRPr="00C41CEC" w:rsidRDefault="00862E38" w:rsidP="003D53B0">
            <w:pPr>
              <w:spacing w:after="-1"/>
              <w:rPr>
                <w:rFonts w:ascii="Calibri" w:hAnsi="Calibri" w:cs="Calibri"/>
                <w:szCs w:val="24"/>
              </w:rPr>
            </w:pPr>
            <w:r w:rsidRPr="00C41CEC">
              <w:rPr>
                <w:rFonts w:ascii="Calibri" w:hAnsi="Calibri" w:cs="Calibri"/>
                <w:szCs w:val="24"/>
              </w:rPr>
              <w:t>Play safe, avoid if possible actions which have the potential to risk current ways of operating</w:t>
            </w:r>
          </w:p>
        </w:tc>
        <w:tc>
          <w:tcPr>
            <w:tcW w:w="3118" w:type="dxa"/>
          </w:tcPr>
          <w:p w14:paraId="6A44A28B" w14:textId="77777777" w:rsidR="00862E38" w:rsidRPr="00C41CEC" w:rsidRDefault="00862E38" w:rsidP="003D53B0">
            <w:pPr>
              <w:spacing w:after="100" w:afterAutospacing="1"/>
              <w:rPr>
                <w:rFonts w:ascii="Calibri" w:hAnsi="Calibri" w:cs="Calibri"/>
                <w:szCs w:val="24"/>
              </w:rPr>
            </w:pPr>
            <w:r w:rsidRPr="00C41CEC">
              <w:rPr>
                <w:rFonts w:ascii="Calibri" w:hAnsi="Calibri" w:cs="Calibri"/>
                <w:szCs w:val="24"/>
              </w:rPr>
              <w:t>Prepared to consider making decisions that would have some risks attached to them but if managed would have some benefit for improving current ways of operating</w:t>
            </w:r>
          </w:p>
        </w:tc>
        <w:tc>
          <w:tcPr>
            <w:tcW w:w="3119" w:type="dxa"/>
          </w:tcPr>
          <w:p w14:paraId="661CAE06" w14:textId="77777777" w:rsidR="00862E38" w:rsidRPr="00C41CEC" w:rsidRDefault="00862E38" w:rsidP="003D53B0">
            <w:pPr>
              <w:spacing w:after="-1"/>
              <w:rPr>
                <w:rFonts w:ascii="Calibri" w:hAnsi="Calibri" w:cs="Calibri"/>
                <w:szCs w:val="24"/>
              </w:rPr>
            </w:pPr>
            <w:r w:rsidRPr="00C41CEC">
              <w:rPr>
                <w:rFonts w:ascii="Calibri" w:hAnsi="Calibri" w:cs="Calibri"/>
                <w:szCs w:val="24"/>
              </w:rPr>
              <w:t>Willing to take decisions to improve current ways of operating despite the higher degree of risk taking which this might involve, acknowledging that these may not always be successful</w:t>
            </w:r>
          </w:p>
        </w:tc>
        <w:tc>
          <w:tcPr>
            <w:tcW w:w="3515" w:type="dxa"/>
          </w:tcPr>
          <w:p w14:paraId="754CFBDC" w14:textId="77777777" w:rsidR="00862E38" w:rsidRPr="00C41CEC" w:rsidRDefault="00862E38" w:rsidP="003D53B0">
            <w:pPr>
              <w:spacing w:after="-1"/>
              <w:rPr>
                <w:rFonts w:ascii="Calibri" w:hAnsi="Calibri" w:cs="Calibri"/>
                <w:szCs w:val="24"/>
              </w:rPr>
            </w:pPr>
            <w:r w:rsidRPr="00C41CEC">
              <w:rPr>
                <w:rFonts w:ascii="Calibri" w:hAnsi="Calibri" w:cs="Calibri"/>
                <w:szCs w:val="24"/>
              </w:rPr>
              <w:t xml:space="preserve">Overriding focus is on making decisions to optimise operational delivery but which attracts a very high level of risk taking and an increased possibility that these may not be successful </w:t>
            </w:r>
          </w:p>
        </w:tc>
      </w:tr>
      <w:tr w:rsidR="00862E38" w:rsidRPr="00C41CEC" w14:paraId="4F87E017" w14:textId="77777777" w:rsidTr="003D53B0">
        <w:tc>
          <w:tcPr>
            <w:tcW w:w="2122" w:type="dxa"/>
            <w:shd w:val="clear" w:color="auto" w:fill="FBD4B4" w:themeFill="accent6" w:themeFillTint="66"/>
          </w:tcPr>
          <w:p w14:paraId="0112AB47" w14:textId="77777777" w:rsidR="00862E38" w:rsidRPr="00C41CEC" w:rsidRDefault="00862E38" w:rsidP="003D53B0">
            <w:pPr>
              <w:spacing w:after="100" w:afterAutospacing="1"/>
              <w:rPr>
                <w:rFonts w:ascii="Calibri" w:hAnsi="Calibri" w:cs="Calibri"/>
                <w:szCs w:val="24"/>
              </w:rPr>
            </w:pPr>
            <w:r>
              <w:rPr>
                <w:rFonts w:ascii="Calibri" w:hAnsi="Calibri" w:cs="Calibri"/>
                <w:szCs w:val="24"/>
              </w:rPr>
              <w:t>Nature</w:t>
            </w:r>
          </w:p>
        </w:tc>
        <w:tc>
          <w:tcPr>
            <w:tcW w:w="2835" w:type="dxa"/>
          </w:tcPr>
          <w:p w14:paraId="44416183" w14:textId="77777777" w:rsidR="00862E38" w:rsidRPr="00C41CEC" w:rsidRDefault="00862E38" w:rsidP="003D53B0">
            <w:pPr>
              <w:spacing w:after="100" w:afterAutospacing="1"/>
              <w:rPr>
                <w:rFonts w:ascii="Calibri" w:hAnsi="Calibri" w:cs="Calibri"/>
                <w:szCs w:val="24"/>
              </w:rPr>
            </w:pPr>
            <w:r w:rsidRPr="00C41CEC">
              <w:rPr>
                <w:rFonts w:ascii="Calibri" w:hAnsi="Calibri" w:cs="Calibri"/>
                <w:szCs w:val="24"/>
              </w:rPr>
              <w:t>Avoid any decisions which could negatively impact on nature, however minor or short-term</w:t>
            </w:r>
          </w:p>
        </w:tc>
        <w:tc>
          <w:tcPr>
            <w:tcW w:w="3118" w:type="dxa"/>
          </w:tcPr>
          <w:p w14:paraId="1B46CA91" w14:textId="77777777" w:rsidR="00862E38" w:rsidRPr="00C41CEC" w:rsidRDefault="00862E38" w:rsidP="003D53B0">
            <w:pPr>
              <w:spacing w:after="-1"/>
              <w:rPr>
                <w:rFonts w:ascii="Calibri" w:hAnsi="Calibri" w:cs="Calibri"/>
                <w:szCs w:val="24"/>
              </w:rPr>
            </w:pPr>
            <w:r w:rsidRPr="00C41CEC">
              <w:rPr>
                <w:rFonts w:ascii="Calibri" w:hAnsi="Calibri" w:cs="Calibri"/>
                <w:szCs w:val="24"/>
              </w:rPr>
              <w:t xml:space="preserve">Prepared to consider making decisions which could be perceived as having some minor impact on nature but which are seen as worth </w:t>
            </w:r>
            <w:r w:rsidRPr="00C41CEC">
              <w:rPr>
                <w:rFonts w:ascii="Calibri" w:hAnsi="Calibri" w:cs="Calibri"/>
                <w:szCs w:val="24"/>
              </w:rPr>
              <w:lastRenderedPageBreak/>
              <w:t>taking and/or are short-term in nature</w:t>
            </w:r>
          </w:p>
        </w:tc>
        <w:tc>
          <w:tcPr>
            <w:tcW w:w="3119" w:type="dxa"/>
          </w:tcPr>
          <w:p w14:paraId="05D5D1CE" w14:textId="77777777" w:rsidR="00862E38" w:rsidRPr="00C41CEC" w:rsidRDefault="00862E38" w:rsidP="003D53B0">
            <w:pPr>
              <w:spacing w:after="-1"/>
              <w:rPr>
                <w:rFonts w:ascii="Calibri" w:hAnsi="Calibri" w:cs="Calibri"/>
                <w:szCs w:val="24"/>
              </w:rPr>
            </w:pPr>
            <w:r w:rsidRPr="00C41CEC">
              <w:rPr>
                <w:rFonts w:ascii="Calibri" w:hAnsi="Calibri" w:cs="Calibri"/>
                <w:szCs w:val="24"/>
              </w:rPr>
              <w:lastRenderedPageBreak/>
              <w:t>Willing to take decisions which might potentially be seen as impacting on nature but which could help obtain a wider outcome/benefit</w:t>
            </w:r>
          </w:p>
        </w:tc>
        <w:tc>
          <w:tcPr>
            <w:tcW w:w="3515" w:type="dxa"/>
          </w:tcPr>
          <w:p w14:paraId="76DE76FE" w14:textId="77777777" w:rsidR="00862E38" w:rsidRPr="00C41CEC" w:rsidRDefault="00862E38" w:rsidP="003D53B0">
            <w:pPr>
              <w:spacing w:after="-1"/>
              <w:rPr>
                <w:rFonts w:ascii="Calibri" w:hAnsi="Calibri" w:cs="Calibri"/>
                <w:szCs w:val="24"/>
              </w:rPr>
            </w:pPr>
            <w:r w:rsidRPr="00C41CEC">
              <w:rPr>
                <w:rFonts w:ascii="Calibri" w:hAnsi="Calibri" w:cs="Calibri"/>
                <w:szCs w:val="24"/>
              </w:rPr>
              <w:t xml:space="preserve">Willingness to make decisions where there is a very high risk that they could impact on nature where the advantages are considered to outweigh the negatives </w:t>
            </w:r>
          </w:p>
        </w:tc>
      </w:tr>
      <w:tr w:rsidR="00862E38" w:rsidRPr="00C41CEC" w14:paraId="78149768" w14:textId="77777777" w:rsidTr="003D53B0">
        <w:tc>
          <w:tcPr>
            <w:tcW w:w="2122" w:type="dxa"/>
            <w:shd w:val="clear" w:color="auto" w:fill="FBD4B4" w:themeFill="accent6" w:themeFillTint="66"/>
          </w:tcPr>
          <w:p w14:paraId="2AACA8E6" w14:textId="77777777" w:rsidR="00862E38" w:rsidRPr="00C41CEC" w:rsidRDefault="00862E38" w:rsidP="003D53B0">
            <w:pPr>
              <w:spacing w:after="100" w:afterAutospacing="1"/>
              <w:rPr>
                <w:rFonts w:ascii="Calibri" w:hAnsi="Calibri" w:cs="Calibri"/>
                <w:szCs w:val="24"/>
              </w:rPr>
            </w:pPr>
            <w:r w:rsidRPr="00C41CEC">
              <w:rPr>
                <w:rFonts w:ascii="Calibri" w:hAnsi="Calibri" w:cs="Calibri"/>
                <w:szCs w:val="24"/>
              </w:rPr>
              <w:t xml:space="preserve">Reputational </w:t>
            </w:r>
          </w:p>
        </w:tc>
        <w:tc>
          <w:tcPr>
            <w:tcW w:w="2835" w:type="dxa"/>
          </w:tcPr>
          <w:p w14:paraId="3CD85187" w14:textId="77777777" w:rsidR="00862E38" w:rsidRPr="00C41CEC" w:rsidRDefault="00862E38" w:rsidP="003D53B0">
            <w:pPr>
              <w:spacing w:after="-1"/>
              <w:rPr>
                <w:rFonts w:ascii="Calibri" w:hAnsi="Calibri" w:cs="Calibri"/>
                <w:szCs w:val="24"/>
              </w:rPr>
            </w:pPr>
            <w:r w:rsidRPr="00C41CEC">
              <w:rPr>
                <w:rFonts w:ascii="Calibri" w:hAnsi="Calibri" w:cs="Calibri"/>
                <w:szCs w:val="24"/>
              </w:rPr>
              <w:t>Very little tolerance for making decisions or actions where there is the potential that it could lead to adverse scrutiny or criticism from any sector or community</w:t>
            </w:r>
          </w:p>
        </w:tc>
        <w:tc>
          <w:tcPr>
            <w:tcW w:w="3118" w:type="dxa"/>
          </w:tcPr>
          <w:p w14:paraId="51BC76F1" w14:textId="77777777" w:rsidR="00862E38" w:rsidRPr="00C41CEC" w:rsidRDefault="00862E38" w:rsidP="003D53B0">
            <w:pPr>
              <w:spacing w:after="-1"/>
              <w:rPr>
                <w:rFonts w:ascii="Calibri" w:hAnsi="Calibri" w:cs="Calibri"/>
                <w:szCs w:val="24"/>
              </w:rPr>
            </w:pPr>
            <w:r w:rsidRPr="00C41CEC">
              <w:rPr>
                <w:rFonts w:ascii="Calibri" w:hAnsi="Calibri" w:cs="Calibri"/>
                <w:szCs w:val="24"/>
              </w:rPr>
              <w:t xml:space="preserve">Prepared to consider making some decisions or actions where there is a possibility that it could potentially lead to adverse scrutiny or criticism from one or more sectors or communities </w:t>
            </w:r>
          </w:p>
        </w:tc>
        <w:tc>
          <w:tcPr>
            <w:tcW w:w="3119" w:type="dxa"/>
          </w:tcPr>
          <w:p w14:paraId="462BDFA8" w14:textId="77777777" w:rsidR="00862E38" w:rsidRPr="00C41CEC" w:rsidRDefault="00862E38" w:rsidP="003D53B0">
            <w:pPr>
              <w:spacing w:after="-1"/>
              <w:rPr>
                <w:rFonts w:ascii="Calibri" w:hAnsi="Calibri" w:cs="Calibri"/>
                <w:szCs w:val="24"/>
              </w:rPr>
            </w:pPr>
            <w:r w:rsidRPr="00C41CEC">
              <w:rPr>
                <w:rFonts w:ascii="Calibri" w:hAnsi="Calibri" w:cs="Calibri"/>
                <w:szCs w:val="24"/>
              </w:rPr>
              <w:t>Willing to take decisions or actions which has a high degree of likelihood that it will expose the organisation to adverse scrutiny or criticism from one or more sectors or communities</w:t>
            </w:r>
          </w:p>
        </w:tc>
        <w:tc>
          <w:tcPr>
            <w:tcW w:w="3515" w:type="dxa"/>
          </w:tcPr>
          <w:p w14:paraId="1C2FFD49" w14:textId="77777777" w:rsidR="00862E38" w:rsidRPr="00C41CEC" w:rsidRDefault="00862E38" w:rsidP="003D53B0">
            <w:pPr>
              <w:spacing w:after="-1"/>
              <w:rPr>
                <w:rFonts w:ascii="Calibri" w:hAnsi="Calibri" w:cs="Calibri"/>
                <w:szCs w:val="24"/>
              </w:rPr>
            </w:pPr>
            <w:r w:rsidRPr="00C41CEC">
              <w:rPr>
                <w:rFonts w:ascii="Calibri" w:hAnsi="Calibri" w:cs="Calibri"/>
                <w:szCs w:val="24"/>
              </w:rPr>
              <w:t>Readiness to take decisions where it is almost certain that we would be exposed to adverse scrutiny or criticism from one or more sectors or communities</w:t>
            </w:r>
          </w:p>
        </w:tc>
      </w:tr>
    </w:tbl>
    <w:p w14:paraId="49017255" w14:textId="77777777" w:rsidR="00FA0E12" w:rsidRPr="00530421" w:rsidRDefault="00FA0E12" w:rsidP="00862E38">
      <w:pPr>
        <w:pStyle w:val="Heading2"/>
        <w:rPr>
          <w:szCs w:val="24"/>
        </w:rPr>
      </w:pPr>
    </w:p>
    <w:sectPr w:rsidR="00FA0E12" w:rsidRPr="00530421" w:rsidSect="00862E38">
      <w:footerReference w:type="default" r:id="rId16"/>
      <w:pgSz w:w="16838" w:h="11906" w:orient="landscape"/>
      <w:pgMar w:top="1440" w:right="993"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B0F6D" w14:textId="77777777" w:rsidR="00B74817" w:rsidRDefault="00B74817" w:rsidP="00204D20">
      <w:pPr>
        <w:spacing w:after="0" w:line="240" w:lineRule="auto"/>
      </w:pPr>
      <w:r>
        <w:separator/>
      </w:r>
    </w:p>
  </w:endnote>
  <w:endnote w:type="continuationSeparator" w:id="0">
    <w:p w14:paraId="53DA8A07" w14:textId="77777777" w:rsidR="00B74817" w:rsidRDefault="00B74817" w:rsidP="0020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61AB" w14:textId="4E90C32F" w:rsidR="00862E38" w:rsidRDefault="00862E38" w:rsidP="00AC4163">
    <w:pPr>
      <w:pStyle w:val="Footer"/>
    </w:pPr>
  </w:p>
  <w:p w14:paraId="3D8DB10B" w14:textId="77777777" w:rsidR="00862E38" w:rsidRDefault="00862E38" w:rsidP="00986B58">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F120" w14:textId="59632CAB" w:rsidR="00862E38" w:rsidRDefault="00862E38">
    <w:pPr>
      <w:pStyle w:val="Footer"/>
      <w:jc w:val="center"/>
    </w:pPr>
  </w:p>
  <w:p w14:paraId="421D2CEB" w14:textId="77777777" w:rsidR="00862E38" w:rsidRPr="003F195D" w:rsidRDefault="00862E38" w:rsidP="003F195D">
    <w:pPr>
      <w:pStyle w:val="Footer"/>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7529"/>
      <w:docPartObj>
        <w:docPartGallery w:val="Page Numbers (Bottom of Page)"/>
        <w:docPartUnique/>
      </w:docPartObj>
    </w:sdtPr>
    <w:sdtEndPr>
      <w:rPr>
        <w:rFonts w:ascii="Arial" w:hAnsi="Arial" w:cs="Arial"/>
        <w:noProof/>
      </w:rPr>
    </w:sdtEndPr>
    <w:sdtContent>
      <w:p w14:paraId="080C23FE" w14:textId="77777777" w:rsidR="00862E38" w:rsidRPr="00BB1ED6" w:rsidRDefault="00862E38">
        <w:pPr>
          <w:pStyle w:val="Footer"/>
          <w:jc w:val="center"/>
          <w:rPr>
            <w:rFonts w:ascii="Arial" w:hAnsi="Arial" w:cs="Arial"/>
          </w:rPr>
        </w:pPr>
        <w:r w:rsidRPr="00BB1ED6">
          <w:rPr>
            <w:rFonts w:ascii="Arial" w:hAnsi="Arial" w:cs="Arial"/>
          </w:rPr>
          <w:fldChar w:fldCharType="begin"/>
        </w:r>
        <w:r w:rsidRPr="00BB1ED6">
          <w:rPr>
            <w:rFonts w:ascii="Arial" w:hAnsi="Arial" w:cs="Arial"/>
          </w:rPr>
          <w:instrText xml:space="preserve"> PAGE   \* MERGEFORMAT </w:instrText>
        </w:r>
        <w:r w:rsidRPr="00BB1ED6">
          <w:rPr>
            <w:rFonts w:ascii="Arial" w:hAnsi="Arial" w:cs="Arial"/>
          </w:rPr>
          <w:fldChar w:fldCharType="separate"/>
        </w:r>
        <w:r>
          <w:rPr>
            <w:rFonts w:ascii="Arial" w:hAnsi="Arial" w:cs="Arial"/>
            <w:noProof/>
          </w:rPr>
          <w:t>1</w:t>
        </w:r>
        <w:r w:rsidRPr="00BB1ED6">
          <w:rPr>
            <w:rFonts w:ascii="Arial" w:hAnsi="Arial" w:cs="Arial"/>
            <w:noProof/>
          </w:rPr>
          <w:fldChar w:fldCharType="end"/>
        </w:r>
      </w:p>
    </w:sdtContent>
  </w:sdt>
  <w:p w14:paraId="54CD6AA3" w14:textId="77777777" w:rsidR="00862E38" w:rsidRDefault="00862E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BF21" w14:textId="77777777" w:rsidR="004F1BBD" w:rsidRDefault="004F1BBD">
    <w:pPr>
      <w:pStyle w:val="Footer"/>
      <w:jc w:val="center"/>
    </w:pPr>
  </w:p>
  <w:p w14:paraId="6D3F45C1" w14:textId="77777777" w:rsidR="004F1BBD" w:rsidRDefault="004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11F3E" w14:textId="77777777" w:rsidR="00B74817" w:rsidRDefault="00B74817" w:rsidP="00204D20">
      <w:pPr>
        <w:spacing w:after="0" w:line="240" w:lineRule="auto"/>
      </w:pPr>
      <w:r>
        <w:separator/>
      </w:r>
    </w:p>
  </w:footnote>
  <w:footnote w:type="continuationSeparator" w:id="0">
    <w:p w14:paraId="773A13A0" w14:textId="77777777" w:rsidR="00B74817" w:rsidRDefault="00B74817" w:rsidP="00204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41A9" w14:textId="4D2BF6FA" w:rsidR="00AC4163" w:rsidRPr="00AC4163" w:rsidRDefault="00AC4163" w:rsidP="00AC4163">
    <w:pPr>
      <w:pStyle w:val="Header"/>
      <w:jc w:val="right"/>
      <w:rPr>
        <w:b/>
      </w:rPr>
    </w:pPr>
    <w:r w:rsidRPr="00AC4163">
      <w:rPr>
        <w:b/>
      </w:rPr>
      <w:t>BOARD/197/07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7D51" w14:textId="77777777" w:rsidR="00AC4163" w:rsidRPr="00AC4163" w:rsidRDefault="00AC4163" w:rsidP="00AC4163">
    <w:pPr>
      <w:pStyle w:val="Header"/>
      <w:jc w:val="right"/>
      <w:rPr>
        <w:b/>
      </w:rPr>
    </w:pPr>
    <w:r w:rsidRPr="00AC4163">
      <w:rPr>
        <w:b/>
      </w:rPr>
      <w:t>BOARD/197/07</w:t>
    </w:r>
  </w:p>
  <w:p w14:paraId="11FC24AA" w14:textId="77777777" w:rsidR="00862E38" w:rsidRPr="003F195D" w:rsidRDefault="00862E38" w:rsidP="00AC4163">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6B65" w14:textId="77777777" w:rsidR="00862E38" w:rsidRPr="00BB1ED6" w:rsidRDefault="00862E38" w:rsidP="00BB1ED6">
    <w:pPr>
      <w:pStyle w:val="Header"/>
      <w:jc w:val="right"/>
      <w:rPr>
        <w:rFonts w:ascii="Arial" w:hAnsi="Arial" w:cs="Arial"/>
        <w:b/>
      </w:rPr>
    </w:pPr>
    <w:r w:rsidRPr="00BB1ED6">
      <w:rPr>
        <w:rFonts w:ascii="Arial" w:hAnsi="Arial" w:cs="Arial"/>
        <w:b/>
      </w:rPr>
      <w:t>Ref (to be inserted by SMU)</w:t>
    </w:r>
  </w:p>
  <w:p w14:paraId="283200FF" w14:textId="77777777" w:rsidR="00862E38" w:rsidRDefault="00862E38" w:rsidP="00BB1E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1A57"/>
    <w:multiLevelType w:val="hybridMultilevel"/>
    <w:tmpl w:val="859E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5624A"/>
    <w:multiLevelType w:val="hybridMultilevel"/>
    <w:tmpl w:val="0B1E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B17EC"/>
    <w:multiLevelType w:val="hybridMultilevel"/>
    <w:tmpl w:val="DA8CD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7B674C"/>
    <w:multiLevelType w:val="hybridMultilevel"/>
    <w:tmpl w:val="15F2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A0C6F"/>
    <w:multiLevelType w:val="hybridMultilevel"/>
    <w:tmpl w:val="81AE80A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C05D10"/>
    <w:multiLevelType w:val="hybridMultilevel"/>
    <w:tmpl w:val="0ADE3F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5699E"/>
    <w:multiLevelType w:val="hybridMultilevel"/>
    <w:tmpl w:val="4C142426"/>
    <w:lvl w:ilvl="0" w:tplc="91A6340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C2403"/>
    <w:multiLevelType w:val="hybridMultilevel"/>
    <w:tmpl w:val="9ADA44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7B804DA"/>
    <w:multiLevelType w:val="hybridMultilevel"/>
    <w:tmpl w:val="96F0FD6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EC03E1"/>
    <w:multiLevelType w:val="hybridMultilevel"/>
    <w:tmpl w:val="1E6690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9645EE2"/>
    <w:multiLevelType w:val="hybridMultilevel"/>
    <w:tmpl w:val="963CF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31EE1"/>
    <w:multiLevelType w:val="hybridMultilevel"/>
    <w:tmpl w:val="8E54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D48B2"/>
    <w:multiLevelType w:val="hybridMultilevel"/>
    <w:tmpl w:val="10A4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A2718A"/>
    <w:multiLevelType w:val="hybridMultilevel"/>
    <w:tmpl w:val="DB3E8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7339A"/>
    <w:multiLevelType w:val="hybridMultilevel"/>
    <w:tmpl w:val="8B328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22292"/>
    <w:multiLevelType w:val="hybridMultilevel"/>
    <w:tmpl w:val="DD48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F19EC"/>
    <w:multiLevelType w:val="hybridMultilevel"/>
    <w:tmpl w:val="3556964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4F968C1"/>
    <w:multiLevelType w:val="hybridMultilevel"/>
    <w:tmpl w:val="86D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A2601"/>
    <w:multiLevelType w:val="hybridMultilevel"/>
    <w:tmpl w:val="DCD8F2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022CAA"/>
    <w:multiLevelType w:val="hybridMultilevel"/>
    <w:tmpl w:val="555A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DC3D1A"/>
    <w:multiLevelType w:val="hybridMultilevel"/>
    <w:tmpl w:val="583EB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90544A"/>
    <w:multiLevelType w:val="hybridMultilevel"/>
    <w:tmpl w:val="A7CA8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92CB7"/>
    <w:multiLevelType w:val="hybridMultilevel"/>
    <w:tmpl w:val="DB90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9"/>
  </w:num>
  <w:num w:numId="4">
    <w:abstractNumId w:val="10"/>
  </w:num>
  <w:num w:numId="5">
    <w:abstractNumId w:val="8"/>
  </w:num>
  <w:num w:numId="6">
    <w:abstractNumId w:val="6"/>
  </w:num>
  <w:num w:numId="7">
    <w:abstractNumId w:val="14"/>
  </w:num>
  <w:num w:numId="8">
    <w:abstractNumId w:val="12"/>
  </w:num>
  <w:num w:numId="9">
    <w:abstractNumId w:val="3"/>
  </w:num>
  <w:num w:numId="10">
    <w:abstractNumId w:val="15"/>
  </w:num>
  <w:num w:numId="11">
    <w:abstractNumId w:val="0"/>
  </w:num>
  <w:num w:numId="12">
    <w:abstractNumId w:val="17"/>
  </w:num>
  <w:num w:numId="13">
    <w:abstractNumId w:val="18"/>
  </w:num>
  <w:num w:numId="14">
    <w:abstractNumId w:val="22"/>
  </w:num>
  <w:num w:numId="15">
    <w:abstractNumId w:val="11"/>
  </w:num>
  <w:num w:numId="16">
    <w:abstractNumId w:val="2"/>
  </w:num>
  <w:num w:numId="17">
    <w:abstractNumId w:val="1"/>
  </w:num>
  <w:num w:numId="18">
    <w:abstractNumId w:val="7"/>
  </w:num>
  <w:num w:numId="19">
    <w:abstractNumId w:val="4"/>
  </w:num>
  <w:num w:numId="20">
    <w:abstractNumId w:val="5"/>
  </w:num>
  <w:num w:numId="21">
    <w:abstractNumId w:val="16"/>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0"/>
    <w:rsid w:val="000048EA"/>
    <w:rsid w:val="000936B1"/>
    <w:rsid w:val="000F2D6E"/>
    <w:rsid w:val="001033FB"/>
    <w:rsid w:val="00111B84"/>
    <w:rsid w:val="001160F9"/>
    <w:rsid w:val="00146276"/>
    <w:rsid w:val="00162DE7"/>
    <w:rsid w:val="001753AB"/>
    <w:rsid w:val="00183C38"/>
    <w:rsid w:val="001B6867"/>
    <w:rsid w:val="001F7397"/>
    <w:rsid w:val="00204D20"/>
    <w:rsid w:val="0020596F"/>
    <w:rsid w:val="00217896"/>
    <w:rsid w:val="00236700"/>
    <w:rsid w:val="00257A02"/>
    <w:rsid w:val="00264512"/>
    <w:rsid w:val="002A7A0F"/>
    <w:rsid w:val="00304855"/>
    <w:rsid w:val="00322D98"/>
    <w:rsid w:val="0033297B"/>
    <w:rsid w:val="003344F1"/>
    <w:rsid w:val="00366E4B"/>
    <w:rsid w:val="003863A1"/>
    <w:rsid w:val="003B170D"/>
    <w:rsid w:val="003C0B5D"/>
    <w:rsid w:val="003C3F48"/>
    <w:rsid w:val="003E22BB"/>
    <w:rsid w:val="003E509E"/>
    <w:rsid w:val="004256C5"/>
    <w:rsid w:val="00460391"/>
    <w:rsid w:val="00474D07"/>
    <w:rsid w:val="004F1BBD"/>
    <w:rsid w:val="004F3D8D"/>
    <w:rsid w:val="00501026"/>
    <w:rsid w:val="00505836"/>
    <w:rsid w:val="00506E5C"/>
    <w:rsid w:val="005261AF"/>
    <w:rsid w:val="00530421"/>
    <w:rsid w:val="00545A1C"/>
    <w:rsid w:val="00546D2A"/>
    <w:rsid w:val="00567227"/>
    <w:rsid w:val="005926A8"/>
    <w:rsid w:val="005A110E"/>
    <w:rsid w:val="005C6F3F"/>
    <w:rsid w:val="005D0E4E"/>
    <w:rsid w:val="005F2537"/>
    <w:rsid w:val="005F53C1"/>
    <w:rsid w:val="00600E8F"/>
    <w:rsid w:val="00604DB9"/>
    <w:rsid w:val="00611CD6"/>
    <w:rsid w:val="0061200E"/>
    <w:rsid w:val="00617BA8"/>
    <w:rsid w:val="00633F28"/>
    <w:rsid w:val="00663EAC"/>
    <w:rsid w:val="00683DAA"/>
    <w:rsid w:val="00690252"/>
    <w:rsid w:val="006B521F"/>
    <w:rsid w:val="006D3FA5"/>
    <w:rsid w:val="006E075C"/>
    <w:rsid w:val="006E336B"/>
    <w:rsid w:val="00701143"/>
    <w:rsid w:val="00717EC9"/>
    <w:rsid w:val="00751947"/>
    <w:rsid w:val="007C5167"/>
    <w:rsid w:val="007D33E1"/>
    <w:rsid w:val="007D4236"/>
    <w:rsid w:val="007E362C"/>
    <w:rsid w:val="00834565"/>
    <w:rsid w:val="008558A8"/>
    <w:rsid w:val="00862E38"/>
    <w:rsid w:val="00866908"/>
    <w:rsid w:val="00871EC6"/>
    <w:rsid w:val="00897B62"/>
    <w:rsid w:val="0093190C"/>
    <w:rsid w:val="00946309"/>
    <w:rsid w:val="0095322D"/>
    <w:rsid w:val="00967CC3"/>
    <w:rsid w:val="0097304C"/>
    <w:rsid w:val="00976B38"/>
    <w:rsid w:val="009A0129"/>
    <w:rsid w:val="009A549A"/>
    <w:rsid w:val="009B467A"/>
    <w:rsid w:val="009B6B14"/>
    <w:rsid w:val="009B7C91"/>
    <w:rsid w:val="009E599C"/>
    <w:rsid w:val="009E7569"/>
    <w:rsid w:val="00A30604"/>
    <w:rsid w:val="00A33EEE"/>
    <w:rsid w:val="00A7484C"/>
    <w:rsid w:val="00A80762"/>
    <w:rsid w:val="00A81585"/>
    <w:rsid w:val="00A907C9"/>
    <w:rsid w:val="00A932B9"/>
    <w:rsid w:val="00AC4163"/>
    <w:rsid w:val="00AC4A70"/>
    <w:rsid w:val="00AF0F13"/>
    <w:rsid w:val="00B175FD"/>
    <w:rsid w:val="00B17F58"/>
    <w:rsid w:val="00B24CA5"/>
    <w:rsid w:val="00B45716"/>
    <w:rsid w:val="00B74817"/>
    <w:rsid w:val="00BD5E53"/>
    <w:rsid w:val="00BE0D91"/>
    <w:rsid w:val="00C23A43"/>
    <w:rsid w:val="00C3696B"/>
    <w:rsid w:val="00C54AF8"/>
    <w:rsid w:val="00C70AC5"/>
    <w:rsid w:val="00CA6CA5"/>
    <w:rsid w:val="00CC23E9"/>
    <w:rsid w:val="00CC4495"/>
    <w:rsid w:val="00CE5BE1"/>
    <w:rsid w:val="00CF5775"/>
    <w:rsid w:val="00D44333"/>
    <w:rsid w:val="00D85A63"/>
    <w:rsid w:val="00D9473C"/>
    <w:rsid w:val="00DA6B4D"/>
    <w:rsid w:val="00DC1933"/>
    <w:rsid w:val="00DC3685"/>
    <w:rsid w:val="00E04F18"/>
    <w:rsid w:val="00E1294D"/>
    <w:rsid w:val="00E22A05"/>
    <w:rsid w:val="00E31FF8"/>
    <w:rsid w:val="00E37F70"/>
    <w:rsid w:val="00E403E3"/>
    <w:rsid w:val="00E53D14"/>
    <w:rsid w:val="00E83BDD"/>
    <w:rsid w:val="00EA1751"/>
    <w:rsid w:val="00EC1C3C"/>
    <w:rsid w:val="00EC4621"/>
    <w:rsid w:val="00ED2F97"/>
    <w:rsid w:val="00ED7021"/>
    <w:rsid w:val="00EE480A"/>
    <w:rsid w:val="00F15554"/>
    <w:rsid w:val="00F24063"/>
    <w:rsid w:val="00F37072"/>
    <w:rsid w:val="00F66BD0"/>
    <w:rsid w:val="00FA0E12"/>
    <w:rsid w:val="00FA1AA0"/>
    <w:rsid w:val="00FA77ED"/>
    <w:rsid w:val="00FA7CF2"/>
    <w:rsid w:val="00FB279C"/>
    <w:rsid w:val="00FC32ED"/>
    <w:rsid w:val="00FC461B"/>
    <w:rsid w:val="00FD1525"/>
    <w:rsid w:val="00FE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F205A"/>
  <w15:docId w15:val="{F68BE09E-65E2-4E2B-B6C8-D1FF963E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E4E"/>
    <w:rPr>
      <w:sz w:val="24"/>
    </w:rPr>
  </w:style>
  <w:style w:type="paragraph" w:styleId="Heading1">
    <w:name w:val="heading 1"/>
    <w:basedOn w:val="Normal"/>
    <w:next w:val="Normal"/>
    <w:link w:val="Heading1Char"/>
    <w:uiPriority w:val="9"/>
    <w:qFormat/>
    <w:rsid w:val="00E83BDD"/>
    <w:pPr>
      <w:keepNext/>
      <w:keepLines/>
      <w:spacing w:before="240" w:after="0" w:line="259" w:lineRule="auto"/>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3E22BB"/>
    <w:pPr>
      <w:keepNext/>
      <w:keepLines/>
      <w:spacing w:before="40" w:after="0" w:line="259" w:lineRule="auto"/>
      <w:outlineLvl w:val="1"/>
    </w:pPr>
    <w:rPr>
      <w:rFonts w:eastAsiaTheme="majorEastAsia" w:cstheme="minorHAnsi"/>
      <w:b/>
      <w:szCs w:val="26"/>
    </w:rPr>
  </w:style>
  <w:style w:type="paragraph" w:styleId="Heading3">
    <w:name w:val="heading 3"/>
    <w:basedOn w:val="Normal"/>
    <w:next w:val="Normal"/>
    <w:link w:val="Heading3Char"/>
    <w:uiPriority w:val="9"/>
    <w:unhideWhenUsed/>
    <w:qFormat/>
    <w:rsid w:val="003B170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3B17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D20"/>
  </w:style>
  <w:style w:type="paragraph" w:styleId="Footer">
    <w:name w:val="footer"/>
    <w:basedOn w:val="Normal"/>
    <w:link w:val="FooterChar"/>
    <w:uiPriority w:val="99"/>
    <w:unhideWhenUsed/>
    <w:rsid w:val="00204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D20"/>
  </w:style>
  <w:style w:type="paragraph" w:styleId="ListParagraph">
    <w:name w:val="List Paragraph"/>
    <w:basedOn w:val="Normal"/>
    <w:uiPriority w:val="34"/>
    <w:qFormat/>
    <w:rsid w:val="00111B84"/>
    <w:pPr>
      <w:ind w:left="720"/>
      <w:contextualSpacing/>
    </w:pPr>
  </w:style>
  <w:style w:type="character" w:customStyle="1" w:styleId="Heading1Char">
    <w:name w:val="Heading 1 Char"/>
    <w:basedOn w:val="DefaultParagraphFont"/>
    <w:link w:val="Heading1"/>
    <w:uiPriority w:val="9"/>
    <w:rsid w:val="00E83BD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3E22BB"/>
    <w:rPr>
      <w:rFonts w:eastAsiaTheme="majorEastAsia" w:cstheme="minorHAnsi"/>
      <w:b/>
      <w:sz w:val="24"/>
      <w:szCs w:val="26"/>
    </w:rPr>
  </w:style>
  <w:style w:type="character" w:styleId="Hyperlink">
    <w:name w:val="Hyperlink"/>
    <w:basedOn w:val="DefaultParagraphFont"/>
    <w:uiPriority w:val="99"/>
    <w:unhideWhenUsed/>
    <w:rsid w:val="00E83BDD"/>
    <w:rPr>
      <w:color w:val="0000FF" w:themeColor="hyperlink"/>
      <w:u w:val="single"/>
    </w:rPr>
  </w:style>
  <w:style w:type="paragraph" w:styleId="BalloonText">
    <w:name w:val="Balloon Text"/>
    <w:basedOn w:val="Normal"/>
    <w:link w:val="BalloonTextChar"/>
    <w:uiPriority w:val="99"/>
    <w:semiHidden/>
    <w:unhideWhenUsed/>
    <w:rsid w:val="0060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DB9"/>
    <w:rPr>
      <w:rFonts w:ascii="Tahoma" w:hAnsi="Tahoma" w:cs="Tahoma"/>
      <w:sz w:val="16"/>
      <w:szCs w:val="16"/>
    </w:rPr>
  </w:style>
  <w:style w:type="character" w:styleId="FollowedHyperlink">
    <w:name w:val="FollowedHyperlink"/>
    <w:basedOn w:val="DefaultParagraphFont"/>
    <w:uiPriority w:val="99"/>
    <w:semiHidden/>
    <w:unhideWhenUsed/>
    <w:rsid w:val="00CE5BE1"/>
    <w:rPr>
      <w:color w:val="800080" w:themeColor="followedHyperlink"/>
      <w:u w:val="single"/>
    </w:rPr>
  </w:style>
  <w:style w:type="paragraph" w:customStyle="1" w:styleId="Default">
    <w:name w:val="Default"/>
    <w:rsid w:val="00B4571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23A43"/>
    <w:rPr>
      <w:sz w:val="16"/>
      <w:szCs w:val="16"/>
    </w:rPr>
  </w:style>
  <w:style w:type="paragraph" w:styleId="CommentText">
    <w:name w:val="annotation text"/>
    <w:basedOn w:val="Normal"/>
    <w:link w:val="CommentTextChar"/>
    <w:uiPriority w:val="99"/>
    <w:semiHidden/>
    <w:unhideWhenUsed/>
    <w:rsid w:val="00C23A43"/>
    <w:pPr>
      <w:spacing w:line="240" w:lineRule="auto"/>
    </w:pPr>
    <w:rPr>
      <w:sz w:val="20"/>
      <w:szCs w:val="20"/>
    </w:rPr>
  </w:style>
  <w:style w:type="character" w:customStyle="1" w:styleId="CommentTextChar">
    <w:name w:val="Comment Text Char"/>
    <w:basedOn w:val="DefaultParagraphFont"/>
    <w:link w:val="CommentText"/>
    <w:uiPriority w:val="99"/>
    <w:semiHidden/>
    <w:rsid w:val="00C23A43"/>
    <w:rPr>
      <w:sz w:val="20"/>
      <w:szCs w:val="20"/>
    </w:rPr>
  </w:style>
  <w:style w:type="paragraph" w:styleId="CommentSubject">
    <w:name w:val="annotation subject"/>
    <w:basedOn w:val="CommentText"/>
    <w:next w:val="CommentText"/>
    <w:link w:val="CommentSubjectChar"/>
    <w:uiPriority w:val="99"/>
    <w:semiHidden/>
    <w:unhideWhenUsed/>
    <w:rsid w:val="00C23A43"/>
    <w:rPr>
      <w:b/>
      <w:bCs/>
    </w:rPr>
  </w:style>
  <w:style w:type="character" w:customStyle="1" w:styleId="CommentSubjectChar">
    <w:name w:val="Comment Subject Char"/>
    <w:basedOn w:val="CommentTextChar"/>
    <w:link w:val="CommentSubject"/>
    <w:uiPriority w:val="99"/>
    <w:semiHidden/>
    <w:rsid w:val="00C23A43"/>
    <w:rPr>
      <w:b/>
      <w:bCs/>
      <w:sz w:val="20"/>
      <w:szCs w:val="20"/>
    </w:rPr>
  </w:style>
  <w:style w:type="paragraph" w:styleId="Revision">
    <w:name w:val="Revision"/>
    <w:hidden/>
    <w:uiPriority w:val="99"/>
    <w:semiHidden/>
    <w:rsid w:val="00C23A43"/>
    <w:pPr>
      <w:spacing w:after="0" w:line="240" w:lineRule="auto"/>
    </w:pPr>
  </w:style>
  <w:style w:type="character" w:customStyle="1" w:styleId="Heading3Char">
    <w:name w:val="Heading 3 Char"/>
    <w:basedOn w:val="DefaultParagraphFont"/>
    <w:link w:val="Heading3"/>
    <w:uiPriority w:val="9"/>
    <w:rsid w:val="003B17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B170D"/>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862E38"/>
    <w:pPr>
      <w:spacing w:after="0" w:line="240" w:lineRule="auto"/>
    </w:pPr>
    <w:rPr>
      <w:rFonts w:ascii="Arial" w:eastAsia="Calibri"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2E3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a725a699610148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A3676838</value>
    </field>
    <field name="Objective-Title">
      <value order="0">F.07 Board of NatureScot - 16 March 2022 - Corporate Plan 2022-2026 - Future Risk Appetite</value>
    </field>
    <field name="Objective-Description">
      <value order="0"/>
    </field>
    <field name="Objective-CreationStamp">
      <value order="0">2022-03-09T14:27:54Z</value>
    </field>
    <field name="Objective-IsApproved">
      <value order="0">false</value>
    </field>
    <field name="Objective-IsPublished">
      <value order="0">true</value>
    </field>
    <field name="Objective-DatePublished">
      <value order="0">2022-03-09T14:27:54Z</value>
    </field>
    <field name="Objective-ModificationStamp">
      <value order="0">2022-03-09T14:29:18Z</value>
    </field>
    <field name="Objective-Owner">
      <value order="0">Mary-Anne Thomson</value>
    </field>
    <field name="Objective-Path">
      <value order="0">Objective Global Folder:NatureScot Fileplan:MAN - Management:EO - Executive Office:BD - Board:SNH Board - Meetings:Board of NatureScot Meetings - 2022:197 - Board of NatureScot - 16 March 2022</value>
    </field>
    <field name="Objective-Parent">
      <value order="0">197 - Board of NatureScot - 16 March 2022</value>
    </field>
    <field name="Objective-State">
      <value order="0">Published</value>
    </field>
    <field name="Objective-VersionId">
      <value order="0">vA6478161</value>
    </field>
    <field name="Objective-Version">
      <value order="0">1.0</value>
    </field>
    <field name="Objective-VersionNumber">
      <value order="0">1</value>
    </field>
    <field name="Objective-VersionComment">
      <value order="0">First version</value>
    </field>
    <field name="Objective-FileNumber">
      <value order="0">qA175115</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A03B3F2-6A7B-40FB-92EA-E332CC6D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2172</Words>
  <Characters>12386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Rennie</dc:creator>
  <cp:lastModifiedBy>MaryAnne Thomson</cp:lastModifiedBy>
  <cp:revision>2</cp:revision>
  <dcterms:created xsi:type="dcterms:W3CDTF">2022-03-09T12:04:00Z</dcterms:created>
  <dcterms:modified xsi:type="dcterms:W3CDTF">2022-03-09T12:04:00Z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A3676838</vt:lpwstr>
  </property>
  <property fmtid="{D5CDD505-2E9C-101B-9397-08002B2CF9AE}" pid="4" name="Objective-Title">
    <vt:lpwstr>F.07 Board of NatureScot - 16 March 2022 - Corporate Plan 2022-2026 - Future Risk Appetite</vt:lpwstr>
  </property>
  <property fmtid="{D5CDD505-2E9C-101B-9397-08002B2CF9AE}" pid="5" name="Objective-Comment">
    <vt:lpwstr/>
  </property>
  <property fmtid="{D5CDD505-2E9C-101B-9397-08002B2CF9AE}" pid="6" name="Objective-CreationStamp">
    <vt:filetime>2022-03-09T14:27:54Z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2022-03-09T14:27:54Z</vt:filetime>
  </property>
  <property fmtid="{D5CDD505-2E9C-101B-9397-08002B2CF9AE}" pid="10" name="Objective-ModificationStamp">
    <vt:filetime>2022-03-09T14:29:18Z</vt:filetime>
  </property>
  <property fmtid="{D5CDD505-2E9C-101B-9397-08002B2CF9AE}" pid="11" name="Objective-Owner">
    <vt:lpwstr>Mary-Anne Thomson</vt:lpwstr>
  </property>
  <property fmtid="{D5CDD505-2E9C-101B-9397-08002B2CF9AE}" pid="12" name="Objective-Path">
    <vt:lpwstr>Objective Global Folder:NatureScot Fileplan:MAN - Management:EO - Executive Office:BD - Board:SNH Board - Meetings:Board of NatureScot Meetings - 2022:197 - Board of NatureScot - 16 March 2022</vt:lpwstr>
  </property>
  <property fmtid="{D5CDD505-2E9C-101B-9397-08002B2CF9AE}" pid="13" name="Objective-Parent">
    <vt:lpwstr>197 - Board of NatureScot - 16 March 2022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qA175115</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
  </property>
  <property fmtid="{D5CDD505-2E9C-101B-9397-08002B2CF9AE}" pid="34" name="Objective-VersionId">
    <vt:lpwstr>vA6478161</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